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napToGrid w:val="0"/>
        <w:rPr>
          <w:rFonts w:hint="eastAsia" w:ascii="Times New Roman" w:hAnsi="Times New Roman" w:cs="Times New Roman"/>
          <w:sz w:val="20"/>
        </w:rPr>
      </w:pPr>
    </w:p>
    <w:p>
      <w:pPr>
        <w:pStyle w:val="14"/>
        <w:snapToGrid w:val="0"/>
        <w:rPr>
          <w:rFonts w:ascii="Times New Roman" w:hAnsi="Times New Roman" w:cs="Times New Roman"/>
          <w:sz w:val="20"/>
        </w:rPr>
      </w:pPr>
    </w:p>
    <w:p>
      <w:pPr>
        <w:pStyle w:val="14"/>
        <w:snapToGrid w:val="0"/>
        <w:rPr>
          <w:rFonts w:ascii="Times New Roman" w:hAnsi="Times New Roman" w:cs="Times New Roman"/>
          <w:sz w:val="20"/>
        </w:rPr>
      </w:pPr>
    </w:p>
    <w:p>
      <w:pPr>
        <w:pStyle w:val="14"/>
        <w:snapToGrid w:val="0"/>
        <w:rPr>
          <w:rFonts w:ascii="Times New Roman" w:hAnsi="Times New Roman" w:cs="Times New Roman"/>
          <w:sz w:val="20"/>
        </w:rPr>
      </w:pPr>
    </w:p>
    <w:p>
      <w:pPr>
        <w:pStyle w:val="14"/>
        <w:snapToGrid w:val="0"/>
        <w:rPr>
          <w:rFonts w:ascii="Times New Roman" w:hAnsi="Times New Roman" w:cs="Times New Roman"/>
          <w:sz w:val="15"/>
        </w:rPr>
      </w:pPr>
    </w:p>
    <w:p>
      <w:pPr>
        <w:snapToGrid w:val="0"/>
        <w:ind w:left="354" w:right="376"/>
        <w:jc w:val="center"/>
        <w:rPr>
          <w:rFonts w:ascii="Times New Roman" w:hAnsi="Times New Roman" w:eastAsia="Arial Unicode MS" w:cs="Times New Roman"/>
          <w:sz w:val="72"/>
        </w:rPr>
      </w:pPr>
      <w:r>
        <w:rPr>
          <w:rFonts w:ascii="Times New Roman" w:hAnsi="Times New Roman" w:eastAsia="Arial Unicode MS" w:cs="Times New Roman"/>
          <w:sz w:val="72"/>
        </w:rPr>
        <w:t>建设项目环境影响报告表</w:t>
      </w:r>
    </w:p>
    <w:p>
      <w:pPr>
        <w:snapToGrid w:val="0"/>
        <w:ind w:left="354" w:right="376"/>
        <w:jc w:val="center"/>
        <w:rPr>
          <w:rFonts w:ascii="Times New Roman" w:hAnsi="Times New Roman" w:eastAsia="楷体" w:cs="Times New Roman"/>
          <w:sz w:val="48"/>
        </w:rPr>
      </w:pPr>
      <w:r>
        <w:rPr>
          <w:rFonts w:ascii="Times New Roman" w:hAnsi="Times New Roman" w:eastAsia="楷体" w:cs="Times New Roman"/>
          <w:sz w:val="48"/>
        </w:rPr>
        <w:t>（污染影响类）</w:t>
      </w:r>
    </w:p>
    <w:p>
      <w:pPr>
        <w:pStyle w:val="17"/>
        <w:ind w:firstLine="420"/>
        <w:rPr>
          <w:rFonts w:ascii="Times New Roman" w:hAnsi="Times New Roman" w:eastAsia="楷体" w:cs="Times New Roman"/>
          <w:lang w:val="en-US"/>
        </w:rPr>
      </w:pPr>
    </w:p>
    <w:p>
      <w:pPr>
        <w:pStyle w:val="14"/>
        <w:snapToGrid w:val="0"/>
        <w:rPr>
          <w:rFonts w:ascii="Times New Roman" w:hAnsi="Times New Roman" w:cs="Times New Roman"/>
          <w:sz w:val="48"/>
        </w:rPr>
      </w:pPr>
    </w:p>
    <w:p>
      <w:pPr>
        <w:pStyle w:val="14"/>
        <w:snapToGrid w:val="0"/>
        <w:rPr>
          <w:rFonts w:ascii="Times New Roman" w:hAnsi="Times New Roman" w:cs="Times New Roman"/>
          <w:sz w:val="48"/>
        </w:rPr>
      </w:pPr>
    </w:p>
    <w:p>
      <w:pPr>
        <w:pStyle w:val="14"/>
        <w:snapToGrid w:val="0"/>
        <w:rPr>
          <w:rFonts w:ascii="Times New Roman" w:hAnsi="Times New Roman" w:cs="Times New Roman"/>
          <w:sz w:val="48"/>
        </w:rPr>
      </w:pPr>
    </w:p>
    <w:p>
      <w:pPr>
        <w:pStyle w:val="14"/>
        <w:snapToGrid w:val="0"/>
        <w:rPr>
          <w:rFonts w:ascii="Times New Roman" w:hAnsi="Times New Roman" w:cs="Times New Roman"/>
          <w:sz w:val="48"/>
        </w:rPr>
      </w:pPr>
    </w:p>
    <w:p>
      <w:pPr>
        <w:pStyle w:val="14"/>
        <w:snapToGrid w:val="0"/>
        <w:rPr>
          <w:rFonts w:ascii="Times New Roman" w:hAnsi="Times New Roman" w:cs="Times New Roman"/>
          <w:sz w:val="48"/>
        </w:rPr>
      </w:pPr>
    </w:p>
    <w:p>
      <w:pPr>
        <w:pStyle w:val="14"/>
        <w:snapToGrid w:val="0"/>
        <w:rPr>
          <w:rFonts w:ascii="Times New Roman" w:hAnsi="Times New Roman" w:cs="Times New Roman"/>
          <w:sz w:val="48"/>
        </w:rPr>
      </w:pPr>
    </w:p>
    <w:p>
      <w:pPr>
        <w:snapToGrid w:val="0"/>
        <w:spacing w:line="360" w:lineRule="auto"/>
        <w:jc w:val="center"/>
        <w:rPr>
          <w:rFonts w:ascii="Times New Roman" w:hAnsi="Times New Roman" w:eastAsia="仿宋" w:cs="Times New Roman"/>
          <w:sz w:val="32"/>
          <w:szCs w:val="32"/>
          <w:u w:val="single"/>
          <w:lang w:val="en-US"/>
        </w:rPr>
      </w:pPr>
      <w:bookmarkStart w:id="0" w:name="_Toc19964"/>
      <w:r>
        <w:rPr>
          <w:rFonts w:ascii="Times New Roman" w:hAnsi="Times New Roman" w:eastAsia="仿宋" w:cs="Times New Roman"/>
          <w:sz w:val="32"/>
          <w:szCs w:val="32"/>
          <w:u w:val="single"/>
        </w:rPr>
        <w:t>项目名称：</w:t>
      </w:r>
      <w:bookmarkEnd w:id="0"/>
      <w:r>
        <w:rPr>
          <w:rFonts w:ascii="Times New Roman" w:hAnsi="Times New Roman" w:eastAsia="仿宋" w:cs="Times New Roman"/>
          <w:sz w:val="32"/>
          <w:szCs w:val="32"/>
          <w:u w:val="single"/>
          <w:lang w:val="en-US"/>
        </w:rPr>
        <w:t>年产250吨食品用塑料包装容器工具等制品生产线项</w:t>
      </w:r>
    </w:p>
    <w:p>
      <w:pPr>
        <w:snapToGrid w:val="0"/>
        <w:spacing w:line="360" w:lineRule="auto"/>
        <w:jc w:val="both"/>
        <w:rPr>
          <w:rFonts w:ascii="Times New Roman" w:hAnsi="Times New Roman" w:eastAsia="仿宋" w:cs="Times New Roman"/>
          <w:sz w:val="32"/>
          <w:szCs w:val="32"/>
          <w:u w:val="single"/>
          <w:lang w:val="en-US"/>
        </w:rPr>
      </w:pPr>
      <w:r>
        <w:rPr>
          <w:rFonts w:ascii="Times New Roman" w:hAnsi="Times New Roman" w:eastAsia="仿宋" w:cs="Times New Roman"/>
          <w:sz w:val="32"/>
          <w:szCs w:val="32"/>
          <w:u w:val="single"/>
          <w:lang w:val="en-US"/>
        </w:rPr>
        <w:t>目</w:t>
      </w:r>
    </w:p>
    <w:p>
      <w:pPr>
        <w:pStyle w:val="17"/>
        <w:ind w:firstLine="420"/>
        <w:rPr>
          <w:rFonts w:ascii="Times New Roman" w:hAnsi="Times New Roman" w:cs="Times New Roman"/>
        </w:rPr>
      </w:pPr>
    </w:p>
    <w:p>
      <w:pPr>
        <w:snapToGrid w:val="0"/>
        <w:spacing w:line="360" w:lineRule="auto"/>
        <w:jc w:val="center"/>
        <w:rPr>
          <w:rFonts w:ascii="Times New Roman" w:hAnsi="Times New Roman" w:eastAsia="仿宋" w:cs="Times New Roman"/>
          <w:sz w:val="32"/>
          <w:szCs w:val="32"/>
          <w:u w:val="single"/>
          <w:lang w:val="en-US"/>
        </w:rPr>
      </w:pPr>
      <w:r>
        <w:rPr>
          <w:rFonts w:ascii="Times New Roman" w:hAnsi="Times New Roman" w:eastAsia="仿宋" w:cs="Times New Roman"/>
          <w:sz w:val="32"/>
          <w:szCs w:val="32"/>
        </w:rPr>
        <w:t>建设单位（盖章）：</w:t>
      </w:r>
      <w:r>
        <w:rPr>
          <w:rFonts w:ascii="Times New Roman" w:hAnsi="Times New Roman" w:eastAsia="仿宋" w:cs="Times New Roman"/>
          <w:sz w:val="32"/>
          <w:szCs w:val="32"/>
          <w:u w:val="single"/>
        </w:rPr>
        <w:t>昆明</w:t>
      </w:r>
      <w:r>
        <w:rPr>
          <w:rFonts w:ascii="Times New Roman" w:hAnsi="Times New Roman" w:eastAsia="仿宋" w:cs="Times New Roman"/>
          <w:sz w:val="32"/>
          <w:szCs w:val="32"/>
          <w:u w:val="single"/>
          <w:lang w:val="en-US"/>
        </w:rPr>
        <w:t>捌捌富山塑料制品有限公司</w:t>
      </w:r>
    </w:p>
    <w:p>
      <w:pPr>
        <w:pStyle w:val="14"/>
        <w:snapToGrid w:val="0"/>
        <w:spacing w:line="360" w:lineRule="auto"/>
        <w:jc w:val="center"/>
        <w:rPr>
          <w:rFonts w:ascii="Times New Roman" w:hAnsi="Times New Roman" w:eastAsia="仿宋" w:cs="Times New Roman"/>
          <w:sz w:val="32"/>
          <w:szCs w:val="32"/>
        </w:rPr>
      </w:pPr>
    </w:p>
    <w:p>
      <w:pPr>
        <w:snapToGrid w:val="0"/>
        <w:spacing w:line="360" w:lineRule="auto"/>
        <w:jc w:val="center"/>
        <w:rPr>
          <w:rFonts w:ascii="Times New Roman" w:hAnsi="Times New Roman" w:eastAsia="仿宋" w:cs="Times New Roman"/>
          <w:sz w:val="32"/>
          <w:szCs w:val="32"/>
          <w:u w:val="single"/>
        </w:rPr>
      </w:pPr>
      <w:r>
        <w:rPr>
          <w:rFonts w:ascii="Times New Roman" w:hAnsi="Times New Roman" w:eastAsia="仿宋" w:cs="Times New Roman"/>
          <w:sz w:val="32"/>
          <w:szCs w:val="32"/>
        </w:rPr>
        <w:t>编制日期：</w:t>
      </w:r>
      <w:r>
        <w:rPr>
          <w:rFonts w:ascii="Times New Roman" w:hAnsi="Times New Roman" w:eastAsia="仿宋" w:cs="Times New Roman"/>
          <w:sz w:val="32"/>
          <w:szCs w:val="32"/>
          <w:u w:val="single"/>
        </w:rPr>
        <w:t xml:space="preserve">2021 年 </w:t>
      </w:r>
      <w:r>
        <w:rPr>
          <w:rFonts w:hint="eastAsia" w:ascii="Times New Roman" w:hAnsi="Times New Roman" w:eastAsia="仿宋" w:cs="Times New Roman"/>
          <w:sz w:val="32"/>
          <w:szCs w:val="32"/>
          <w:u w:val="single"/>
          <w:lang w:val="en-US"/>
        </w:rPr>
        <w:t>12</w:t>
      </w:r>
      <w:r>
        <w:rPr>
          <w:rFonts w:ascii="Times New Roman" w:hAnsi="Times New Roman" w:eastAsia="仿宋" w:cs="Times New Roman"/>
          <w:sz w:val="32"/>
          <w:szCs w:val="32"/>
          <w:u w:val="single"/>
        </w:rPr>
        <w:t>月</w:t>
      </w:r>
    </w:p>
    <w:p>
      <w:pPr>
        <w:pStyle w:val="14"/>
        <w:snapToGrid w:val="0"/>
        <w:rPr>
          <w:rFonts w:ascii="Times New Roman" w:hAnsi="Times New Roman" w:cs="Times New Roman"/>
          <w:sz w:val="20"/>
        </w:rPr>
      </w:pPr>
    </w:p>
    <w:p>
      <w:pPr>
        <w:pStyle w:val="14"/>
        <w:snapToGrid w:val="0"/>
        <w:rPr>
          <w:rFonts w:ascii="Times New Roman" w:hAnsi="Times New Roman" w:cs="Times New Roman"/>
          <w:sz w:val="20"/>
        </w:rPr>
      </w:pPr>
    </w:p>
    <w:p>
      <w:pPr>
        <w:pStyle w:val="14"/>
        <w:snapToGrid w:val="0"/>
        <w:rPr>
          <w:rFonts w:ascii="Times New Roman" w:hAnsi="Times New Roman" w:cs="Times New Roman"/>
          <w:sz w:val="20"/>
        </w:rPr>
      </w:pPr>
    </w:p>
    <w:p>
      <w:pPr>
        <w:pStyle w:val="14"/>
        <w:snapToGrid w:val="0"/>
        <w:rPr>
          <w:rFonts w:ascii="Times New Roman" w:hAnsi="Times New Roman" w:cs="Times New Roman"/>
          <w:sz w:val="18"/>
        </w:rPr>
      </w:pPr>
    </w:p>
    <w:p>
      <w:pPr>
        <w:snapToGrid w:val="0"/>
        <w:ind w:left="354" w:right="376"/>
        <w:jc w:val="center"/>
        <w:rPr>
          <w:rFonts w:ascii="Times New Roman" w:hAnsi="Times New Roman" w:eastAsia="楷体" w:cs="Times New Roman"/>
          <w:sz w:val="36"/>
        </w:rPr>
      </w:pPr>
    </w:p>
    <w:p>
      <w:pPr>
        <w:snapToGrid w:val="0"/>
        <w:ind w:left="354" w:right="376"/>
        <w:jc w:val="center"/>
        <w:rPr>
          <w:rFonts w:ascii="Times New Roman" w:hAnsi="Times New Roman" w:eastAsia="楷体" w:cs="Times New Roman"/>
          <w:sz w:val="36"/>
        </w:rPr>
      </w:pPr>
    </w:p>
    <w:p>
      <w:pPr>
        <w:snapToGrid w:val="0"/>
        <w:ind w:left="354" w:right="376"/>
        <w:jc w:val="center"/>
        <w:rPr>
          <w:rFonts w:ascii="Times New Roman" w:hAnsi="Times New Roman" w:eastAsia="楷体" w:cs="Times New Roman"/>
          <w:sz w:val="36"/>
        </w:rPr>
      </w:pPr>
    </w:p>
    <w:p>
      <w:pPr>
        <w:snapToGrid w:val="0"/>
        <w:ind w:left="354" w:right="376"/>
        <w:jc w:val="center"/>
        <w:rPr>
          <w:rFonts w:ascii="Times New Roman" w:hAnsi="Times New Roman" w:eastAsia="楷体" w:cs="Times New Roman"/>
          <w:sz w:val="36"/>
        </w:rPr>
        <w:sectPr>
          <w:footerReference r:id="rId3" w:type="default"/>
          <w:footerReference r:id="rId4" w:type="even"/>
          <w:pgSz w:w="11910" w:h="16840"/>
          <w:pgMar w:top="1440" w:right="1417" w:bottom="1440" w:left="1417" w:header="720" w:footer="1043" w:gutter="0"/>
          <w:pgNumType w:start="3"/>
          <w:cols w:space="720" w:num="1"/>
        </w:sectPr>
      </w:pPr>
      <w:r>
        <w:rPr>
          <w:rFonts w:ascii="Times New Roman" w:hAnsi="Times New Roman" w:eastAsia="楷体" w:cs="Times New Roman"/>
          <w:sz w:val="36"/>
        </w:rPr>
        <w:t>中华人民共和国生态环境部制</w:t>
      </w:r>
    </w:p>
    <w:sdt>
      <w:sdtPr>
        <w:rPr>
          <w:rFonts w:ascii="Times New Roman" w:hAnsi="Times New Roman" w:eastAsia="黑体" w:cs="Times New Roman"/>
          <w:sz w:val="21"/>
          <w:szCs w:val="30"/>
        </w:rPr>
        <w:id w:val="147475613"/>
        <w:docPartObj>
          <w:docPartGallery w:val="Table of Contents"/>
          <w:docPartUnique/>
        </w:docPartObj>
      </w:sdtPr>
      <w:sdtEndPr>
        <w:rPr>
          <w:rFonts w:ascii="Times New Roman" w:hAnsi="Times New Roman" w:eastAsia="黑体" w:cs="Times New Roman"/>
          <w:sz w:val="30"/>
          <w:szCs w:val="30"/>
        </w:rPr>
      </w:sdtEndPr>
      <w:sdtContent>
        <w:p>
          <w:pPr>
            <w:snapToGrid w:val="0"/>
            <w:spacing w:line="360" w:lineRule="auto"/>
            <w:jc w:val="both"/>
            <w:rPr>
              <w:rFonts w:ascii="Times New Roman" w:hAnsi="Times New Roman" w:cs="Times New Roman"/>
            </w:rPr>
          </w:pPr>
          <w:r>
            <w:rPr>
              <w:rFonts w:ascii="Times New Roman" w:hAnsi="Times New Roman" w:cs="Times New Roman"/>
              <w:sz w:val="28"/>
              <w:szCs w:val="28"/>
            </w:rPr>
            <w:t>目录</w:t>
          </w:r>
          <w:r>
            <w:rPr>
              <w:rFonts w:ascii="Times New Roman" w:hAnsi="Times New Roman" w:cs="Times New Roman"/>
            </w:rPr>
            <w:fldChar w:fldCharType="begin"/>
          </w:r>
          <w:r>
            <w:rPr>
              <w:rFonts w:ascii="Times New Roman" w:hAnsi="Times New Roman" w:cs="Times New Roman"/>
            </w:rPr>
            <w:instrText xml:space="preserve">TOC \o "1-3" \h \u </w:instrText>
          </w:r>
          <w:r>
            <w:rPr>
              <w:rFonts w:ascii="Times New Roman" w:hAnsi="Times New Roman" w:cs="Times New Roman"/>
            </w:rPr>
            <w:fldChar w:fldCharType="separate"/>
          </w:r>
        </w:p>
        <w:p>
          <w:pPr>
            <w:pStyle w:val="63"/>
            <w:tabs>
              <w:tab w:val="right" w:leader="dot" w:pos="9250"/>
            </w:tabs>
            <w:snapToGrid w:val="0"/>
            <w:spacing w:line="360" w:lineRule="auto"/>
            <w:jc w:val="both"/>
            <w:rPr>
              <w:sz w:val="28"/>
              <w:szCs w:val="28"/>
            </w:rPr>
          </w:pPr>
          <w:r>
            <w:fldChar w:fldCharType="begin"/>
          </w:r>
          <w:r>
            <w:instrText xml:space="preserve"> HYPERLINK \l "_Toc13917" </w:instrText>
          </w:r>
          <w:r>
            <w:fldChar w:fldCharType="separate"/>
          </w:r>
          <w:r>
            <w:rPr>
              <w:sz w:val="28"/>
              <w:szCs w:val="28"/>
            </w:rPr>
            <w:t>一、建设项目基本情况</w:t>
          </w:r>
          <w:r>
            <w:rPr>
              <w:sz w:val="28"/>
              <w:szCs w:val="28"/>
            </w:rPr>
            <w:tab/>
          </w:r>
          <w:r>
            <w:rPr>
              <w:sz w:val="28"/>
              <w:szCs w:val="28"/>
            </w:rPr>
            <w:fldChar w:fldCharType="begin"/>
          </w:r>
          <w:r>
            <w:rPr>
              <w:sz w:val="28"/>
              <w:szCs w:val="28"/>
            </w:rPr>
            <w:instrText xml:space="preserve"> PAGEREF _Toc13917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63"/>
            <w:tabs>
              <w:tab w:val="right" w:leader="dot" w:pos="9250"/>
            </w:tabs>
            <w:snapToGrid w:val="0"/>
            <w:spacing w:line="360" w:lineRule="auto"/>
            <w:jc w:val="both"/>
            <w:rPr>
              <w:sz w:val="28"/>
              <w:szCs w:val="28"/>
            </w:rPr>
          </w:pPr>
          <w:r>
            <w:fldChar w:fldCharType="begin"/>
          </w:r>
          <w:r>
            <w:instrText xml:space="preserve"> HYPERLINK \l "_Toc9839" </w:instrText>
          </w:r>
          <w:r>
            <w:fldChar w:fldCharType="separate"/>
          </w:r>
          <w:r>
            <w:rPr>
              <w:sz w:val="28"/>
              <w:szCs w:val="28"/>
            </w:rPr>
            <w:t>二、建设项目工程分析</w:t>
          </w:r>
          <w:r>
            <w:rPr>
              <w:sz w:val="28"/>
              <w:szCs w:val="28"/>
            </w:rPr>
            <w:tab/>
          </w:r>
          <w:r>
            <w:rPr>
              <w:sz w:val="28"/>
              <w:szCs w:val="28"/>
            </w:rPr>
            <w:fldChar w:fldCharType="begin"/>
          </w:r>
          <w:r>
            <w:rPr>
              <w:sz w:val="28"/>
              <w:szCs w:val="28"/>
            </w:rPr>
            <w:instrText xml:space="preserve"> PAGEREF _Toc9839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63"/>
            <w:tabs>
              <w:tab w:val="right" w:leader="dot" w:pos="9250"/>
            </w:tabs>
            <w:snapToGrid w:val="0"/>
            <w:spacing w:line="360" w:lineRule="auto"/>
            <w:jc w:val="both"/>
            <w:rPr>
              <w:sz w:val="28"/>
              <w:szCs w:val="28"/>
            </w:rPr>
          </w:pPr>
          <w:r>
            <w:fldChar w:fldCharType="begin"/>
          </w:r>
          <w:r>
            <w:instrText xml:space="preserve"> HYPERLINK \l "_Toc22283" </w:instrText>
          </w:r>
          <w:r>
            <w:fldChar w:fldCharType="separate"/>
          </w:r>
          <w:r>
            <w:rPr>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_Toc22283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63"/>
            <w:tabs>
              <w:tab w:val="right" w:leader="dot" w:pos="9250"/>
            </w:tabs>
            <w:snapToGrid w:val="0"/>
            <w:spacing w:line="360" w:lineRule="auto"/>
            <w:jc w:val="both"/>
            <w:rPr>
              <w:sz w:val="28"/>
              <w:szCs w:val="28"/>
            </w:rPr>
          </w:pPr>
          <w:r>
            <w:fldChar w:fldCharType="begin"/>
          </w:r>
          <w:r>
            <w:instrText xml:space="preserve"> HYPERLINK \l "_Toc3439" </w:instrText>
          </w:r>
          <w:r>
            <w:fldChar w:fldCharType="separate"/>
          </w:r>
          <w:r>
            <w:rPr>
              <w:sz w:val="28"/>
              <w:szCs w:val="28"/>
            </w:rPr>
            <w:t>四、主要环境影响和保护措施</w:t>
          </w:r>
          <w:r>
            <w:rPr>
              <w:sz w:val="28"/>
              <w:szCs w:val="28"/>
            </w:rPr>
            <w:tab/>
          </w:r>
          <w:r>
            <w:rPr>
              <w:sz w:val="28"/>
              <w:szCs w:val="28"/>
            </w:rPr>
            <w:fldChar w:fldCharType="begin"/>
          </w:r>
          <w:r>
            <w:rPr>
              <w:sz w:val="28"/>
              <w:szCs w:val="28"/>
            </w:rPr>
            <w:instrText xml:space="preserve"> PAGEREF _Toc3439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63"/>
            <w:tabs>
              <w:tab w:val="right" w:leader="dot" w:pos="9250"/>
            </w:tabs>
            <w:snapToGrid w:val="0"/>
            <w:spacing w:line="360" w:lineRule="auto"/>
            <w:jc w:val="both"/>
            <w:rPr>
              <w:sz w:val="28"/>
              <w:szCs w:val="28"/>
            </w:rPr>
          </w:pPr>
          <w:r>
            <w:fldChar w:fldCharType="begin"/>
          </w:r>
          <w:r>
            <w:instrText xml:space="preserve"> HYPERLINK \l "_Toc20354" </w:instrText>
          </w:r>
          <w:r>
            <w:fldChar w:fldCharType="separate"/>
          </w:r>
          <w:r>
            <w:rPr>
              <w:sz w:val="28"/>
              <w:szCs w:val="28"/>
            </w:rPr>
            <w:t>五、环境保护措施监督检查清单</w:t>
          </w:r>
          <w:r>
            <w:rPr>
              <w:sz w:val="28"/>
              <w:szCs w:val="28"/>
            </w:rPr>
            <w:tab/>
          </w:r>
          <w:r>
            <w:rPr>
              <w:sz w:val="28"/>
              <w:szCs w:val="28"/>
            </w:rPr>
            <w:fldChar w:fldCharType="begin"/>
          </w:r>
          <w:r>
            <w:rPr>
              <w:sz w:val="28"/>
              <w:szCs w:val="28"/>
            </w:rPr>
            <w:instrText xml:space="preserve"> PAGEREF _Toc20354 \h </w:instrText>
          </w:r>
          <w:r>
            <w:rPr>
              <w:sz w:val="28"/>
              <w:szCs w:val="28"/>
            </w:rPr>
            <w:fldChar w:fldCharType="separate"/>
          </w:r>
          <w:r>
            <w:rPr>
              <w:sz w:val="28"/>
              <w:szCs w:val="28"/>
            </w:rPr>
            <w:t>72</w:t>
          </w:r>
          <w:r>
            <w:rPr>
              <w:sz w:val="28"/>
              <w:szCs w:val="28"/>
            </w:rPr>
            <w:fldChar w:fldCharType="end"/>
          </w:r>
          <w:r>
            <w:rPr>
              <w:sz w:val="28"/>
              <w:szCs w:val="28"/>
            </w:rPr>
            <w:fldChar w:fldCharType="end"/>
          </w:r>
        </w:p>
        <w:p>
          <w:pPr>
            <w:pStyle w:val="63"/>
            <w:tabs>
              <w:tab w:val="right" w:leader="dot" w:pos="9250"/>
            </w:tabs>
            <w:snapToGrid w:val="0"/>
            <w:spacing w:line="360" w:lineRule="auto"/>
            <w:jc w:val="both"/>
            <w:rPr>
              <w:sz w:val="28"/>
              <w:szCs w:val="28"/>
            </w:rPr>
          </w:pPr>
          <w:r>
            <w:fldChar w:fldCharType="begin"/>
          </w:r>
          <w:r>
            <w:instrText xml:space="preserve"> HYPERLINK \l "_Toc30241" </w:instrText>
          </w:r>
          <w:r>
            <w:fldChar w:fldCharType="separate"/>
          </w:r>
          <w:r>
            <w:rPr>
              <w:sz w:val="28"/>
              <w:szCs w:val="28"/>
            </w:rPr>
            <w:t>六、结论</w:t>
          </w:r>
          <w:r>
            <w:rPr>
              <w:sz w:val="28"/>
              <w:szCs w:val="28"/>
            </w:rPr>
            <w:tab/>
          </w:r>
          <w:r>
            <w:rPr>
              <w:sz w:val="28"/>
              <w:szCs w:val="28"/>
            </w:rPr>
            <w:fldChar w:fldCharType="begin"/>
          </w:r>
          <w:r>
            <w:rPr>
              <w:sz w:val="28"/>
              <w:szCs w:val="28"/>
            </w:rPr>
            <w:instrText xml:space="preserve"> PAGEREF _Toc30241 \h </w:instrText>
          </w:r>
          <w:r>
            <w:rPr>
              <w:sz w:val="28"/>
              <w:szCs w:val="28"/>
            </w:rPr>
            <w:fldChar w:fldCharType="separate"/>
          </w:r>
          <w:r>
            <w:rPr>
              <w:sz w:val="28"/>
              <w:szCs w:val="28"/>
            </w:rPr>
            <w:t>74</w:t>
          </w:r>
          <w:r>
            <w:rPr>
              <w:sz w:val="28"/>
              <w:szCs w:val="28"/>
            </w:rPr>
            <w:fldChar w:fldCharType="end"/>
          </w:r>
          <w:r>
            <w:rPr>
              <w:sz w:val="28"/>
              <w:szCs w:val="28"/>
            </w:rPr>
            <w:fldChar w:fldCharType="end"/>
          </w:r>
        </w:p>
        <w:p>
          <w:pPr>
            <w:pStyle w:val="63"/>
            <w:tabs>
              <w:tab w:val="right" w:leader="dot" w:pos="9250"/>
            </w:tabs>
            <w:snapToGrid w:val="0"/>
            <w:spacing w:line="360" w:lineRule="auto"/>
            <w:jc w:val="both"/>
            <w:rPr>
              <w:sz w:val="28"/>
              <w:szCs w:val="28"/>
            </w:rPr>
          </w:pPr>
          <w:r>
            <w:fldChar w:fldCharType="begin"/>
          </w:r>
          <w:r>
            <w:instrText xml:space="preserve"> HYPERLINK \l "_Toc25215" </w:instrText>
          </w:r>
          <w:r>
            <w:fldChar w:fldCharType="separate"/>
          </w:r>
          <w:r>
            <w:rPr>
              <w:sz w:val="28"/>
              <w:szCs w:val="28"/>
            </w:rPr>
            <w:t>附表</w:t>
          </w:r>
          <w:r>
            <w:rPr>
              <w:sz w:val="28"/>
              <w:szCs w:val="28"/>
            </w:rPr>
            <w:tab/>
          </w:r>
          <w:r>
            <w:rPr>
              <w:sz w:val="28"/>
              <w:szCs w:val="28"/>
            </w:rPr>
            <w:fldChar w:fldCharType="begin"/>
          </w:r>
          <w:r>
            <w:rPr>
              <w:sz w:val="28"/>
              <w:szCs w:val="28"/>
            </w:rPr>
            <w:instrText xml:space="preserve"> PAGEREF _Toc25215 \h </w:instrText>
          </w:r>
          <w:r>
            <w:rPr>
              <w:sz w:val="28"/>
              <w:szCs w:val="28"/>
            </w:rPr>
            <w:fldChar w:fldCharType="separate"/>
          </w:r>
          <w:r>
            <w:rPr>
              <w:sz w:val="28"/>
              <w:szCs w:val="28"/>
            </w:rPr>
            <w:t>75</w:t>
          </w:r>
          <w:r>
            <w:rPr>
              <w:sz w:val="28"/>
              <w:szCs w:val="28"/>
            </w:rPr>
            <w:fldChar w:fldCharType="end"/>
          </w:r>
          <w:r>
            <w:rPr>
              <w:sz w:val="28"/>
              <w:szCs w:val="28"/>
            </w:rPr>
            <w:fldChar w:fldCharType="end"/>
          </w:r>
        </w:p>
        <w:p>
          <w:pPr>
            <w:pStyle w:val="62"/>
            <w:tabs>
              <w:tab w:val="right" w:leader="dot" w:pos="9250"/>
            </w:tabs>
            <w:snapToGrid w:val="0"/>
            <w:spacing w:line="360" w:lineRule="auto"/>
            <w:ind w:left="0" w:leftChars="0"/>
            <w:jc w:val="both"/>
            <w:rPr>
              <w:sz w:val="28"/>
              <w:szCs w:val="28"/>
            </w:rPr>
          </w:pPr>
          <w:r>
            <w:fldChar w:fldCharType="begin"/>
          </w:r>
          <w:r>
            <w:instrText xml:space="preserve"> HYPERLINK \l "_Toc22437" </w:instrText>
          </w:r>
          <w:r>
            <w:fldChar w:fldCharType="separate"/>
          </w:r>
          <w:r>
            <w:rPr>
              <w:sz w:val="28"/>
              <w:szCs w:val="28"/>
            </w:rPr>
            <w:t>建设项目污染物排放量汇总表</w:t>
          </w:r>
          <w:r>
            <w:rPr>
              <w:sz w:val="28"/>
              <w:szCs w:val="28"/>
            </w:rPr>
            <w:tab/>
          </w:r>
          <w:r>
            <w:rPr>
              <w:sz w:val="28"/>
              <w:szCs w:val="28"/>
            </w:rPr>
            <w:t>7</w:t>
          </w:r>
          <w:r>
            <w:rPr>
              <w:sz w:val="28"/>
              <w:szCs w:val="28"/>
            </w:rPr>
            <w:fldChar w:fldCharType="end"/>
          </w:r>
          <w:r>
            <w:rPr>
              <w:sz w:val="28"/>
              <w:szCs w:val="28"/>
            </w:rPr>
            <w:t>5</w:t>
          </w:r>
        </w:p>
        <w:p>
          <w:pPr>
            <w:pStyle w:val="14"/>
            <w:snapToGrid w:val="0"/>
            <w:spacing w:line="360" w:lineRule="auto"/>
            <w:jc w:val="both"/>
            <w:rPr>
              <w:rFonts w:ascii="Times New Roman" w:hAnsi="Times New Roman" w:cs="Times New Roman"/>
            </w:rPr>
          </w:pPr>
          <w:r>
            <w:rPr>
              <w:rFonts w:ascii="Times New Roman" w:hAnsi="Times New Roman" w:eastAsia="宋体" w:cs="Times New Roman"/>
              <w:szCs w:val="24"/>
            </w:rPr>
            <w:fldChar w:fldCharType="end"/>
          </w:r>
        </w:p>
      </w:sdtContent>
    </w:sdt>
    <w:p>
      <w:pPr>
        <w:snapToGrid w:val="0"/>
        <w:rPr>
          <w:rFonts w:ascii="Times New Roman" w:hAnsi="Times New Roman" w:cs="Times New Roman"/>
        </w:rPr>
      </w:pPr>
    </w:p>
    <w:p>
      <w:pPr>
        <w:snapToGrid w:val="0"/>
        <w:rPr>
          <w:rFonts w:ascii="Times New Roman" w:hAnsi="Times New Roman" w:cs="Times New Roman"/>
        </w:rPr>
      </w:pPr>
    </w:p>
    <w:p>
      <w:pPr>
        <w:snapToGrid w:val="0"/>
        <w:rPr>
          <w:rFonts w:ascii="Times New Roman" w:hAnsi="Times New Roman" w:cs="Times New Roman"/>
        </w:rPr>
      </w:pPr>
    </w:p>
    <w:p>
      <w:pPr>
        <w:snapToGrid w:val="0"/>
        <w:rPr>
          <w:rFonts w:ascii="Times New Roman" w:hAnsi="Times New Roman" w:cs="Times New Roman"/>
        </w:rPr>
      </w:pPr>
    </w:p>
    <w:p>
      <w:pPr>
        <w:snapToGrid w:val="0"/>
        <w:rPr>
          <w:rFonts w:ascii="Times New Roman" w:hAnsi="Times New Roman" w:cs="Times New Roman"/>
        </w:rPr>
      </w:pPr>
    </w:p>
    <w:p>
      <w:pPr>
        <w:snapToGrid w:val="0"/>
        <w:rPr>
          <w:rFonts w:ascii="Times New Roman" w:hAnsi="Times New Roman" w:cs="Times New Roman"/>
        </w:rPr>
      </w:pPr>
    </w:p>
    <w:p>
      <w:pPr>
        <w:snapToGrid w:val="0"/>
        <w:rPr>
          <w:rFonts w:ascii="Times New Roman" w:hAnsi="Times New Roman" w:cs="Times New Roman"/>
        </w:rPr>
      </w:pPr>
    </w:p>
    <w:p>
      <w:pPr>
        <w:tabs>
          <w:tab w:val="left" w:pos="7216"/>
        </w:tabs>
        <w:snapToGrid w:val="0"/>
        <w:rPr>
          <w:rFonts w:ascii="Times New Roman" w:hAnsi="Times New Roman" w:cs="Times New Roman"/>
        </w:rPr>
        <w:sectPr>
          <w:footerReference r:id="rId5" w:type="default"/>
          <w:footerReference r:id="rId6" w:type="even"/>
          <w:pgSz w:w="11910" w:h="16840"/>
          <w:pgMar w:top="1440" w:right="1417" w:bottom="1440" w:left="1417" w:header="0" w:footer="1043" w:gutter="0"/>
          <w:cols w:space="720" w:num="1"/>
        </w:sectPr>
      </w:pPr>
      <w:r>
        <w:rPr>
          <w:rFonts w:ascii="Times New Roman" w:hAnsi="Times New Roman" w:cs="Times New Roman"/>
        </w:rPr>
        <w:tab/>
      </w:r>
    </w:p>
    <w:p>
      <w:pPr>
        <w:snapToGrid w:val="0"/>
        <w:spacing w:line="360" w:lineRule="auto"/>
        <w:jc w:val="both"/>
        <w:rPr>
          <w:rFonts w:ascii="Times New Roman" w:hAnsi="Times New Roman" w:cs="Times New Roman"/>
        </w:rPr>
      </w:pPr>
      <w:r>
        <w:rPr>
          <w:rFonts w:ascii="Times New Roman" w:hAnsi="Times New Roman" w:cs="Times New Roman"/>
        </w:rPr>
        <w:t>附件：</w:t>
      </w:r>
    </w:p>
    <w:p>
      <w:pPr>
        <w:pStyle w:val="12"/>
        <w:snapToGrid w:val="0"/>
        <w:spacing w:before="0" w:line="360" w:lineRule="auto"/>
        <w:jc w:val="both"/>
        <w:rPr>
          <w:rFonts w:ascii="Times New Roman" w:hAnsi="Times New Roman" w:cs="Times New Roman"/>
          <w:lang w:val="en-US"/>
        </w:rPr>
      </w:pPr>
      <w:r>
        <w:rPr>
          <w:rFonts w:ascii="Times New Roman" w:hAnsi="Times New Roman" w:cs="Times New Roman"/>
        </w:rPr>
        <w:t>附件</w:t>
      </w:r>
      <w:r>
        <w:rPr>
          <w:rFonts w:ascii="Times New Roman" w:hAnsi="Times New Roman" w:cs="Times New Roman"/>
          <w:lang w:val="en-US"/>
        </w:rPr>
        <w:t>1  委托书</w:t>
      </w:r>
    </w:p>
    <w:p>
      <w:pPr>
        <w:snapToGrid w:val="0"/>
        <w:spacing w:line="360" w:lineRule="auto"/>
        <w:jc w:val="both"/>
        <w:rPr>
          <w:rFonts w:ascii="Times New Roman" w:hAnsi="Times New Roman" w:cs="Times New Roman"/>
          <w:lang w:val="en-US"/>
        </w:rPr>
      </w:pPr>
      <w:r>
        <w:rPr>
          <w:rFonts w:ascii="Times New Roman" w:hAnsi="Times New Roman" w:cs="Times New Roman"/>
          <w:lang w:val="en-US"/>
        </w:rPr>
        <w:t>附件2  入园证明</w:t>
      </w:r>
    </w:p>
    <w:p>
      <w:pPr>
        <w:pStyle w:val="12"/>
        <w:snapToGrid w:val="0"/>
        <w:spacing w:before="0" w:line="360" w:lineRule="auto"/>
        <w:jc w:val="both"/>
        <w:rPr>
          <w:rFonts w:ascii="Times New Roman" w:hAnsi="Times New Roman" w:cs="Times New Roman"/>
          <w:lang w:val="en-US"/>
        </w:rPr>
      </w:pPr>
      <w:r>
        <w:rPr>
          <w:rFonts w:ascii="Times New Roman" w:hAnsi="Times New Roman" w:cs="Times New Roman"/>
          <w:lang w:val="en-US"/>
        </w:rPr>
        <w:t>附件3  投资备案证</w:t>
      </w:r>
    </w:p>
    <w:p>
      <w:pPr>
        <w:snapToGrid w:val="0"/>
        <w:spacing w:line="360" w:lineRule="auto"/>
        <w:jc w:val="both"/>
        <w:rPr>
          <w:rFonts w:ascii="Times New Roman" w:hAnsi="Times New Roman" w:cs="Times New Roman"/>
          <w:lang w:val="en-US"/>
        </w:rPr>
      </w:pPr>
      <w:r>
        <w:rPr>
          <w:rFonts w:ascii="Times New Roman" w:hAnsi="Times New Roman" w:cs="Times New Roman"/>
          <w:lang w:val="en-US"/>
        </w:rPr>
        <w:t>附件4  营业执照</w:t>
      </w:r>
    </w:p>
    <w:p>
      <w:pPr>
        <w:pStyle w:val="12"/>
        <w:snapToGrid w:val="0"/>
        <w:spacing w:before="0" w:line="360" w:lineRule="auto"/>
        <w:jc w:val="both"/>
        <w:rPr>
          <w:rFonts w:ascii="Times New Roman" w:hAnsi="Times New Roman" w:cs="Times New Roman"/>
          <w:color w:val="000000"/>
        </w:rPr>
      </w:pPr>
      <w:r>
        <w:rPr>
          <w:rFonts w:ascii="Times New Roman" w:hAnsi="Times New Roman" w:cs="Times New Roman"/>
          <w:lang w:val="en-US"/>
        </w:rPr>
        <w:t xml:space="preserve">附件5  </w:t>
      </w:r>
      <w:r>
        <w:rPr>
          <w:rFonts w:ascii="Times New Roman" w:hAnsi="Times New Roman" w:cs="Times New Roman"/>
          <w:color w:val="000000"/>
        </w:rPr>
        <w:t>云南省环境保护厅关于《云南晋宁工业园区总体规划修编（2012-2030）环境影响报告书》审查意见的函</w:t>
      </w:r>
    </w:p>
    <w:p>
      <w:pPr>
        <w:pStyle w:val="12"/>
        <w:snapToGrid w:val="0"/>
        <w:spacing w:before="0" w:line="360" w:lineRule="auto"/>
        <w:jc w:val="both"/>
        <w:rPr>
          <w:rFonts w:ascii="Times New Roman" w:hAnsi="Times New Roman" w:cs="Times New Roman"/>
          <w:color w:val="000000"/>
          <w:lang w:val="en-US"/>
        </w:rPr>
      </w:pPr>
      <w:r>
        <w:rPr>
          <w:rFonts w:ascii="Times New Roman" w:hAnsi="Times New Roman" w:cs="Times New Roman"/>
          <w:color w:val="000000"/>
          <w:lang w:val="en-US"/>
        </w:rPr>
        <w:t>附件6  云南俊腾达标房地产开发有限公司环评批复</w:t>
      </w:r>
    </w:p>
    <w:p>
      <w:pPr>
        <w:pStyle w:val="12"/>
        <w:snapToGrid w:val="0"/>
        <w:spacing w:before="0" w:line="360" w:lineRule="auto"/>
        <w:jc w:val="both"/>
        <w:rPr>
          <w:rFonts w:ascii="Times New Roman" w:hAnsi="Times New Roman" w:cs="Times New Roman"/>
          <w:lang w:val="en-US"/>
        </w:rPr>
      </w:pPr>
      <w:r>
        <w:rPr>
          <w:rFonts w:ascii="Times New Roman" w:hAnsi="Times New Roman" w:cs="Times New Roman"/>
          <w:color w:val="000000"/>
          <w:lang w:val="en-US"/>
        </w:rPr>
        <w:t xml:space="preserve">附件7 </w:t>
      </w:r>
      <w:r>
        <w:rPr>
          <w:rFonts w:ascii="Times New Roman" w:hAnsi="Times New Roman" w:cs="Times New Roman"/>
          <w:lang w:val="en-US"/>
        </w:rPr>
        <w:t>《年产10000m³玻璃钢化粪池生产项目环境现状检测报告》</w:t>
      </w:r>
    </w:p>
    <w:p>
      <w:pPr>
        <w:spacing w:line="360" w:lineRule="auto"/>
        <w:rPr>
          <w:rFonts w:ascii="Times New Roman" w:hAnsi="Times New Roman" w:cs="Times New Roman"/>
          <w:lang w:val="en-US"/>
        </w:rPr>
      </w:pPr>
      <w:r>
        <w:rPr>
          <w:rFonts w:hint="eastAsia" w:ascii="Times New Roman" w:hAnsi="Times New Roman" w:cs="Times New Roman"/>
          <w:lang w:val="en-US"/>
        </w:rPr>
        <w:t>附件8  文本信息公开</w:t>
      </w:r>
    </w:p>
    <w:p>
      <w:pPr>
        <w:spacing w:line="360" w:lineRule="auto"/>
        <w:rPr>
          <w:rFonts w:hint="eastAsia" w:ascii="Times New Roman" w:hAnsi="Times New Roman" w:cs="Times New Roman"/>
          <w:lang w:val="en-US"/>
        </w:rPr>
      </w:pPr>
      <w:r>
        <w:rPr>
          <w:rFonts w:hint="eastAsia" w:ascii="Times New Roman" w:hAnsi="Times New Roman" w:cs="Times New Roman"/>
          <w:lang w:val="en-US"/>
        </w:rPr>
        <w:t>附件9  信息咨询合同</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附件10 《新型稀贵金属合金材料类生产项目环境质量现状监测》</w:t>
      </w:r>
    </w:p>
    <w:p>
      <w:pPr>
        <w:spacing w:line="360" w:lineRule="auto"/>
        <w:rPr>
          <w:rFonts w:hint="default" w:eastAsia="宋体"/>
          <w:lang w:val="en-US" w:eastAsia="zh-CN"/>
        </w:rPr>
      </w:pPr>
      <w:r>
        <w:rPr>
          <w:rFonts w:hint="eastAsia" w:ascii="Times New Roman" w:hAnsi="Times New Roman" w:cs="Times New Roman"/>
          <w:lang w:val="en-US" w:eastAsia="zh-CN"/>
        </w:rPr>
        <w:t xml:space="preserve">附件11  </w:t>
      </w:r>
      <w:r>
        <w:rPr>
          <w:rFonts w:hint="eastAsia"/>
        </w:rPr>
        <w:t>昆明市环境管控单元生态环境准入清单</w:t>
      </w:r>
    </w:p>
    <w:p>
      <w:pPr>
        <w:snapToGrid w:val="0"/>
        <w:spacing w:line="360" w:lineRule="auto"/>
        <w:rPr>
          <w:rFonts w:ascii="Times New Roman" w:hAnsi="Times New Roman" w:cs="Times New Roman"/>
          <w:lang w:val="en-US"/>
        </w:rPr>
      </w:pPr>
    </w:p>
    <w:p>
      <w:pPr>
        <w:snapToGrid w:val="0"/>
        <w:spacing w:line="360" w:lineRule="auto"/>
        <w:rPr>
          <w:rFonts w:ascii="Times New Roman" w:hAnsi="Times New Roman" w:cs="Times New Roman"/>
          <w:lang w:val="en-US"/>
        </w:rPr>
      </w:pPr>
      <w:r>
        <w:rPr>
          <w:rFonts w:ascii="Times New Roman" w:hAnsi="Times New Roman" w:cs="Times New Roman"/>
          <w:lang w:val="en-US"/>
        </w:rPr>
        <w:t>附图：</w:t>
      </w:r>
    </w:p>
    <w:p>
      <w:pPr>
        <w:pStyle w:val="63"/>
        <w:tabs>
          <w:tab w:val="right" w:leader="dot" w:pos="8312"/>
        </w:tabs>
        <w:snapToGrid w:val="0"/>
        <w:spacing w:line="360" w:lineRule="auto"/>
        <w:rPr>
          <w:sz w:val="24"/>
          <w:szCs w:val="24"/>
        </w:rPr>
      </w:pPr>
      <w:r>
        <w:rPr>
          <w:sz w:val="24"/>
          <w:szCs w:val="24"/>
        </w:rPr>
        <w:t>附图1  地理位置图</w:t>
      </w:r>
    </w:p>
    <w:p>
      <w:pPr>
        <w:pStyle w:val="63"/>
        <w:tabs>
          <w:tab w:val="right" w:leader="dot" w:pos="8312"/>
        </w:tabs>
        <w:snapToGrid w:val="0"/>
        <w:spacing w:line="360" w:lineRule="auto"/>
        <w:rPr>
          <w:sz w:val="24"/>
          <w:szCs w:val="24"/>
        </w:rPr>
      </w:pPr>
      <w:r>
        <w:rPr>
          <w:sz w:val="24"/>
          <w:szCs w:val="24"/>
        </w:rPr>
        <w:t>附图2  项目区周边关系图</w:t>
      </w:r>
    </w:p>
    <w:p>
      <w:pPr>
        <w:pStyle w:val="63"/>
        <w:tabs>
          <w:tab w:val="right" w:leader="dot" w:pos="8312"/>
        </w:tabs>
        <w:snapToGrid w:val="0"/>
        <w:spacing w:line="360" w:lineRule="auto"/>
        <w:rPr>
          <w:sz w:val="24"/>
          <w:szCs w:val="24"/>
        </w:rPr>
      </w:pPr>
      <w:r>
        <w:rPr>
          <w:sz w:val="24"/>
          <w:szCs w:val="24"/>
        </w:rPr>
        <w:t>附图3  项目区总平面布置图</w:t>
      </w:r>
    </w:p>
    <w:p>
      <w:pPr>
        <w:pStyle w:val="63"/>
        <w:tabs>
          <w:tab w:val="right" w:leader="dot" w:pos="8312"/>
        </w:tabs>
        <w:snapToGrid w:val="0"/>
        <w:spacing w:line="360" w:lineRule="auto"/>
        <w:rPr>
          <w:sz w:val="24"/>
          <w:szCs w:val="24"/>
        </w:rPr>
      </w:pPr>
      <w:r>
        <w:rPr>
          <w:sz w:val="24"/>
          <w:szCs w:val="24"/>
        </w:rPr>
        <w:t xml:space="preserve">附图4 </w:t>
      </w:r>
      <w:r>
        <w:rPr>
          <w:rFonts w:hint="eastAsia"/>
          <w:sz w:val="24"/>
          <w:szCs w:val="24"/>
          <w:lang w:val="en-US" w:eastAsia="zh-CN"/>
        </w:rPr>
        <w:t xml:space="preserve"> </w:t>
      </w:r>
      <w:r>
        <w:rPr>
          <w:sz w:val="24"/>
          <w:szCs w:val="24"/>
        </w:rPr>
        <w:t>项目区水系图</w:t>
      </w:r>
      <w:bookmarkStart w:id="25" w:name="_GoBack"/>
      <w:bookmarkEnd w:id="25"/>
    </w:p>
    <w:p>
      <w:pPr>
        <w:pStyle w:val="63"/>
        <w:tabs>
          <w:tab w:val="right" w:leader="dot" w:pos="8312"/>
        </w:tabs>
        <w:snapToGrid w:val="0"/>
        <w:spacing w:line="360" w:lineRule="auto"/>
        <w:rPr>
          <w:sz w:val="24"/>
          <w:szCs w:val="24"/>
        </w:rPr>
      </w:pPr>
      <w:r>
        <w:rPr>
          <w:sz w:val="24"/>
          <w:szCs w:val="24"/>
        </w:rPr>
        <w:t>附图5  晋城工业基地用地规划图</w:t>
      </w:r>
    </w:p>
    <w:p>
      <w:pPr>
        <w:pStyle w:val="63"/>
        <w:tabs>
          <w:tab w:val="right" w:leader="dot" w:pos="8312"/>
        </w:tabs>
        <w:snapToGrid w:val="0"/>
        <w:spacing w:line="360" w:lineRule="auto"/>
        <w:rPr>
          <w:sz w:val="24"/>
          <w:szCs w:val="24"/>
        </w:rPr>
        <w:sectPr>
          <w:pgSz w:w="11910" w:h="16840"/>
          <w:pgMar w:top="1440" w:right="1417" w:bottom="1440" w:left="1417" w:header="0" w:footer="1043" w:gutter="0"/>
          <w:cols w:space="720" w:num="1"/>
        </w:sectPr>
      </w:pPr>
    </w:p>
    <w:p>
      <w:pPr>
        <w:pStyle w:val="14"/>
        <w:snapToGrid w:val="0"/>
        <w:ind w:right="653"/>
        <w:jc w:val="center"/>
        <w:outlineLvl w:val="0"/>
        <w:rPr>
          <w:rFonts w:ascii="Times New Roman" w:hAnsi="Times New Roman" w:cs="Times New Roman"/>
          <w:sz w:val="21"/>
        </w:rPr>
      </w:pPr>
      <w:bookmarkStart w:id="1" w:name="_Toc13917"/>
      <w:r>
        <w:rPr>
          <w:rFonts w:ascii="Times New Roman" w:hAnsi="Times New Roman" w:cs="Times New Roman"/>
        </w:rPr>
        <w:t>一、建设项目基本情况</w:t>
      </w:r>
      <w:bookmarkEnd w:id="1"/>
    </w:p>
    <w:tbl>
      <w:tblPr>
        <w:tblStyle w:val="26"/>
        <w:tblW w:w="49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2509"/>
        <w:gridCol w:w="2096"/>
        <w:gridCol w:w="3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建设项目名称</w:t>
            </w:r>
          </w:p>
        </w:tc>
        <w:tc>
          <w:tcPr>
            <w:tcW w:w="7741" w:type="dxa"/>
            <w:gridSpan w:val="3"/>
            <w:tcBorders>
              <w:tl2br w:val="nil"/>
              <w:tr2bl w:val="nil"/>
            </w:tcBorders>
            <w:vAlign w:val="center"/>
          </w:tcPr>
          <w:p>
            <w:pPr>
              <w:snapToGrid w:val="0"/>
              <w:jc w:val="center"/>
              <w:rPr>
                <w:rFonts w:ascii="Times New Roman" w:hAnsi="Times New Roman" w:cs="Times New Roman"/>
              </w:rPr>
            </w:pPr>
            <w:r>
              <w:rPr>
                <w:rFonts w:ascii="Times New Roman" w:hAnsi="Times New Roman" w:cs="Times New Roman"/>
                <w:lang w:val="en-US"/>
              </w:rPr>
              <w:t>年产250吨食品用塑料包装容器工具等制品生产线项目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项目代码</w:t>
            </w:r>
          </w:p>
        </w:tc>
        <w:tc>
          <w:tcPr>
            <w:tcW w:w="7741" w:type="dxa"/>
            <w:gridSpan w:val="3"/>
            <w:tcBorders>
              <w:tl2br w:val="nil"/>
              <w:tr2bl w:val="nil"/>
            </w:tcBorders>
            <w:vAlign w:val="center"/>
          </w:tcPr>
          <w:p>
            <w:pPr>
              <w:pStyle w:val="46"/>
              <w:snapToGrid w:val="0"/>
              <w:spacing w:line="240" w:lineRule="atLeast"/>
              <w:jc w:val="center"/>
              <w:rPr>
                <w:rFonts w:ascii="Times New Roman" w:hAnsi="Times New Roman" w:cs="Times New Roman"/>
                <w:lang w:val="en-US"/>
              </w:rPr>
            </w:pPr>
            <w:r>
              <w:rPr>
                <w:rFonts w:ascii="Times New Roman" w:hAnsi="Times New Roman" w:cs="Times New Roman"/>
                <w:color w:val="000000" w:themeColor="text1"/>
                <w:lang w:val="en-US"/>
                <w14:textFill>
                  <w14:solidFill>
                    <w14:schemeClr w14:val="tx1"/>
                  </w14:solidFill>
                </w14:textFill>
              </w:rPr>
              <w:t>2110-530115-04-01-979782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8"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建设单位联系人</w:t>
            </w:r>
          </w:p>
        </w:tc>
        <w:tc>
          <w:tcPr>
            <w:tcW w:w="2506" w:type="dxa"/>
            <w:tcBorders>
              <w:tl2br w:val="nil"/>
              <w:tr2bl w:val="nil"/>
            </w:tcBorders>
            <w:vAlign w:val="center"/>
          </w:tcPr>
          <w:p>
            <w:pPr>
              <w:widowControl/>
              <w:snapToGrid w:val="0"/>
              <w:spacing w:line="240" w:lineRule="atLeast"/>
              <w:jc w:val="center"/>
              <w:rPr>
                <w:rFonts w:ascii="Times New Roman" w:hAnsi="Times New Roman" w:cs="Times New Roman"/>
                <w:lang w:val="en-US"/>
              </w:rPr>
            </w:pPr>
            <w:r>
              <w:rPr>
                <w:rFonts w:ascii="Times New Roman" w:hAnsi="Times New Roman" w:cs="Times New Roman"/>
                <w:color w:val="000000"/>
                <w:lang w:val="en-US" w:bidi="ar"/>
              </w:rPr>
              <w:t>刘英</w:t>
            </w:r>
          </w:p>
        </w:tc>
        <w:tc>
          <w:tcPr>
            <w:tcW w:w="2094"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联系方式</w:t>
            </w:r>
          </w:p>
        </w:tc>
        <w:tc>
          <w:tcPr>
            <w:tcW w:w="3141" w:type="dxa"/>
            <w:tcBorders>
              <w:tl2br w:val="nil"/>
              <w:tr2bl w:val="nil"/>
            </w:tcBorders>
            <w:vAlign w:val="center"/>
          </w:tcPr>
          <w:p>
            <w:pPr>
              <w:widowControl/>
              <w:snapToGrid w:val="0"/>
              <w:spacing w:line="240" w:lineRule="atLeast"/>
              <w:jc w:val="center"/>
              <w:rPr>
                <w:rFonts w:ascii="Times New Roman" w:hAnsi="Times New Roman" w:cs="Times New Roman"/>
                <w:lang w:val="en-US"/>
              </w:rPr>
            </w:pPr>
            <w:r>
              <w:rPr>
                <w:rFonts w:ascii="Times New Roman" w:hAnsi="Times New Roman" w:cs="Times New Roman"/>
                <w:color w:val="000000" w:themeColor="text1"/>
                <w:lang w:val="en-US"/>
                <w14:textFill>
                  <w14:solidFill>
                    <w14:schemeClr w14:val="tx1"/>
                  </w14:solidFill>
                </w14:textFill>
              </w:rPr>
              <w:t>13888225309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建设地点</w:t>
            </w:r>
          </w:p>
        </w:tc>
        <w:tc>
          <w:tcPr>
            <w:tcW w:w="7741" w:type="dxa"/>
            <w:gridSpan w:val="3"/>
            <w:tcBorders>
              <w:tl2br w:val="nil"/>
              <w:tr2bl w:val="nil"/>
            </w:tcBorders>
            <w:vAlign w:val="center"/>
          </w:tcPr>
          <w:p>
            <w:pPr>
              <w:widowControl/>
              <w:snapToGrid w:val="0"/>
              <w:spacing w:line="240" w:lineRule="atLeast"/>
              <w:jc w:val="center"/>
              <w:rPr>
                <w:rFonts w:ascii="Times New Roman" w:hAnsi="Times New Roman" w:cs="Times New Roman"/>
              </w:rPr>
            </w:pPr>
            <w:r>
              <w:rPr>
                <w:rFonts w:ascii="Times New Roman" w:hAnsi="Times New Roman" w:cs="Times New Roman"/>
                <w:color w:val="000000"/>
                <w:u w:val="single"/>
                <w:lang w:val="en-US" w:bidi="ar"/>
              </w:rPr>
              <w:t>云南省（自治区）昆明市晋宁区（区）晋宁工业园区晋城基地（俊腾达标准化厂房C6栋1层）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3"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地理坐标</w:t>
            </w:r>
          </w:p>
        </w:tc>
        <w:tc>
          <w:tcPr>
            <w:tcW w:w="7741" w:type="dxa"/>
            <w:gridSpan w:val="3"/>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北纬</w:t>
            </w:r>
            <w:r>
              <w:rPr>
                <w:rFonts w:ascii="Times New Roman" w:hAnsi="Times New Roman" w:cs="Times New Roman"/>
                <w:color w:val="000000" w:themeColor="text1"/>
                <w:u w:val="single"/>
                <w:lang w:val="en-US"/>
                <w14:textFill>
                  <w14:solidFill>
                    <w14:schemeClr w14:val="tx1"/>
                  </w14:solidFill>
                </w14:textFill>
              </w:rPr>
              <w:t>24°39′55.573″</w:t>
            </w:r>
            <w:r>
              <w:rPr>
                <w:rFonts w:ascii="Times New Roman" w:hAnsi="Times New Roman" w:cs="Times New Roman"/>
                <w:color w:val="000000" w:themeColor="text1"/>
                <w:lang w:val="en-US"/>
                <w14:textFill>
                  <w14:solidFill>
                    <w14:schemeClr w14:val="tx1"/>
                  </w14:solidFill>
                </w14:textFill>
              </w:rPr>
              <w:t>、东经</w:t>
            </w:r>
            <w:r>
              <w:rPr>
                <w:rFonts w:ascii="Times New Roman" w:hAnsi="Times New Roman" w:cs="Times New Roman"/>
                <w:color w:val="000000" w:themeColor="text1"/>
                <w:u w:val="single"/>
                <w:lang w:val="en-US"/>
                <w14:textFill>
                  <w14:solidFill>
                    <w14:schemeClr w14:val="tx1"/>
                  </w14:solidFill>
                </w14:textFill>
              </w:rPr>
              <w:t>102°45′46.431″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国民经济行业类别</w:t>
            </w:r>
          </w:p>
        </w:tc>
        <w:tc>
          <w:tcPr>
            <w:tcW w:w="2506" w:type="dxa"/>
            <w:tcBorders>
              <w:tl2br w:val="nil"/>
              <w:tr2bl w:val="nil"/>
            </w:tcBorders>
            <w:vAlign w:val="center"/>
          </w:tcPr>
          <w:p>
            <w:pPr>
              <w:pStyle w:val="46"/>
              <w:snapToGrid w:val="0"/>
              <w:spacing w:line="240" w:lineRule="atLeast"/>
              <w:jc w:val="both"/>
              <w:rPr>
                <w:rFonts w:ascii="Times New Roman" w:hAnsi="Times New Roman" w:cs="Times New Roman"/>
              </w:rPr>
            </w:pPr>
            <w:r>
              <w:rPr>
                <w:rFonts w:ascii="Times New Roman" w:hAnsi="Times New Roman" w:cs="Times New Roman"/>
                <w:color w:val="000000"/>
                <w:lang w:val="en-US"/>
              </w:rPr>
              <w:t>C2926</w:t>
            </w:r>
            <w:r>
              <w:rPr>
                <w:rFonts w:ascii="Times New Roman" w:hAnsi="Times New Roman" w:cs="Times New Roman"/>
                <w:color w:val="000000"/>
              </w:rPr>
              <w:t xml:space="preserve"> 塑料包装箱及容器制造</w:t>
            </w:r>
          </w:p>
        </w:tc>
        <w:tc>
          <w:tcPr>
            <w:tcW w:w="2094"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建设项目行业类别</w:t>
            </w:r>
          </w:p>
        </w:tc>
        <w:tc>
          <w:tcPr>
            <w:tcW w:w="3141" w:type="dxa"/>
            <w:tcBorders>
              <w:tl2br w:val="nil"/>
              <w:tr2bl w:val="nil"/>
            </w:tcBorders>
            <w:vAlign w:val="center"/>
          </w:tcPr>
          <w:p>
            <w:pPr>
              <w:pStyle w:val="46"/>
              <w:snapToGrid w:val="0"/>
              <w:spacing w:line="240" w:lineRule="atLeast"/>
              <w:jc w:val="both"/>
              <w:rPr>
                <w:rFonts w:ascii="Times New Roman" w:hAnsi="Times New Roman" w:cs="Times New Roman"/>
                <w:lang w:val="en-US"/>
              </w:rPr>
            </w:pPr>
            <w:r>
              <w:rPr>
                <w:rFonts w:ascii="Times New Roman" w:hAnsi="Times New Roman" w:cs="Times New Roman"/>
                <w:lang w:val="en-US"/>
              </w:rPr>
              <w:t>53塑料制品业（其他年用非溶剂型低VOC</w:t>
            </w:r>
            <w:r>
              <w:rPr>
                <w:rFonts w:ascii="Times New Roman" w:hAnsi="Times New Roman" w:cs="Times New Roman"/>
                <w:vertAlign w:val="subscript"/>
                <w:lang w:val="en-US"/>
              </w:rPr>
              <w:t>S</w:t>
            </w:r>
            <w:r>
              <w:rPr>
                <w:rFonts w:ascii="Times New Roman" w:hAnsi="Times New Roman" w:cs="Times New Roman"/>
                <w:lang w:val="en-US"/>
              </w:rPr>
              <w:t>含量涂料10吨以下的除外）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p>
          <w:p>
            <w:pPr>
              <w:pStyle w:val="46"/>
              <w:snapToGrid w:val="0"/>
              <w:spacing w:line="240" w:lineRule="atLeast"/>
              <w:jc w:val="center"/>
              <w:rPr>
                <w:rFonts w:ascii="Times New Roman" w:hAnsi="Times New Roman" w:cs="Times New Roman"/>
              </w:rPr>
            </w:pPr>
          </w:p>
          <w:p>
            <w:pPr>
              <w:pStyle w:val="46"/>
              <w:snapToGrid w:val="0"/>
              <w:spacing w:line="240" w:lineRule="atLeast"/>
              <w:jc w:val="center"/>
              <w:rPr>
                <w:rFonts w:ascii="Times New Roman" w:hAnsi="Times New Roman" w:cs="Times New Roman"/>
              </w:rPr>
            </w:pPr>
            <w:r>
              <w:rPr>
                <w:rFonts w:ascii="Times New Roman" w:hAnsi="Times New Roman" w:cs="Times New Roman"/>
              </w:rPr>
              <w:t>建设性质</w:t>
            </w:r>
          </w:p>
        </w:tc>
        <w:tc>
          <w:tcPr>
            <w:tcW w:w="2506" w:type="dxa"/>
            <w:tcBorders>
              <w:tl2br w:val="nil"/>
              <w:tr2bl w:val="nil"/>
            </w:tcBorders>
            <w:vAlign w:val="center"/>
          </w:tcPr>
          <w:p>
            <w:pPr>
              <w:pStyle w:val="46"/>
              <w:snapToGrid w:val="0"/>
              <w:spacing w:line="240" w:lineRule="atLeast"/>
              <w:jc w:val="both"/>
              <w:rPr>
                <w:rFonts w:ascii="Times New Roman" w:hAnsi="Times New Roman" w:cs="Times New Roman"/>
              </w:rPr>
            </w:pPr>
            <w:r>
              <w:rPr>
                <w:rFonts w:ascii="Times New Roman" w:hAnsi="Times New Roman" w:cs="Times New Roman"/>
              </w:rPr>
              <w:sym w:font="Wingdings 2" w:char="0052"/>
            </w:r>
            <w:r>
              <w:rPr>
                <w:rFonts w:ascii="Times New Roman" w:hAnsi="Times New Roman" w:cs="Times New Roman"/>
              </w:rPr>
              <w:t>新建（迁建）</w:t>
            </w:r>
          </w:p>
          <w:p>
            <w:pPr>
              <w:pStyle w:val="46"/>
              <w:snapToGrid w:val="0"/>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改建</w:t>
            </w:r>
          </w:p>
          <w:p>
            <w:pPr>
              <w:pStyle w:val="46"/>
              <w:snapToGrid w:val="0"/>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扩建</w:t>
            </w:r>
          </w:p>
          <w:p>
            <w:pPr>
              <w:pStyle w:val="46"/>
              <w:snapToGrid w:val="0"/>
              <w:spacing w:line="240" w:lineRule="atLeast"/>
              <w:jc w:val="both"/>
              <w:rPr>
                <w:rFonts w:ascii="Times New Roman" w:hAnsi="Times New Roman" w:cs="Times New Roman"/>
              </w:rPr>
            </w:pPr>
            <w:r>
              <w:rPr>
                <w:rFonts w:ascii="Times New Roman" w:hAnsi="Times New Roman" w:cs="Times New Roman"/>
              </w:rPr>
              <w:sym w:font="Wingdings 2" w:char="00A3"/>
            </w:r>
            <w:r>
              <w:rPr>
                <w:rFonts w:ascii="Times New Roman" w:hAnsi="Times New Roman" w:cs="Times New Roman"/>
              </w:rPr>
              <w:t>技术改造</w:t>
            </w:r>
          </w:p>
        </w:tc>
        <w:tc>
          <w:tcPr>
            <w:tcW w:w="2094" w:type="dxa"/>
            <w:tcBorders>
              <w:tl2br w:val="nil"/>
              <w:tr2bl w:val="nil"/>
            </w:tcBorders>
            <w:vAlign w:val="center"/>
          </w:tcPr>
          <w:p>
            <w:pPr>
              <w:pStyle w:val="46"/>
              <w:snapToGrid w:val="0"/>
              <w:spacing w:line="240" w:lineRule="atLeast"/>
              <w:jc w:val="center"/>
              <w:rPr>
                <w:rFonts w:ascii="Times New Roman" w:hAnsi="Times New Roman" w:cs="Times New Roman"/>
              </w:rPr>
            </w:pPr>
          </w:p>
          <w:p>
            <w:pPr>
              <w:pStyle w:val="46"/>
              <w:snapToGrid w:val="0"/>
              <w:spacing w:line="240" w:lineRule="atLeast"/>
              <w:jc w:val="center"/>
              <w:rPr>
                <w:rFonts w:ascii="Times New Roman" w:hAnsi="Times New Roman" w:cs="Times New Roman"/>
              </w:rPr>
            </w:pPr>
            <w:r>
              <w:rPr>
                <w:rFonts w:ascii="Times New Roman" w:hAnsi="Times New Roman" w:cs="Times New Roman"/>
              </w:rPr>
              <w:t>建设项目申报情形</w:t>
            </w:r>
          </w:p>
        </w:tc>
        <w:tc>
          <w:tcPr>
            <w:tcW w:w="3141" w:type="dxa"/>
            <w:tcBorders>
              <w:tl2br w:val="nil"/>
              <w:tr2bl w:val="nil"/>
            </w:tcBorders>
            <w:vAlign w:val="center"/>
          </w:tcPr>
          <w:p>
            <w:pPr>
              <w:pStyle w:val="46"/>
              <w:snapToGrid w:val="0"/>
              <w:spacing w:line="240" w:lineRule="atLeast"/>
              <w:ind w:left="9"/>
              <w:jc w:val="both"/>
              <w:rPr>
                <w:rFonts w:ascii="Times New Roman" w:hAnsi="Times New Roman" w:cs="Times New Roman"/>
              </w:rPr>
            </w:pPr>
            <w:r>
              <w:rPr>
                <w:rFonts w:ascii="Times New Roman" w:hAnsi="Times New Roman" w:cs="Times New Roman"/>
              </w:rPr>
              <w:sym w:font="Wingdings 2" w:char="0052"/>
            </w:r>
            <w:r>
              <w:rPr>
                <w:rFonts w:ascii="Times New Roman" w:hAnsi="Times New Roman" w:cs="Times New Roman"/>
              </w:rPr>
              <w:t>首次申报项目</w:t>
            </w:r>
          </w:p>
          <w:p>
            <w:pPr>
              <w:pStyle w:val="46"/>
              <w:numPr>
                <w:ilvl w:val="0"/>
                <w:numId w:val="1"/>
              </w:numPr>
              <w:tabs>
                <w:tab w:val="left" w:pos="225"/>
              </w:tabs>
              <w:snapToGrid w:val="0"/>
              <w:spacing w:line="240" w:lineRule="atLeast"/>
              <w:ind w:hanging="216"/>
              <w:jc w:val="both"/>
              <w:rPr>
                <w:rFonts w:ascii="Times New Roman" w:hAnsi="Times New Roman" w:cs="Times New Roman"/>
              </w:rPr>
            </w:pPr>
            <w:r>
              <w:rPr>
                <w:rFonts w:ascii="Times New Roman" w:hAnsi="Times New Roman" w:cs="Times New Roman"/>
              </w:rPr>
              <w:t>不予批准后再次申报项目</w:t>
            </w:r>
          </w:p>
          <w:p>
            <w:pPr>
              <w:pStyle w:val="46"/>
              <w:numPr>
                <w:ilvl w:val="0"/>
                <w:numId w:val="1"/>
              </w:numPr>
              <w:tabs>
                <w:tab w:val="left" w:pos="225"/>
              </w:tabs>
              <w:snapToGrid w:val="0"/>
              <w:spacing w:line="240" w:lineRule="atLeast"/>
              <w:ind w:hanging="216"/>
              <w:jc w:val="both"/>
              <w:rPr>
                <w:rFonts w:ascii="Times New Roman" w:hAnsi="Times New Roman" w:cs="Times New Roman"/>
              </w:rPr>
            </w:pPr>
            <w:r>
              <w:rPr>
                <w:rFonts w:ascii="Times New Roman" w:hAnsi="Times New Roman" w:cs="Times New Roman"/>
              </w:rPr>
              <w:t>超五年重新审核项目</w:t>
            </w:r>
          </w:p>
          <w:p>
            <w:pPr>
              <w:pStyle w:val="46"/>
              <w:numPr>
                <w:ilvl w:val="0"/>
                <w:numId w:val="1"/>
              </w:numPr>
              <w:tabs>
                <w:tab w:val="left" w:pos="225"/>
              </w:tabs>
              <w:snapToGrid w:val="0"/>
              <w:spacing w:line="240" w:lineRule="atLeast"/>
              <w:ind w:hanging="216"/>
              <w:jc w:val="both"/>
              <w:rPr>
                <w:rFonts w:ascii="Times New Roman" w:hAnsi="Times New Roman" w:cs="Times New Roman"/>
              </w:rPr>
            </w:pPr>
            <w:r>
              <w:rPr>
                <w:rFonts w:ascii="Times New Roman" w:hAnsi="Times New Roman" w:cs="Times New Roman"/>
              </w:rPr>
              <w:t>重大变动重新报批项目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spacing w:val="-1"/>
              </w:rPr>
              <w:t>项目审批</w:t>
            </w:r>
            <w:r>
              <w:rPr>
                <w:rFonts w:ascii="Times New Roman" w:hAnsi="Times New Roman" w:cs="Times New Roman"/>
                <w:spacing w:val="-3"/>
              </w:rPr>
              <w:t>（</w:t>
            </w:r>
            <w:r>
              <w:rPr>
                <w:rFonts w:ascii="Times New Roman" w:hAnsi="Times New Roman" w:cs="Times New Roman"/>
                <w:spacing w:val="-2"/>
              </w:rPr>
              <w:t>核准</w:t>
            </w:r>
            <w:r>
              <w:rPr>
                <w:rFonts w:ascii="Times New Roman" w:hAnsi="Times New Roman" w:cs="Times New Roman"/>
                <w:spacing w:val="-3"/>
              </w:rPr>
              <w:t xml:space="preserve">/ </w:t>
            </w:r>
            <w:r>
              <w:rPr>
                <w:rFonts w:ascii="Times New Roman" w:hAnsi="Times New Roman" w:cs="Times New Roman"/>
              </w:rPr>
              <w:t>备案</w:t>
            </w:r>
            <w:r>
              <w:rPr>
                <w:rFonts w:ascii="Times New Roman" w:hAnsi="Times New Roman" w:cs="Times New Roman"/>
                <w:spacing w:val="-3"/>
              </w:rPr>
              <w:t>）</w:t>
            </w:r>
            <w:r>
              <w:rPr>
                <w:rFonts w:ascii="Times New Roman" w:hAnsi="Times New Roman" w:cs="Times New Roman"/>
                <w:spacing w:val="-2"/>
              </w:rPr>
              <w:t>部门</w:t>
            </w:r>
            <w:r>
              <w:rPr>
                <w:rFonts w:ascii="Times New Roman" w:hAnsi="Times New Roman" w:cs="Times New Roman"/>
              </w:rPr>
              <w:t>（</w:t>
            </w:r>
            <w:r>
              <w:rPr>
                <w:rFonts w:ascii="Times New Roman" w:hAnsi="Times New Roman" w:cs="Times New Roman"/>
                <w:spacing w:val="-2"/>
              </w:rPr>
              <w:t>选填</w:t>
            </w:r>
            <w:r>
              <w:rPr>
                <w:rFonts w:ascii="Times New Roman" w:hAnsi="Times New Roman" w:cs="Times New Roman"/>
                <w:spacing w:val="-3"/>
              </w:rPr>
              <w:t>）</w:t>
            </w:r>
          </w:p>
        </w:tc>
        <w:tc>
          <w:tcPr>
            <w:tcW w:w="2506" w:type="dxa"/>
            <w:tcBorders>
              <w:tl2br w:val="nil"/>
              <w:tr2bl w:val="nil"/>
            </w:tcBorders>
            <w:vAlign w:val="center"/>
          </w:tcPr>
          <w:p>
            <w:pPr>
              <w:pStyle w:val="46"/>
              <w:snapToGrid w:val="0"/>
              <w:spacing w:line="240" w:lineRule="atLeast"/>
              <w:jc w:val="center"/>
              <w:rPr>
                <w:rFonts w:ascii="Times New Roman" w:hAnsi="Times New Roman" w:cs="Times New Roman"/>
              </w:rPr>
            </w:pPr>
          </w:p>
          <w:p>
            <w:pPr>
              <w:pStyle w:val="46"/>
              <w:snapToGrid w:val="0"/>
              <w:spacing w:line="240" w:lineRule="atLeast"/>
              <w:jc w:val="center"/>
              <w:rPr>
                <w:rFonts w:ascii="Times New Roman" w:hAnsi="Times New Roman" w:cs="Times New Roman"/>
              </w:rPr>
            </w:pPr>
            <w:r>
              <w:rPr>
                <w:rFonts w:ascii="Times New Roman" w:hAnsi="Times New Roman" w:cs="Times New Roman"/>
                <w:lang w:val="en-US"/>
              </w:rPr>
              <w:t>晋宁区发展和改革局</w:t>
            </w:r>
          </w:p>
          <w:p>
            <w:pPr>
              <w:pStyle w:val="46"/>
              <w:snapToGrid w:val="0"/>
              <w:spacing w:line="240" w:lineRule="atLeast"/>
              <w:jc w:val="center"/>
              <w:rPr>
                <w:rFonts w:ascii="Times New Roman" w:hAnsi="Times New Roman" w:cs="Times New Roman"/>
              </w:rPr>
            </w:pPr>
          </w:p>
        </w:tc>
        <w:tc>
          <w:tcPr>
            <w:tcW w:w="2094"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项目审批（核准/ 备案）文号（选填）</w:t>
            </w:r>
          </w:p>
        </w:tc>
        <w:tc>
          <w:tcPr>
            <w:tcW w:w="3141" w:type="dxa"/>
            <w:tcBorders>
              <w:tl2br w:val="nil"/>
              <w:tr2bl w:val="nil"/>
            </w:tcBorders>
            <w:vAlign w:val="center"/>
          </w:tcPr>
          <w:p>
            <w:pPr>
              <w:pStyle w:val="46"/>
              <w:snapToGrid w:val="0"/>
              <w:spacing w:line="240" w:lineRule="atLeast"/>
              <w:jc w:val="center"/>
              <w:rPr>
                <w:rFonts w:ascii="Times New Roman" w:hAnsi="Times New Roman" w:cs="Times New Roman"/>
              </w:rPr>
            </w:pPr>
          </w:p>
          <w:p>
            <w:pPr>
              <w:pStyle w:val="46"/>
              <w:snapToGrid w:val="0"/>
              <w:spacing w:line="240" w:lineRule="atLeast"/>
              <w:jc w:val="center"/>
              <w:rPr>
                <w:rFonts w:ascii="Times New Roman" w:hAnsi="Times New Roman" w:cs="Times New Roman"/>
                <w:lang w:val="en-US"/>
              </w:rPr>
            </w:pPr>
            <w:r>
              <w:rPr>
                <w:rFonts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总投资（万元）</w:t>
            </w:r>
          </w:p>
        </w:tc>
        <w:tc>
          <w:tcPr>
            <w:tcW w:w="2506" w:type="dxa"/>
            <w:tcBorders>
              <w:tl2br w:val="nil"/>
              <w:tr2bl w:val="nil"/>
            </w:tcBorders>
            <w:vAlign w:val="center"/>
          </w:tcPr>
          <w:p>
            <w:pPr>
              <w:pStyle w:val="46"/>
              <w:snapToGrid w:val="0"/>
              <w:spacing w:line="240" w:lineRule="atLeast"/>
              <w:jc w:val="center"/>
              <w:rPr>
                <w:rFonts w:ascii="Times New Roman" w:hAnsi="Times New Roman" w:cs="Times New Roman"/>
                <w:lang w:val="en-US"/>
              </w:rPr>
            </w:pPr>
            <w:r>
              <w:rPr>
                <w:rFonts w:ascii="Times New Roman" w:hAnsi="Times New Roman" w:cs="Times New Roman"/>
                <w:lang w:val="en-US"/>
              </w:rPr>
              <w:t>1020</w:t>
            </w:r>
          </w:p>
        </w:tc>
        <w:tc>
          <w:tcPr>
            <w:tcW w:w="2094"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环保投资（万元）</w:t>
            </w:r>
          </w:p>
        </w:tc>
        <w:tc>
          <w:tcPr>
            <w:tcW w:w="3141" w:type="dxa"/>
            <w:tcBorders>
              <w:tl2br w:val="nil"/>
              <w:tr2bl w:val="nil"/>
            </w:tcBorders>
            <w:vAlign w:val="center"/>
          </w:tcPr>
          <w:p>
            <w:pPr>
              <w:pStyle w:val="46"/>
              <w:snapToGrid w:val="0"/>
              <w:spacing w:line="240" w:lineRule="atLeast"/>
              <w:jc w:val="center"/>
              <w:rPr>
                <w:rFonts w:ascii="Times New Roman" w:hAnsi="Times New Roman" w:cs="Times New Roman"/>
                <w:lang w:val="en-US"/>
              </w:rPr>
            </w:pPr>
            <w:r>
              <w:rPr>
                <w:rFonts w:ascii="Times New Roman" w:hAnsi="Times New Roman" w:cs="Times New Roman"/>
                <w:color w:val="000000" w:themeColor="text1"/>
                <w:lang w:val="en-US"/>
                <w14:textFill>
                  <w14:solidFill>
                    <w14:schemeClr w14:val="tx1"/>
                  </w14:solidFill>
                </w14:textFill>
              </w:rPr>
              <w:t>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环保投资占比（%）</w:t>
            </w:r>
          </w:p>
        </w:tc>
        <w:tc>
          <w:tcPr>
            <w:tcW w:w="2506" w:type="dxa"/>
            <w:tcBorders>
              <w:tl2br w:val="nil"/>
              <w:tr2bl w:val="nil"/>
            </w:tcBorders>
            <w:vAlign w:val="center"/>
          </w:tcPr>
          <w:p>
            <w:pPr>
              <w:pStyle w:val="46"/>
              <w:snapToGrid w:val="0"/>
              <w:spacing w:line="240" w:lineRule="atLeast"/>
              <w:jc w:val="center"/>
              <w:rPr>
                <w:rFonts w:ascii="Times New Roman" w:hAnsi="Times New Roman" w:cs="Times New Roman"/>
                <w:lang w:val="en-US"/>
              </w:rPr>
            </w:pPr>
            <w:r>
              <w:rPr>
                <w:rFonts w:hint="eastAsia" w:ascii="Times New Roman" w:hAnsi="Times New Roman" w:cs="Times New Roman"/>
                <w:color w:val="000000" w:themeColor="text1"/>
                <w:lang w:val="en-US" w:eastAsia="zh-CN"/>
                <w14:textFill>
                  <w14:solidFill>
                    <w14:schemeClr w14:val="tx1"/>
                  </w14:solidFill>
                </w14:textFill>
              </w:rPr>
              <w:t>2.28</w:t>
            </w:r>
            <w:r>
              <w:rPr>
                <w:rFonts w:ascii="Times New Roman" w:hAnsi="Times New Roman" w:cs="Times New Roman"/>
                <w:color w:val="000000" w:themeColor="text1"/>
                <w:lang w:val="en-US"/>
                <w14:textFill>
                  <w14:solidFill>
                    <w14:schemeClr w14:val="tx1"/>
                  </w14:solidFill>
                </w14:textFill>
              </w:rPr>
              <w:t>%</w:t>
            </w:r>
          </w:p>
        </w:tc>
        <w:tc>
          <w:tcPr>
            <w:tcW w:w="2094"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施工工期</w:t>
            </w:r>
          </w:p>
        </w:tc>
        <w:tc>
          <w:tcPr>
            <w:tcW w:w="3141" w:type="dxa"/>
            <w:tcBorders>
              <w:tl2br w:val="nil"/>
              <w:tr2bl w:val="nil"/>
            </w:tcBorders>
            <w:vAlign w:val="center"/>
          </w:tcPr>
          <w:p>
            <w:pPr>
              <w:pStyle w:val="46"/>
              <w:snapToGrid w:val="0"/>
              <w:spacing w:line="240" w:lineRule="atLeast"/>
              <w:jc w:val="center"/>
              <w:rPr>
                <w:rFonts w:ascii="Times New Roman" w:hAnsi="Times New Roman" w:cs="Times New Roman"/>
                <w:lang w:val="en-US"/>
              </w:rPr>
            </w:pPr>
            <w:r>
              <w:rPr>
                <w:rFonts w:ascii="Times New Roman" w:hAnsi="Times New Roman" w:cs="Times New Roman"/>
                <w:color w:val="000000" w:themeColor="text1"/>
                <w:lang w:val="en-US"/>
                <w14:textFill>
                  <w14:solidFill>
                    <w14:schemeClr w14:val="tx1"/>
                  </w14:solidFill>
                </w14:textFill>
              </w:rPr>
              <w:t>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163"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是否开工建设</w:t>
            </w:r>
          </w:p>
        </w:tc>
        <w:tc>
          <w:tcPr>
            <w:tcW w:w="2506" w:type="dxa"/>
            <w:tcBorders>
              <w:tl2br w:val="nil"/>
              <w:tr2bl w:val="nil"/>
            </w:tcBorders>
            <w:vAlign w:val="center"/>
          </w:tcPr>
          <w:p>
            <w:pPr>
              <w:pStyle w:val="46"/>
              <w:tabs>
                <w:tab w:val="left" w:pos="199"/>
              </w:tabs>
              <w:snapToGrid w:val="0"/>
              <w:spacing w:line="240" w:lineRule="atLeast"/>
              <w:jc w:val="both"/>
              <w:rPr>
                <w:rFonts w:ascii="Times New Roman" w:hAnsi="Times New Roman" w:cs="Times New Roman"/>
              </w:rPr>
            </w:pPr>
            <w:r>
              <w:rPr>
                <w:rFonts w:ascii="Times New Roman" w:hAnsi="Times New Roman" w:cs="Times New Roman"/>
                <w:spacing w:val="-1"/>
              </w:rPr>
              <w:sym w:font="Wingdings 2" w:char="0052"/>
            </w:r>
            <w:r>
              <w:rPr>
                <w:rFonts w:ascii="Times New Roman" w:hAnsi="Times New Roman" w:cs="Times New Roman"/>
                <w:spacing w:val="-3"/>
              </w:rPr>
              <w:t>否</w:t>
            </w:r>
          </w:p>
          <w:p>
            <w:pPr>
              <w:pStyle w:val="46"/>
              <w:tabs>
                <w:tab w:val="left" w:pos="199"/>
              </w:tabs>
              <w:snapToGrid w:val="0"/>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rPr>
              <w:t>是</w:t>
            </w:r>
          </w:p>
        </w:tc>
        <w:tc>
          <w:tcPr>
            <w:tcW w:w="2094" w:type="dxa"/>
            <w:tcBorders>
              <w:tl2br w:val="nil"/>
              <w:tr2bl w:val="nil"/>
            </w:tcBorders>
            <w:vAlign w:val="center"/>
          </w:tcPr>
          <w:p>
            <w:pPr>
              <w:pStyle w:val="46"/>
              <w:snapToGrid w:val="0"/>
              <w:spacing w:line="240" w:lineRule="atLeast"/>
              <w:jc w:val="center"/>
              <w:rPr>
                <w:rFonts w:ascii="Times New Roman" w:hAnsi="Times New Roman" w:cs="Times New Roman"/>
              </w:rPr>
            </w:pPr>
            <w:r>
              <w:rPr>
                <w:rFonts w:ascii="Times New Roman" w:hAnsi="Times New Roman" w:cs="Times New Roman"/>
              </w:rPr>
              <w:t>用地（用海） 面积（m</w:t>
            </w:r>
            <w:r>
              <w:rPr>
                <w:rFonts w:ascii="Times New Roman" w:hAnsi="Times New Roman" w:cs="Times New Roman"/>
                <w:vertAlign w:val="superscript"/>
                <w:lang w:val="en-US"/>
              </w:rPr>
              <w:t>2</w:t>
            </w:r>
            <w:r>
              <w:rPr>
                <w:rFonts w:ascii="Times New Roman" w:hAnsi="Times New Roman" w:cs="Times New Roman"/>
              </w:rPr>
              <w:t>）</w:t>
            </w:r>
          </w:p>
        </w:tc>
        <w:tc>
          <w:tcPr>
            <w:tcW w:w="3141" w:type="dxa"/>
            <w:tcBorders>
              <w:tl2br w:val="nil"/>
              <w:tr2bl w:val="nil"/>
            </w:tcBorders>
            <w:vAlign w:val="center"/>
          </w:tcPr>
          <w:p>
            <w:pPr>
              <w:pStyle w:val="46"/>
              <w:snapToGrid w:val="0"/>
              <w:spacing w:line="240" w:lineRule="atLeast"/>
              <w:jc w:val="center"/>
              <w:rPr>
                <w:rFonts w:ascii="Times New Roman" w:hAnsi="Times New Roman" w:cs="Times New Roman"/>
                <w:lang w:val="en-US"/>
              </w:rPr>
            </w:pPr>
            <w:r>
              <w:rPr>
                <w:rFonts w:ascii="Times New Roman" w:hAnsi="Times New Roman" w:cs="Times New Roman"/>
                <w:color w:val="000000"/>
                <w:lang w:val="en-US" w:bidi="ar"/>
              </w:rPr>
              <w:t>2569.2</w:t>
            </w:r>
            <w:r>
              <w:rPr>
                <w:rFonts w:ascii="Times New Roman" w:hAnsi="Times New Roman" w:cs="Times New Roman"/>
                <w:lang w:val="en-US"/>
              </w:rPr>
              <w:t>m</w:t>
            </w:r>
            <w:r>
              <w:rPr>
                <w:rFonts w:ascii="Times New Roman" w:hAnsi="Times New Roman" w:cs="Times New Roman"/>
                <w:vertAlign w:val="superscript"/>
                <w:lang w:val="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163" w:type="dxa"/>
            <w:tcBorders>
              <w:tl2br w:val="nil"/>
              <w:tr2bl w:val="nil"/>
            </w:tcBorders>
            <w:vAlign w:val="center"/>
          </w:tcPr>
          <w:p>
            <w:pPr>
              <w:pStyle w:val="46"/>
              <w:snapToGrid w:val="0"/>
              <w:spacing w:line="360" w:lineRule="auto"/>
              <w:jc w:val="center"/>
              <w:rPr>
                <w:rFonts w:ascii="Times New Roman" w:hAnsi="Times New Roman" w:cs="Times New Roman"/>
              </w:rPr>
            </w:pPr>
          </w:p>
          <w:p>
            <w:pPr>
              <w:pStyle w:val="46"/>
              <w:snapToGrid w:val="0"/>
              <w:spacing w:line="360" w:lineRule="auto"/>
              <w:jc w:val="center"/>
              <w:rPr>
                <w:rFonts w:ascii="Times New Roman" w:hAnsi="Times New Roman" w:cs="Times New Roman"/>
              </w:rPr>
            </w:pPr>
            <w:r>
              <w:rPr>
                <w:rFonts w:ascii="Times New Roman" w:hAnsi="Times New Roman" w:cs="Times New Roman"/>
              </w:rPr>
              <w:t>专项评价设置情况</w:t>
            </w:r>
          </w:p>
        </w:tc>
        <w:tc>
          <w:tcPr>
            <w:tcW w:w="7741" w:type="dxa"/>
            <w:gridSpan w:val="3"/>
            <w:tcBorders>
              <w:tl2br w:val="nil"/>
              <w:tr2bl w:val="nil"/>
            </w:tcBorders>
            <w:vAlign w:val="center"/>
          </w:tcPr>
          <w:p>
            <w:pPr>
              <w:pStyle w:val="46"/>
              <w:snapToGrid w:val="0"/>
              <w:spacing w:line="360" w:lineRule="auto"/>
              <w:ind w:firstLine="480" w:firstLineChars="200"/>
              <w:rPr>
                <w:rFonts w:ascii="Times New Roman" w:hAnsi="Times New Roman" w:cs="Times New Roman"/>
              </w:rPr>
            </w:pPr>
            <w:r>
              <w:rPr>
                <w:rFonts w:ascii="Times New Roman" w:hAnsi="Times New Roman" w:cs="Times New Roman"/>
                <w:color w:val="000000"/>
                <w:lang w:val="en-US"/>
              </w:rPr>
              <w:t>根据《建设项目环境影响报告表编制技术指南（污染影响类）（试行）》表1专项评价设置原则表中排放废气含有毒有害污染物、二噁英、苯并[a]芘、氰化物、氯气且厂界外500米范围内有环境空气保护目标的建设项目，本项目排放废气不含有毒有害污染物、二噁英、苯并[a]芘、氰化物、氯气，但厂界外435米范围内有环境空气保护目标大场村，因此不符合建设项目环境影响报告表编制技术指南（污染影响类）（试行）》表1专项评价设置原则表中排放废气含有毒有害污染物、二噁英、苯并[a]芘、氰化物、氯气且厂界外500米范围内有环境空气保护目标的建设项目，故不设大气专章。项目无工业废水外排，不设地表水专章。项目涉及的有毒有害和易燃易爆物质存储量均未超过临界值，无需设置风险专章。项目不涉及取水口，无需设置生态专章。综上，项目不设置专项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1163" w:type="dxa"/>
            <w:tcBorders>
              <w:tl2br w:val="nil"/>
              <w:tr2bl w:val="nil"/>
            </w:tcBorders>
            <w:vAlign w:val="center"/>
          </w:tcPr>
          <w:p>
            <w:pPr>
              <w:pStyle w:val="46"/>
              <w:snapToGrid w:val="0"/>
              <w:jc w:val="center"/>
              <w:rPr>
                <w:rFonts w:ascii="Times New Roman" w:hAnsi="Times New Roman" w:cs="Times New Roman"/>
              </w:rPr>
            </w:pPr>
            <w:r>
              <w:rPr>
                <w:rFonts w:ascii="Times New Roman" w:hAnsi="Times New Roman" w:cs="Times New Roman"/>
              </w:rPr>
              <w:t>规划情况</w:t>
            </w:r>
          </w:p>
        </w:tc>
        <w:tc>
          <w:tcPr>
            <w:tcW w:w="7741" w:type="dxa"/>
            <w:gridSpan w:val="3"/>
            <w:tcBorders>
              <w:tl2br w:val="nil"/>
              <w:tr2bl w:val="nil"/>
            </w:tcBorders>
            <w:vAlign w:val="center"/>
          </w:tcPr>
          <w:p>
            <w:pPr>
              <w:autoSpaceDE/>
              <w:autoSpaceDN/>
              <w:adjustRightInd w:val="0"/>
              <w:snapToGrid w:val="0"/>
              <w:spacing w:line="360" w:lineRule="auto"/>
              <w:ind w:firstLine="480" w:firstLineChars="200"/>
              <w:rPr>
                <w:rFonts w:ascii="Times New Roman" w:hAnsi="Times New Roman" w:cs="Times New Roman"/>
                <w:kern w:val="2"/>
                <w:szCs w:val="32"/>
                <w:lang w:bidi="ar-SA"/>
              </w:rPr>
            </w:pPr>
            <w:r>
              <w:rPr>
                <w:rFonts w:ascii="Times New Roman" w:hAnsi="Times New Roman" w:cs="Times New Roman"/>
                <w:kern w:val="2"/>
                <w:szCs w:val="32"/>
                <w:lang w:val="en-US" w:bidi="ar-SA"/>
              </w:rPr>
              <w:t>规划名称：</w:t>
            </w:r>
            <w:r>
              <w:rPr>
                <w:rFonts w:ascii="Times New Roman" w:hAnsi="Times New Roman" w:cs="Times New Roman"/>
                <w:kern w:val="2"/>
                <w:szCs w:val="32"/>
                <w:lang w:bidi="ar-SA"/>
              </w:rPr>
              <w:t>云南晋宁工业园区总体规划修（2012-2030）</w:t>
            </w:r>
          </w:p>
          <w:p>
            <w:pPr>
              <w:autoSpaceDE/>
              <w:autoSpaceDN/>
              <w:adjustRightInd w:val="0"/>
              <w:snapToGrid w:val="0"/>
              <w:spacing w:line="360" w:lineRule="auto"/>
              <w:ind w:firstLine="480" w:firstLineChars="200"/>
              <w:rPr>
                <w:rFonts w:ascii="Times New Roman" w:hAnsi="Times New Roman" w:cs="Times New Roman"/>
                <w:kern w:val="2"/>
                <w:szCs w:val="32"/>
                <w:lang w:bidi="ar-SA"/>
              </w:rPr>
            </w:pPr>
            <w:r>
              <w:rPr>
                <w:rFonts w:ascii="Times New Roman" w:hAnsi="Times New Roman" w:cs="Times New Roman"/>
                <w:kern w:val="2"/>
                <w:szCs w:val="32"/>
                <w:lang w:val="en-US" w:bidi="ar-SA"/>
              </w:rPr>
              <w:t>审批</w:t>
            </w:r>
            <w:r>
              <w:rPr>
                <w:rFonts w:ascii="Times New Roman" w:hAnsi="Times New Roman" w:cs="Times New Roman"/>
                <w:kern w:val="2"/>
                <w:szCs w:val="32"/>
                <w:lang w:bidi="ar-SA"/>
              </w:rPr>
              <w:t>机关：</w:t>
            </w:r>
            <w:r>
              <w:rPr>
                <w:rFonts w:ascii="Times New Roman" w:hAnsi="Times New Roman" w:cs="Times New Roman"/>
                <w:kern w:val="2"/>
                <w:szCs w:val="32"/>
                <w:lang w:val="en-US" w:bidi="ar-SA"/>
              </w:rPr>
              <w:t>云南省工业和信息化委员会</w:t>
            </w:r>
            <w:r>
              <w:rPr>
                <w:rFonts w:ascii="Times New Roman" w:hAnsi="Times New Roman" w:cs="Times New Roman"/>
                <w:kern w:val="2"/>
                <w:szCs w:val="32"/>
                <w:lang w:bidi="ar-SA"/>
              </w:rPr>
              <w:t>；</w:t>
            </w:r>
          </w:p>
          <w:p>
            <w:pPr>
              <w:pStyle w:val="46"/>
              <w:snapToGrid w:val="0"/>
              <w:spacing w:line="360" w:lineRule="auto"/>
              <w:ind w:firstLine="480" w:firstLineChars="200"/>
              <w:jc w:val="both"/>
              <w:rPr>
                <w:rFonts w:ascii="Times New Roman" w:hAnsi="Times New Roman" w:cs="Times New Roman"/>
              </w:rPr>
            </w:pPr>
            <w:r>
              <w:rPr>
                <w:rFonts w:ascii="Times New Roman" w:hAnsi="Times New Roman" w:cs="Times New Roman"/>
                <w:kern w:val="2"/>
                <w:szCs w:val="32"/>
                <w:lang w:val="en-US" w:bidi="ar-SA"/>
              </w:rPr>
              <w:t>审批</w:t>
            </w:r>
            <w:r>
              <w:rPr>
                <w:rFonts w:ascii="Times New Roman" w:hAnsi="Times New Roman" w:cs="Times New Roman"/>
                <w:kern w:val="2"/>
                <w:szCs w:val="32"/>
                <w:lang w:bidi="ar-SA"/>
              </w:rPr>
              <w:t>文件</w:t>
            </w:r>
            <w:r>
              <w:rPr>
                <w:rFonts w:ascii="Times New Roman" w:hAnsi="Times New Roman" w:cs="Times New Roman"/>
                <w:kern w:val="2"/>
                <w:szCs w:val="32"/>
                <w:lang w:val="en-US" w:bidi="ar-SA"/>
              </w:rPr>
              <w:t>名称及文号</w:t>
            </w:r>
            <w:r>
              <w:rPr>
                <w:rFonts w:ascii="Times New Roman" w:hAnsi="Times New Roman" w:cs="Times New Roman"/>
                <w:kern w:val="2"/>
                <w:szCs w:val="32"/>
                <w:lang w:bidi="ar-SA"/>
              </w:rPr>
              <w:t>：“</w:t>
            </w:r>
            <w:r>
              <w:rPr>
                <w:rFonts w:ascii="Times New Roman" w:hAnsi="Times New Roman" w:cs="Times New Roman"/>
                <w:kern w:val="2"/>
                <w:szCs w:val="32"/>
                <w:lang w:val="en-US" w:bidi="ar-SA"/>
              </w:rPr>
              <w:t>云南省工业和信息化委员</w:t>
            </w:r>
            <w:r>
              <w:rPr>
                <w:rFonts w:ascii="Times New Roman" w:hAnsi="Times New Roman" w:cs="Times New Roman"/>
                <w:kern w:val="2"/>
                <w:szCs w:val="32"/>
                <w:lang w:bidi="ar-SA"/>
              </w:rPr>
              <w:t>关于云南晋宁工业园区总体规划修编</w:t>
            </w:r>
            <w:r>
              <w:rPr>
                <w:rFonts w:ascii="Times New Roman" w:hAnsi="Times New Roman" w:cs="Times New Roman"/>
                <w:kern w:val="2"/>
                <w:szCs w:val="32"/>
                <w:lang w:val="en-US" w:bidi="ar-SA"/>
              </w:rPr>
              <w:t>给予以备案</w:t>
            </w:r>
            <w:r>
              <w:rPr>
                <w:rFonts w:ascii="Times New Roman" w:hAnsi="Times New Roman" w:cs="Times New Roman"/>
                <w:kern w:val="2"/>
                <w:szCs w:val="32"/>
                <w:lang w:bidi="ar-SA"/>
              </w:rPr>
              <w:t>的</w:t>
            </w:r>
            <w:r>
              <w:rPr>
                <w:rFonts w:ascii="Times New Roman" w:hAnsi="Times New Roman" w:cs="Times New Roman"/>
                <w:kern w:val="2"/>
                <w:szCs w:val="32"/>
                <w:lang w:val="en-US" w:bidi="ar-SA"/>
              </w:rPr>
              <w:t>意见</w:t>
            </w:r>
            <w:r>
              <w:rPr>
                <w:rFonts w:ascii="Times New Roman" w:hAnsi="Times New Roman" w:cs="Times New Roman"/>
                <w:kern w:val="2"/>
                <w:szCs w:val="32"/>
                <w:lang w:bidi="ar-SA"/>
              </w:rPr>
              <w:t>”（</w:t>
            </w:r>
            <w:r>
              <w:rPr>
                <w:rFonts w:ascii="Times New Roman" w:hAnsi="Times New Roman" w:cs="Times New Roman"/>
                <w:kern w:val="2"/>
                <w:szCs w:val="32"/>
                <w:lang w:val="en-US" w:bidi="ar-SA"/>
              </w:rPr>
              <w:t>园区</w:t>
            </w:r>
            <w:r>
              <w:rPr>
                <w:rFonts w:ascii="Times New Roman" w:hAnsi="Times New Roman" w:cs="Times New Roman"/>
                <w:kern w:val="2"/>
                <w:szCs w:val="32"/>
                <w:lang w:bidi="ar-SA"/>
              </w:rPr>
              <w:t>【20</w:t>
            </w:r>
            <w:r>
              <w:rPr>
                <w:rFonts w:ascii="Times New Roman" w:hAnsi="Times New Roman" w:cs="Times New Roman"/>
                <w:kern w:val="2"/>
                <w:szCs w:val="32"/>
                <w:lang w:val="en-US" w:bidi="ar-SA"/>
              </w:rPr>
              <w:t>12</w:t>
            </w:r>
            <w:r>
              <w:rPr>
                <w:rFonts w:ascii="Times New Roman" w:hAnsi="Times New Roman" w:cs="Times New Roman"/>
                <w:kern w:val="2"/>
                <w:szCs w:val="32"/>
                <w:lang w:bidi="ar-SA"/>
              </w:rPr>
              <w:t>】</w:t>
            </w:r>
            <w:r>
              <w:rPr>
                <w:rFonts w:ascii="Times New Roman" w:hAnsi="Times New Roman" w:cs="Times New Roman"/>
                <w:kern w:val="2"/>
                <w:szCs w:val="32"/>
                <w:lang w:val="en-US" w:bidi="ar-SA"/>
              </w:rPr>
              <w:t>684</w:t>
            </w:r>
            <w:r>
              <w:rPr>
                <w:rFonts w:ascii="Times New Roman" w:hAnsi="Times New Roman" w:cs="Times New Roman"/>
                <w:kern w:val="2"/>
                <w:szCs w:val="32"/>
                <w:lang w:bidi="ar-SA"/>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163" w:type="dxa"/>
            <w:tcBorders>
              <w:tl2br w:val="nil"/>
              <w:tr2bl w:val="nil"/>
            </w:tcBorders>
            <w:vAlign w:val="center"/>
          </w:tcPr>
          <w:p>
            <w:pPr>
              <w:pStyle w:val="46"/>
              <w:snapToGrid w:val="0"/>
              <w:spacing w:line="360" w:lineRule="auto"/>
              <w:jc w:val="center"/>
              <w:rPr>
                <w:rFonts w:ascii="Times New Roman" w:hAnsi="Times New Roman" w:cs="Times New Roman"/>
              </w:rPr>
            </w:pPr>
          </w:p>
          <w:p>
            <w:pPr>
              <w:pStyle w:val="46"/>
              <w:snapToGrid w:val="0"/>
              <w:spacing w:line="360" w:lineRule="auto"/>
              <w:jc w:val="center"/>
              <w:rPr>
                <w:rFonts w:ascii="Times New Roman" w:hAnsi="Times New Roman" w:cs="Times New Roman"/>
              </w:rPr>
            </w:pPr>
            <w:r>
              <w:rPr>
                <w:rFonts w:ascii="Times New Roman" w:hAnsi="Times New Roman" w:cs="Times New Roman"/>
              </w:rPr>
              <w:t>规划环境影响评价情况</w:t>
            </w:r>
          </w:p>
        </w:tc>
        <w:tc>
          <w:tcPr>
            <w:tcW w:w="7741" w:type="dxa"/>
            <w:gridSpan w:val="3"/>
            <w:tcBorders>
              <w:tl2br w:val="nil"/>
              <w:tr2bl w:val="nil"/>
            </w:tcBorders>
            <w:vAlign w:val="center"/>
          </w:tcPr>
          <w:p>
            <w:pPr>
              <w:numPr>
                <w:ilvl w:val="0"/>
                <w:numId w:val="2"/>
              </w:numPr>
              <w:autoSpaceDE/>
              <w:autoSpaceDN/>
              <w:spacing w:line="360" w:lineRule="auto"/>
              <w:ind w:firstLine="480"/>
              <w:rPr>
                <w:rFonts w:ascii="Times New Roman" w:hAnsi="Times New Roman" w:cs="Times New Roman"/>
              </w:rPr>
            </w:pPr>
            <w:r>
              <w:rPr>
                <w:rFonts w:ascii="Times New Roman" w:hAnsi="Times New Roman" w:cs="Times New Roman"/>
              </w:rPr>
              <w:t>规划环境影响评价文件名称：《云南晋宁工业园区总体规划修编（2012-2030）环境影响报告书》；</w:t>
            </w:r>
          </w:p>
          <w:p>
            <w:pPr>
              <w:numPr>
                <w:ilvl w:val="0"/>
                <w:numId w:val="2"/>
              </w:numPr>
              <w:autoSpaceDE/>
              <w:autoSpaceDN/>
              <w:spacing w:line="360" w:lineRule="auto"/>
              <w:ind w:firstLine="480"/>
              <w:rPr>
                <w:rFonts w:ascii="Times New Roman" w:hAnsi="Times New Roman" w:cs="Times New Roman"/>
              </w:rPr>
            </w:pPr>
            <w:r>
              <w:rPr>
                <w:rFonts w:ascii="Times New Roman" w:hAnsi="Times New Roman" w:cs="Times New Roman"/>
              </w:rPr>
              <w:t>召集审查机关：云南省生态环境厅；</w:t>
            </w:r>
          </w:p>
          <w:p>
            <w:pPr>
              <w:snapToGrid w:val="0"/>
              <w:spacing w:line="360" w:lineRule="auto"/>
              <w:ind w:firstLine="480" w:firstLineChars="200"/>
              <w:rPr>
                <w:rFonts w:ascii="Times New Roman" w:hAnsi="Times New Roman" w:cs="Times New Roman"/>
              </w:rPr>
            </w:pPr>
            <w:r>
              <w:rPr>
                <w:rFonts w:ascii="Times New Roman" w:hAnsi="Times New Roman" w:cs="Times New Roman"/>
                <w:lang w:val="en-US"/>
              </w:rPr>
              <w:t>3、</w:t>
            </w:r>
            <w:r>
              <w:rPr>
                <w:rFonts w:ascii="Times New Roman" w:hAnsi="Times New Roman" w:cs="Times New Roman"/>
              </w:rPr>
              <w:t>审查文件：“云南省环境保护厅关于云南晋宁工业园区总体规划修编（2012-2030）环境影响报告书审查意见的函”（云环函【2014】131号）。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163" w:type="dxa"/>
            <w:tcBorders>
              <w:tl2br w:val="nil"/>
              <w:tr2bl w:val="nil"/>
            </w:tcBorders>
            <w:vAlign w:val="center"/>
          </w:tcPr>
          <w:p>
            <w:pPr>
              <w:pStyle w:val="46"/>
              <w:snapToGrid w:val="0"/>
              <w:spacing w:line="360" w:lineRule="auto"/>
              <w:jc w:val="center"/>
              <w:rPr>
                <w:rFonts w:ascii="Times New Roman" w:hAnsi="Times New Roman" w:cs="Times New Roman"/>
              </w:rPr>
            </w:pPr>
          </w:p>
          <w:p>
            <w:pPr>
              <w:pStyle w:val="46"/>
              <w:snapToGrid w:val="0"/>
              <w:spacing w:line="360" w:lineRule="auto"/>
              <w:jc w:val="center"/>
              <w:rPr>
                <w:rFonts w:ascii="Times New Roman" w:hAnsi="Times New Roman" w:cs="Times New Roman"/>
              </w:rPr>
            </w:pPr>
            <w:r>
              <w:rPr>
                <w:rFonts w:ascii="Times New Roman" w:hAnsi="Times New Roman" w:cs="Times New Roman"/>
                <w:spacing w:val="-3"/>
              </w:rPr>
              <w:t>规划及规划环境 影响评价符合性分析</w:t>
            </w:r>
          </w:p>
        </w:tc>
        <w:tc>
          <w:tcPr>
            <w:tcW w:w="7741" w:type="dxa"/>
            <w:gridSpan w:val="3"/>
            <w:tcBorders>
              <w:tl2br w:val="nil"/>
              <w:tr2bl w:val="nil"/>
            </w:tcBorders>
            <w:vAlign w:val="center"/>
          </w:tcPr>
          <w:p>
            <w:pPr>
              <w:snapToGrid w:val="0"/>
              <w:spacing w:line="360" w:lineRule="auto"/>
              <w:ind w:firstLine="482"/>
              <w:rPr>
                <w:rFonts w:ascii="Times New Roman" w:hAnsi="Times New Roman" w:cs="Times New Roman"/>
                <w:b/>
                <w:bCs/>
              </w:rPr>
            </w:pPr>
            <w:r>
              <w:rPr>
                <w:rFonts w:ascii="Times New Roman" w:hAnsi="Times New Roman" w:cs="Times New Roman"/>
                <w:b/>
                <w:bCs/>
              </w:rPr>
              <w:t>1、与《云南晋宁工业园区总体规划修编（2012-2030）》相符性分析</w:t>
            </w:r>
          </w:p>
          <w:p>
            <w:pPr>
              <w:adjustRightInd w:val="0"/>
              <w:snapToGrid w:val="0"/>
              <w:spacing w:line="360" w:lineRule="auto"/>
              <w:ind w:firstLine="480"/>
              <w:rPr>
                <w:rFonts w:ascii="Times New Roman" w:hAnsi="Times New Roman" w:cs="Times New Roman"/>
              </w:rPr>
            </w:pPr>
            <w:r>
              <w:rPr>
                <w:rFonts w:ascii="Times New Roman" w:hAnsi="Times New Roman" w:cs="Times New Roman"/>
              </w:rPr>
              <w:t>本项目位于晋宁工业园区晋城基地，根据《云南晋宁工业园区总体规划修编（2012-2030）》，晋城工业基地由泛亚家具及汽车装备制造产业园、轨道交通产业园两部分构成。</w:t>
            </w:r>
          </w:p>
          <w:p>
            <w:pPr>
              <w:adjustRightInd w:val="0"/>
              <w:snapToGrid w:val="0"/>
              <w:spacing w:line="360" w:lineRule="auto"/>
              <w:ind w:firstLine="480"/>
              <w:rPr>
                <w:rFonts w:ascii="Times New Roman" w:hAnsi="Times New Roman" w:cs="Times New Roman"/>
              </w:rPr>
            </w:pPr>
            <w:r>
              <w:rPr>
                <w:rFonts w:ascii="Times New Roman" w:hAnsi="Times New Roman" w:cs="Times New Roman"/>
              </w:rPr>
              <w:t>①泛亚家具及汽车装备制造产业园南起化乐村及东南绕城高速公路，北接新昆明南城，抵昆玉高速公路，东临凤凰山，西临规划中的晋江高速公路。</w:t>
            </w:r>
          </w:p>
          <w:p>
            <w:pPr>
              <w:snapToGrid w:val="0"/>
              <w:spacing w:line="360" w:lineRule="auto"/>
              <w:ind w:firstLine="480"/>
              <w:rPr>
                <w:rFonts w:ascii="Times New Roman" w:hAnsi="Times New Roman" w:cs="Times New Roman"/>
              </w:rPr>
            </w:pPr>
            <w:r>
              <w:rPr>
                <w:rFonts w:ascii="Times New Roman" w:hAnsi="Times New Roman" w:cs="Times New Roman"/>
              </w:rPr>
              <w:t>②轨道交通产业园北至南北大道，南至南城片区规划南外环路，西靠晋城工业品商贸中心，东至本母山。晋城工业基地规划用地面积为42.39平方公里。</w:t>
            </w:r>
          </w:p>
          <w:p>
            <w:pPr>
              <w:pStyle w:val="17"/>
              <w:snapToGrid w:val="0"/>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本项目为</w:t>
            </w:r>
            <w:r>
              <w:rPr>
                <w:rFonts w:ascii="Times New Roman" w:hAnsi="Times New Roman" w:cs="Times New Roman"/>
                <w:color w:val="000000" w:themeColor="text1"/>
                <w:sz w:val="24"/>
                <w:szCs w:val="24"/>
                <w:lang w:val="en-US"/>
                <w14:textFill>
                  <w14:solidFill>
                    <w14:schemeClr w14:val="tx1"/>
                  </w14:solidFill>
                </w14:textFill>
              </w:rPr>
              <w:t>食品用塑料包装容器工具等制品生产线项目</w:t>
            </w:r>
            <w:r>
              <w:rPr>
                <w:rFonts w:ascii="Times New Roman" w:hAnsi="Times New Roman" w:cs="Times New Roman"/>
                <w:color w:val="000000" w:themeColor="text1"/>
                <w:sz w:val="24"/>
                <w:szCs w:val="24"/>
                <w14:textFill>
                  <w14:solidFill>
                    <w14:schemeClr w14:val="tx1"/>
                  </w14:solidFill>
                </w14:textFill>
              </w:rPr>
              <w:t>，根据与《云南晋宁工业园区总体规划修编（2012-2030）》的晋城区规划叠图分析，项目位于晋城基地片区功能结构规划中的“泛亚家具及汽车装备制造产业园”内，项目用地规划为工业用地，本项目属于工业项目，项目类型、用地性质符合园区规划、用地性质要求。目前项目已取得晋宁工业园区管理委员会出具的项目入园批复，园区管委会复【202</w:t>
            </w:r>
            <w:r>
              <w:rPr>
                <w:rFonts w:ascii="Times New Roman" w:hAnsi="Times New Roman" w:cs="Times New Roman"/>
                <w:color w:val="000000" w:themeColor="text1"/>
                <w:sz w:val="24"/>
                <w:szCs w:val="24"/>
                <w:lang w:val="en-US"/>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121</w:t>
            </w:r>
            <w:r>
              <w:rPr>
                <w:rFonts w:ascii="Times New Roman" w:hAnsi="Times New Roman" w:cs="Times New Roman"/>
                <w:color w:val="000000" w:themeColor="text1"/>
                <w:sz w:val="24"/>
                <w:szCs w:val="24"/>
                <w14:textFill>
                  <w14:solidFill>
                    <w14:schemeClr w14:val="tx1"/>
                  </w14:solidFill>
                </w14:textFill>
              </w:rPr>
              <w:t>号，已取得昆明市晋宁区发展和改革局的立项备案，</w:t>
            </w:r>
            <w:r>
              <w:rPr>
                <w:rFonts w:ascii="Times New Roman" w:hAnsi="Times New Roman" w:cs="Times New Roman"/>
                <w:color w:val="000000" w:themeColor="text1"/>
                <w:sz w:val="24"/>
                <w:szCs w:val="24"/>
                <w:lang w:val="en-US"/>
                <w14:textFill>
                  <w14:solidFill>
                    <w14:schemeClr w14:val="tx1"/>
                  </w14:solidFill>
                </w14:textFill>
              </w:rPr>
              <w:t>项目代码</w:t>
            </w:r>
            <w:r>
              <w:rPr>
                <w:rFonts w:ascii="Times New Roman" w:hAnsi="Times New Roman" w:cs="Times New Roman"/>
                <w:color w:val="000000" w:themeColor="text1"/>
                <w:sz w:val="24"/>
                <w:szCs w:val="24"/>
                <w14:textFill>
                  <w14:solidFill>
                    <w14:schemeClr w14:val="tx1"/>
                  </w14:solidFill>
                </w14:textFill>
              </w:rPr>
              <w:t>：2110-530115-04-01-979782，因此本项目建设符合《云南晋宁工业园区总体规划修编（2012-2030）》。</w:t>
            </w:r>
          </w:p>
          <w:p>
            <w:pPr>
              <w:snapToGrid w:val="0"/>
              <w:spacing w:line="360" w:lineRule="auto"/>
              <w:ind w:firstLine="482"/>
              <w:rPr>
                <w:rFonts w:ascii="Times New Roman" w:hAnsi="Times New Roman" w:cs="Times New Roman"/>
                <w:b/>
                <w:bCs/>
              </w:rPr>
            </w:pPr>
            <w:r>
              <w:rPr>
                <w:rFonts w:ascii="Times New Roman" w:hAnsi="Times New Roman" w:cs="Times New Roman"/>
                <w:b/>
                <w:bCs/>
              </w:rPr>
              <w:t>2、与《云南晋宁工业园区总体规划修编（2012-2030））环境影响报告书》符合性分析</w:t>
            </w:r>
          </w:p>
          <w:p>
            <w:pPr>
              <w:widowControl/>
              <w:adjustRightInd w:val="0"/>
              <w:snapToGrid w:val="0"/>
              <w:spacing w:line="360" w:lineRule="auto"/>
              <w:ind w:firstLine="480"/>
              <w:rPr>
                <w:rFonts w:ascii="Times New Roman" w:hAnsi="Times New Roman" w:cs="Times New Roman"/>
                <w:bCs/>
                <w:color w:val="000000"/>
              </w:rPr>
            </w:pPr>
            <w:r>
              <w:rPr>
                <w:rFonts w:ascii="Times New Roman" w:hAnsi="Times New Roman" w:cs="Times New Roman"/>
                <w:bCs/>
                <w:color w:val="000000"/>
              </w:rPr>
              <w:t>本项目位于</w:t>
            </w:r>
            <w:r>
              <w:rPr>
                <w:rFonts w:ascii="Times New Roman" w:hAnsi="Times New Roman" w:cs="Times New Roman"/>
                <w:bCs/>
                <w:color w:val="000000"/>
                <w:lang w:val="en-US"/>
              </w:rPr>
              <w:t>云南省</w:t>
            </w:r>
            <w:r>
              <w:rPr>
                <w:rFonts w:ascii="Times New Roman" w:hAnsi="Times New Roman" w:cs="Times New Roman"/>
                <w:bCs/>
                <w:color w:val="000000"/>
              </w:rPr>
              <w:t>昆明市晋宁工业园区晋城基地</w:t>
            </w:r>
            <w:r>
              <w:rPr>
                <w:rFonts w:ascii="Times New Roman" w:hAnsi="Times New Roman" w:cs="Times New Roman"/>
                <w:bCs/>
                <w:color w:val="000000"/>
                <w:lang w:val="en-US"/>
              </w:rPr>
              <w:t>俊腾达标准化厂房内</w:t>
            </w:r>
            <w:r>
              <w:rPr>
                <w:rFonts w:ascii="Times New Roman" w:hAnsi="Times New Roman" w:cs="Times New Roman"/>
                <w:bCs/>
                <w:color w:val="000000"/>
              </w:rPr>
              <w:t>，属于晋宁工业园区晋城基地，</w:t>
            </w:r>
            <w:r>
              <w:rPr>
                <w:rStyle w:val="31"/>
                <w:rFonts w:ascii="Times New Roman" w:hAnsi="Times New Roman" w:cs="Times New Roman"/>
                <w:bCs/>
                <w:color w:val="000000"/>
                <w:shd w:val="clear" w:color="auto" w:fill="FFFFFF"/>
              </w:rPr>
              <w:t>本项目与</w:t>
            </w:r>
            <w:r>
              <w:rPr>
                <w:rFonts w:ascii="Times New Roman" w:hAnsi="Times New Roman" w:cs="Times New Roman"/>
                <w:bCs/>
                <w:color w:val="000000"/>
              </w:rPr>
              <w:t>《云南晋宁工业园区总体规划修编（2012-2030）环境影响报告书》的相符性分析详见下表1-1。</w:t>
            </w:r>
          </w:p>
          <w:p>
            <w:pPr>
              <w:pStyle w:val="10"/>
            </w:pPr>
            <w:r>
              <w:t>表1-1项目与规划环评的相符性分析</w:t>
            </w:r>
          </w:p>
          <w:tbl>
            <w:tblPr>
              <w:tblStyle w:val="26"/>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2627"/>
              <w:gridCol w:w="3990"/>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0" w:type="pct"/>
                  <w:gridSpan w:val="2"/>
                  <w:tcBorders>
                    <w:tl2br w:val="nil"/>
                    <w:tr2bl w:val="nil"/>
                  </w:tcBorders>
                  <w:vAlign w:val="center"/>
                </w:tcPr>
                <w:p>
                  <w:pPr>
                    <w:pStyle w:val="64"/>
                    <w:snapToGrid w:val="0"/>
                    <w:rPr>
                      <w:rFonts w:cs="Times New Roman"/>
                    </w:rPr>
                  </w:pPr>
                  <w:r>
                    <w:rPr>
                      <w:rFonts w:cs="Times New Roman"/>
                    </w:rPr>
                    <w:t>云南晋宁工业园区总体规划修编（2012-2030）环境影响报告书相关要求</w:t>
                  </w:r>
                </w:p>
              </w:tc>
              <w:tc>
                <w:tcPr>
                  <w:tcW w:w="2633" w:type="pct"/>
                  <w:tcBorders>
                    <w:tl2br w:val="nil"/>
                    <w:tr2bl w:val="nil"/>
                  </w:tcBorders>
                  <w:vAlign w:val="center"/>
                </w:tcPr>
                <w:p>
                  <w:pPr>
                    <w:pStyle w:val="64"/>
                    <w:snapToGrid w:val="0"/>
                    <w:rPr>
                      <w:rFonts w:cs="Times New Roman"/>
                    </w:rPr>
                  </w:pPr>
                  <w:r>
                    <w:rPr>
                      <w:rFonts w:cs="Times New Roman"/>
                    </w:rPr>
                    <w:t>本项目</w:t>
                  </w:r>
                </w:p>
              </w:tc>
              <w:tc>
                <w:tcPr>
                  <w:tcW w:w="316" w:type="pct"/>
                  <w:tcBorders>
                    <w:tl2br w:val="nil"/>
                    <w:tr2bl w:val="nil"/>
                  </w:tcBorders>
                  <w:vAlign w:val="center"/>
                </w:tcPr>
                <w:p>
                  <w:pPr>
                    <w:pStyle w:val="64"/>
                    <w:snapToGrid w:val="0"/>
                    <w:rPr>
                      <w:rFonts w:cs="Times New Roman"/>
                    </w:rPr>
                  </w:pPr>
                  <w:r>
                    <w:rPr>
                      <w:rFonts w:cs="Times New Roma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restart"/>
                  <w:tcBorders>
                    <w:tl2br w:val="nil"/>
                    <w:tr2bl w:val="nil"/>
                  </w:tcBorders>
                  <w:vAlign w:val="center"/>
                </w:tcPr>
                <w:p>
                  <w:pPr>
                    <w:pStyle w:val="64"/>
                    <w:snapToGrid w:val="0"/>
                    <w:rPr>
                      <w:rFonts w:cs="Times New Roman"/>
                    </w:rPr>
                  </w:pPr>
                  <w:r>
                    <w:rPr>
                      <w:rFonts w:cs="Times New Roman"/>
                    </w:rPr>
                    <w:t>入驻企业原则</w:t>
                  </w:r>
                </w:p>
              </w:tc>
              <w:tc>
                <w:tcPr>
                  <w:tcW w:w="1734" w:type="pct"/>
                  <w:tcBorders>
                    <w:tl2br w:val="nil"/>
                    <w:tr2bl w:val="nil"/>
                  </w:tcBorders>
                  <w:vAlign w:val="center"/>
                </w:tcPr>
                <w:p>
                  <w:pPr>
                    <w:pStyle w:val="64"/>
                    <w:snapToGrid w:val="0"/>
                    <w:jc w:val="left"/>
                    <w:rPr>
                      <w:rFonts w:cs="Times New Roman"/>
                    </w:rPr>
                  </w:pPr>
                  <w:r>
                    <w:rPr>
                      <w:rFonts w:cs="Times New Roman"/>
                    </w:rPr>
                    <w:t>符合国家及云南省相关产业政策原则：规划区引进的项目，其工艺、规模及产品应符合国家及云南省相关产业政策要求</w:t>
                  </w:r>
                </w:p>
              </w:tc>
              <w:tc>
                <w:tcPr>
                  <w:tcW w:w="2633" w:type="pct"/>
                  <w:tcBorders>
                    <w:tl2br w:val="nil"/>
                    <w:tr2bl w:val="nil"/>
                  </w:tcBorders>
                  <w:vAlign w:val="center"/>
                </w:tcPr>
                <w:p>
                  <w:pPr>
                    <w:pStyle w:val="64"/>
                    <w:snapToGrid w:val="0"/>
                    <w:jc w:val="left"/>
                    <w:rPr>
                      <w:rFonts w:cs="Times New Roman"/>
                    </w:rPr>
                  </w:pPr>
                  <w:r>
                    <w:rPr>
                      <w:rFonts w:cs="Times New Roman"/>
                    </w:rPr>
                    <w:t>项目符合国家及云南省相关产业政策原则，符合规划区引进的项目，其工艺、规模及产品符合国家及云南省相关产业政策要求。</w:t>
                  </w:r>
                </w:p>
              </w:tc>
              <w:tc>
                <w:tcPr>
                  <w:tcW w:w="316" w:type="pct"/>
                  <w:tcBorders>
                    <w:tl2br w:val="nil"/>
                    <w:tr2bl w:val="nil"/>
                  </w:tcBorders>
                  <w:vAlign w:val="center"/>
                </w:tcPr>
                <w:p>
                  <w:pPr>
                    <w:pStyle w:val="64"/>
                    <w:snapToGrid w:val="0"/>
                    <w:rPr>
                      <w:rFonts w:cs="Times New Roman"/>
                    </w:rPr>
                  </w:pPr>
                  <w:r>
                    <w:rPr>
                      <w:rFonts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snapToGrid w:val="0"/>
                    <w:rPr>
                      <w:rFonts w:cs="Times New Roman"/>
                    </w:rPr>
                  </w:pPr>
                </w:p>
              </w:tc>
              <w:tc>
                <w:tcPr>
                  <w:tcW w:w="1734" w:type="pct"/>
                  <w:tcBorders>
                    <w:tl2br w:val="nil"/>
                    <w:tr2bl w:val="nil"/>
                  </w:tcBorders>
                  <w:vAlign w:val="center"/>
                </w:tcPr>
                <w:p>
                  <w:pPr>
                    <w:pStyle w:val="64"/>
                    <w:snapToGrid w:val="0"/>
                    <w:jc w:val="left"/>
                    <w:rPr>
                      <w:rFonts w:cs="Times New Roman"/>
                    </w:rPr>
                  </w:pPr>
                  <w:r>
                    <w:rPr>
                      <w:rFonts w:cs="Times New Roman"/>
                    </w:rPr>
                    <w:t>有利于实现晋宁工业园区产业结构的原则：引进的项目，应有利于实现晋宁工业园区产业结构，有利于晋宁工业园区规划目标的达成；</w:t>
                  </w:r>
                </w:p>
              </w:tc>
              <w:tc>
                <w:tcPr>
                  <w:tcW w:w="2633" w:type="pct"/>
                  <w:tcBorders>
                    <w:tl2br w:val="nil"/>
                    <w:tr2bl w:val="nil"/>
                  </w:tcBorders>
                  <w:vAlign w:val="center"/>
                </w:tcPr>
                <w:p>
                  <w:pPr>
                    <w:pStyle w:val="64"/>
                    <w:snapToGrid w:val="0"/>
                    <w:jc w:val="left"/>
                    <w:rPr>
                      <w:rFonts w:cs="Times New Roman"/>
                    </w:rPr>
                  </w:pPr>
                  <w:r>
                    <w:rPr>
                      <w:rFonts w:cs="Times New Roman"/>
                    </w:rPr>
                    <w:t>项目位于晋城基地，符合晋宁工业园区规划的要求。</w:t>
                  </w:r>
                </w:p>
              </w:tc>
              <w:tc>
                <w:tcPr>
                  <w:tcW w:w="316" w:type="pct"/>
                  <w:tcBorders>
                    <w:tl2br w:val="nil"/>
                    <w:tr2bl w:val="nil"/>
                  </w:tcBorders>
                  <w:vAlign w:val="center"/>
                </w:tcPr>
                <w:p>
                  <w:pPr>
                    <w:pStyle w:val="64"/>
                    <w:snapToGrid w:val="0"/>
                    <w:rPr>
                      <w:rFonts w:cs="Times New Roman"/>
                    </w:rPr>
                  </w:pPr>
                  <w:r>
                    <w:rPr>
                      <w:rFonts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snapToGrid w:val="0"/>
                    <w:rPr>
                      <w:rFonts w:cs="Times New Roman"/>
                    </w:rPr>
                  </w:pPr>
                </w:p>
              </w:tc>
              <w:tc>
                <w:tcPr>
                  <w:tcW w:w="1734" w:type="pct"/>
                  <w:tcBorders>
                    <w:tl2br w:val="nil"/>
                    <w:tr2bl w:val="nil"/>
                  </w:tcBorders>
                  <w:vAlign w:val="center"/>
                </w:tcPr>
                <w:p>
                  <w:pPr>
                    <w:pStyle w:val="64"/>
                    <w:snapToGrid w:val="0"/>
                    <w:jc w:val="left"/>
                    <w:rPr>
                      <w:rFonts w:cs="Times New Roman"/>
                    </w:rPr>
                  </w:pPr>
                  <w:r>
                    <w:rPr>
                      <w:rFonts w:cs="Times New Roman"/>
                    </w:rPr>
                    <w:t>资源节约原则：引进的项目应能够满足资源节约的原则，清洁生产水平应达到国内先进水平以上；</w:t>
                  </w:r>
                </w:p>
              </w:tc>
              <w:tc>
                <w:tcPr>
                  <w:tcW w:w="2633" w:type="pct"/>
                  <w:tcBorders>
                    <w:tl2br w:val="nil"/>
                    <w:tr2bl w:val="nil"/>
                  </w:tcBorders>
                  <w:vAlign w:val="center"/>
                </w:tcPr>
                <w:p>
                  <w:pPr>
                    <w:pStyle w:val="64"/>
                    <w:snapToGrid w:val="0"/>
                    <w:jc w:val="left"/>
                    <w:rPr>
                      <w:rFonts w:cs="Times New Roman"/>
                    </w:rPr>
                  </w:pPr>
                  <w:r>
                    <w:rPr>
                      <w:rFonts w:cs="Times New Roman"/>
                    </w:rPr>
                    <w:t>项目无生产废水产生，冷却水循环使用不外排。</w:t>
                  </w:r>
                </w:p>
              </w:tc>
              <w:tc>
                <w:tcPr>
                  <w:tcW w:w="316" w:type="pct"/>
                  <w:tcBorders>
                    <w:tl2br w:val="nil"/>
                    <w:tr2bl w:val="nil"/>
                  </w:tcBorders>
                  <w:vAlign w:val="center"/>
                </w:tcPr>
                <w:p>
                  <w:pPr>
                    <w:pStyle w:val="64"/>
                    <w:snapToGrid w:val="0"/>
                    <w:rPr>
                      <w:rFonts w:cs="Times New Roman"/>
                    </w:rPr>
                  </w:pPr>
                  <w:r>
                    <w:rPr>
                      <w:rFonts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3" w:hRule="atLeast"/>
                <w:jc w:val="center"/>
              </w:trPr>
              <w:tc>
                <w:tcPr>
                  <w:tcW w:w="316" w:type="pct"/>
                  <w:vMerge w:val="restart"/>
                  <w:tcBorders>
                    <w:tl2br w:val="nil"/>
                    <w:tr2bl w:val="nil"/>
                  </w:tcBorders>
                  <w:vAlign w:val="center"/>
                </w:tcPr>
                <w:p>
                  <w:pPr>
                    <w:pStyle w:val="64"/>
                    <w:snapToGrid w:val="0"/>
                    <w:rPr>
                      <w:rFonts w:cs="Times New Roman"/>
                    </w:rPr>
                  </w:pPr>
                </w:p>
                <w:p>
                  <w:pPr>
                    <w:pStyle w:val="64"/>
                    <w:snapToGrid w:val="0"/>
                    <w:rPr>
                      <w:rFonts w:cs="Times New Roman"/>
                    </w:rPr>
                  </w:pPr>
                  <w:r>
                    <w:rPr>
                      <w:rFonts w:cs="Times New Roman"/>
                    </w:rPr>
                    <w:t>入驻企业环保要求</w:t>
                  </w:r>
                </w:p>
              </w:tc>
              <w:tc>
                <w:tcPr>
                  <w:tcW w:w="1734" w:type="pct"/>
                  <w:tcBorders>
                    <w:tl2br w:val="nil"/>
                    <w:tr2bl w:val="nil"/>
                  </w:tcBorders>
                  <w:vAlign w:val="center"/>
                </w:tcPr>
                <w:p>
                  <w:pPr>
                    <w:pStyle w:val="64"/>
                    <w:snapToGrid w:val="0"/>
                    <w:jc w:val="left"/>
                    <w:rPr>
                      <w:rFonts w:cs="Times New Roman"/>
                    </w:rPr>
                  </w:pPr>
                  <w:r>
                    <w:rPr>
                      <w:rFonts w:cs="Times New Roman"/>
                    </w:rPr>
                    <w:t>项目必须实现达标排放，同时满足规划区总量控制要求；</w:t>
                  </w:r>
                </w:p>
              </w:tc>
              <w:tc>
                <w:tcPr>
                  <w:tcW w:w="2633" w:type="pct"/>
                  <w:tcBorders>
                    <w:tl2br w:val="nil"/>
                    <w:tr2bl w:val="nil"/>
                  </w:tcBorders>
                  <w:vAlign w:val="center"/>
                </w:tcPr>
                <w:p>
                  <w:pPr>
                    <w:pStyle w:val="64"/>
                    <w:snapToGrid w:val="0"/>
                    <w:jc w:val="left"/>
                    <w:rPr>
                      <w:rFonts w:cs="Times New Roman"/>
                    </w:rPr>
                  </w:pPr>
                  <w:r>
                    <w:rPr>
                      <w:rFonts w:cs="Times New Roman"/>
                      <w:kern w:val="2"/>
                      <w:lang w:val="en-US"/>
                    </w:rPr>
                    <w:t>本项目可实现达标排放，满足规划区总量控制要求</w:t>
                  </w:r>
                  <w:r>
                    <w:rPr>
                      <w:rFonts w:cs="Times New Roman"/>
                      <w:bCs/>
                      <w:lang w:val="en-US"/>
                    </w:rPr>
                    <w:t>。</w:t>
                  </w:r>
                </w:p>
              </w:tc>
              <w:tc>
                <w:tcPr>
                  <w:tcW w:w="316" w:type="pct"/>
                  <w:tcBorders>
                    <w:tl2br w:val="nil"/>
                    <w:tr2bl w:val="nil"/>
                  </w:tcBorders>
                  <w:vAlign w:val="center"/>
                </w:tcPr>
                <w:p>
                  <w:pPr>
                    <w:pStyle w:val="64"/>
                    <w:snapToGrid w:val="0"/>
                    <w:rPr>
                      <w:rFonts w:cs="Times New Roman"/>
                    </w:rPr>
                  </w:pPr>
                  <w:r>
                    <w:rPr>
                      <w:rFonts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snapToGrid w:val="0"/>
                    <w:rPr>
                      <w:rFonts w:cs="Times New Roman"/>
                    </w:rPr>
                  </w:pPr>
                </w:p>
              </w:tc>
              <w:tc>
                <w:tcPr>
                  <w:tcW w:w="1734" w:type="pct"/>
                  <w:tcBorders>
                    <w:tl2br w:val="nil"/>
                    <w:tr2bl w:val="nil"/>
                  </w:tcBorders>
                  <w:vAlign w:val="center"/>
                </w:tcPr>
                <w:p>
                  <w:pPr>
                    <w:pStyle w:val="64"/>
                    <w:snapToGrid w:val="0"/>
                    <w:jc w:val="left"/>
                    <w:rPr>
                      <w:rFonts w:cs="Times New Roman"/>
                    </w:rPr>
                  </w:pPr>
                  <w:r>
                    <w:rPr>
                      <w:rFonts w:cs="Times New Roman"/>
                    </w:rPr>
                    <w:t>入驻项目应采取满足达标排放要求、运行稳定、技术先进、经济效益好的污染治理设施、措施；</w:t>
                  </w:r>
                </w:p>
              </w:tc>
              <w:tc>
                <w:tcPr>
                  <w:tcW w:w="2633" w:type="pct"/>
                  <w:tcBorders>
                    <w:tl2br w:val="nil"/>
                    <w:tr2bl w:val="nil"/>
                  </w:tcBorders>
                  <w:vAlign w:val="center"/>
                </w:tcPr>
                <w:p>
                  <w:pPr>
                    <w:pStyle w:val="64"/>
                    <w:snapToGrid w:val="0"/>
                    <w:jc w:val="left"/>
                    <w:rPr>
                      <w:rFonts w:cs="Times New Roman"/>
                    </w:rPr>
                  </w:pPr>
                  <w:r>
                    <w:rPr>
                      <w:rFonts w:cs="Times New Roman"/>
                    </w:rPr>
                    <w:t>项目无生产废水产生，冷却水循环使用不外排，本项目生活废水</w:t>
                  </w:r>
                  <w:r>
                    <w:rPr>
                      <w:rFonts w:cs="Times New Roman"/>
                      <w:lang w:val="en-US"/>
                    </w:rPr>
                    <w:t>依托</w:t>
                  </w:r>
                  <w:r>
                    <w:rPr>
                      <w:rFonts w:cs="Times New Roman"/>
                      <w:bCs/>
                      <w:color w:val="000000"/>
                    </w:rPr>
                    <w:t>云南俊腾达房地产开发有限公司</w:t>
                  </w:r>
                  <w:r>
                    <w:rPr>
                      <w:rFonts w:cs="Times New Roman"/>
                    </w:rPr>
                    <w:t>化粪池处理达到《污水排入城镇下水道水质标准》（GB/T31962-2015）中A级标准后，</w:t>
                  </w:r>
                  <w:r>
                    <w:rPr>
                      <w:rFonts w:cs="Times New Roman"/>
                      <w:color w:val="000000"/>
                      <w:szCs w:val="28"/>
                    </w:rPr>
                    <w:t>排入</w:t>
                  </w:r>
                  <w:r>
                    <w:rPr>
                      <w:rFonts w:cs="Times New Roman"/>
                      <w:bCs/>
                      <w:color w:val="000000"/>
                    </w:rPr>
                    <w:t>云南俊腾达房地产开发有限公司</w:t>
                  </w:r>
                  <w:r>
                    <w:rPr>
                      <w:rFonts w:cs="Times New Roman"/>
                      <w:color w:val="000000"/>
                      <w:szCs w:val="28"/>
                    </w:rPr>
                    <w:t>自建的150m</w:t>
                  </w:r>
                  <w:r>
                    <w:rPr>
                      <w:rFonts w:cs="Times New Roman"/>
                      <w:color w:val="000000"/>
                      <w:szCs w:val="28"/>
                      <w:vertAlign w:val="superscript"/>
                    </w:rPr>
                    <w:t>3</w:t>
                  </w:r>
                  <w:r>
                    <w:rPr>
                      <w:rFonts w:cs="Times New Roman"/>
                      <w:color w:val="000000"/>
                      <w:szCs w:val="28"/>
                    </w:rPr>
                    <w:t>/d的</w:t>
                  </w:r>
                  <w:r>
                    <w:rPr>
                      <w:rFonts w:hint="eastAsia" w:cs="Times New Roman"/>
                      <w:color w:val="000000"/>
                      <w:szCs w:val="28"/>
                      <w:lang w:val="en-US" w:eastAsia="zh-CN"/>
                    </w:rPr>
                    <w:t>中水处理站</w:t>
                  </w:r>
                  <w:r>
                    <w:rPr>
                      <w:rFonts w:cs="Times New Roman"/>
                      <w:color w:val="000000"/>
                      <w:szCs w:val="28"/>
                      <w:lang w:val="en-US"/>
                    </w:rPr>
                    <w:t>进行处理，最终回用于</w:t>
                  </w:r>
                  <w:r>
                    <w:rPr>
                      <w:rFonts w:cs="Times New Roman"/>
                      <w:bCs/>
                      <w:color w:val="000000"/>
                    </w:rPr>
                    <w:t>云南俊腾达房地产开发有限公司</w:t>
                  </w:r>
                  <w:r>
                    <w:rPr>
                      <w:rFonts w:cs="Times New Roman"/>
                      <w:bCs/>
                      <w:color w:val="000000"/>
                      <w:lang w:val="en-US"/>
                    </w:rPr>
                    <w:t>厂区内道路浇水及绿化</w:t>
                  </w:r>
                  <w:r>
                    <w:rPr>
                      <w:rFonts w:cs="Times New Roman"/>
                    </w:rPr>
                    <w:t>。</w:t>
                  </w:r>
                </w:p>
              </w:tc>
              <w:tc>
                <w:tcPr>
                  <w:tcW w:w="316" w:type="pct"/>
                  <w:tcBorders>
                    <w:tl2br w:val="nil"/>
                    <w:tr2bl w:val="nil"/>
                  </w:tcBorders>
                  <w:vAlign w:val="center"/>
                </w:tcPr>
                <w:p>
                  <w:pPr>
                    <w:pStyle w:val="64"/>
                    <w:snapToGrid w:val="0"/>
                    <w:rPr>
                      <w:rFonts w:cs="Times New Roman"/>
                    </w:rPr>
                  </w:pPr>
                  <w:r>
                    <w:rPr>
                      <w:rFonts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snapToGrid w:val="0"/>
                    <w:rPr>
                      <w:rFonts w:cs="Times New Roman"/>
                    </w:rPr>
                  </w:pPr>
                </w:p>
              </w:tc>
              <w:tc>
                <w:tcPr>
                  <w:tcW w:w="1734" w:type="pct"/>
                  <w:tcBorders>
                    <w:tl2br w:val="nil"/>
                    <w:tr2bl w:val="nil"/>
                  </w:tcBorders>
                  <w:vAlign w:val="center"/>
                </w:tcPr>
                <w:p>
                  <w:pPr>
                    <w:pStyle w:val="64"/>
                    <w:snapToGrid w:val="0"/>
                    <w:jc w:val="left"/>
                    <w:rPr>
                      <w:rFonts w:cs="Times New Roman"/>
                    </w:rPr>
                  </w:pPr>
                  <w:r>
                    <w:rPr>
                      <w:rFonts w:cs="Times New Roman"/>
                    </w:rPr>
                    <w:t>对排放相同特征污染物的企业，应鼓励企业之间建设联合污染治理措施，以降低污染治理成本；</w:t>
                  </w:r>
                </w:p>
              </w:tc>
              <w:tc>
                <w:tcPr>
                  <w:tcW w:w="2633" w:type="pct"/>
                  <w:tcBorders>
                    <w:tl2br w:val="nil"/>
                    <w:tr2bl w:val="nil"/>
                  </w:tcBorders>
                  <w:vAlign w:val="center"/>
                </w:tcPr>
                <w:p>
                  <w:pPr>
                    <w:pStyle w:val="64"/>
                    <w:snapToGrid w:val="0"/>
                    <w:rPr>
                      <w:rFonts w:cs="Times New Roman"/>
                      <w:lang w:val="en-US"/>
                    </w:rPr>
                  </w:pPr>
                  <w:r>
                    <w:rPr>
                      <w:rFonts w:cs="Times New Roman"/>
                      <w:lang w:val="en-US"/>
                    </w:rPr>
                    <w:t>本项目已在挤出工序设置集气罩+UV光氧</w:t>
                  </w:r>
                  <w:r>
                    <w:rPr>
                      <w:rFonts w:hint="eastAsia" w:cs="Times New Roman"/>
                      <w:lang w:val="en-US" w:eastAsia="zh-CN"/>
                    </w:rPr>
                    <w:t>催化</w:t>
                  </w:r>
                  <w:r>
                    <w:rPr>
                      <w:rFonts w:cs="Times New Roman"/>
                      <w:lang w:val="en-US"/>
                    </w:rPr>
                    <w:t>+活性炭吸附装置+30m排气筒（1#排气筒），注塑工段已设置集气罩+UV光氧</w:t>
                  </w:r>
                  <w:r>
                    <w:rPr>
                      <w:rFonts w:hint="eastAsia" w:cs="Times New Roman"/>
                      <w:lang w:val="en-US" w:eastAsia="zh-CN"/>
                    </w:rPr>
                    <w:t>催化</w:t>
                  </w:r>
                  <w:r>
                    <w:rPr>
                      <w:rFonts w:cs="Times New Roman"/>
                      <w:lang w:val="en-US"/>
                    </w:rPr>
                    <w:t>+活性炭吸附装置+30m排气筒（2#排气筒），破碎工序已设置集气罩+布袋除尘+30m排气筒（3#排气筒）</w:t>
                  </w:r>
                </w:p>
              </w:tc>
              <w:tc>
                <w:tcPr>
                  <w:tcW w:w="316" w:type="pct"/>
                  <w:tcBorders>
                    <w:tl2br w:val="nil"/>
                    <w:tr2bl w:val="nil"/>
                  </w:tcBorders>
                  <w:vAlign w:val="center"/>
                </w:tcPr>
                <w:p>
                  <w:pPr>
                    <w:pStyle w:val="64"/>
                    <w:snapToGrid w:val="0"/>
                    <w:rPr>
                      <w:rFonts w:cs="Times New Roman"/>
                    </w:rPr>
                  </w:pPr>
                  <w:r>
                    <w:rPr>
                      <w:rFonts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snapToGrid w:val="0"/>
                    <w:rPr>
                      <w:rFonts w:cs="Times New Roman"/>
                    </w:rPr>
                  </w:pPr>
                </w:p>
              </w:tc>
              <w:tc>
                <w:tcPr>
                  <w:tcW w:w="1734" w:type="pct"/>
                  <w:tcBorders>
                    <w:tl2br w:val="nil"/>
                    <w:tr2bl w:val="nil"/>
                  </w:tcBorders>
                  <w:vAlign w:val="center"/>
                </w:tcPr>
                <w:p>
                  <w:pPr>
                    <w:pStyle w:val="64"/>
                    <w:snapToGrid w:val="0"/>
                    <w:jc w:val="left"/>
                    <w:rPr>
                      <w:rFonts w:cs="Times New Roman"/>
                    </w:rPr>
                  </w:pPr>
                  <w:r>
                    <w:rPr>
                      <w:rFonts w:cs="Times New Roman"/>
                    </w:rPr>
                    <w:t>入驻企业产生的各种工业固体废弃物，应满足“减量化、资源化、无害化”要求，实现废物的零排放；</w:t>
                  </w:r>
                </w:p>
              </w:tc>
              <w:tc>
                <w:tcPr>
                  <w:tcW w:w="2633" w:type="pct"/>
                  <w:tcBorders>
                    <w:tl2br w:val="nil"/>
                    <w:tr2bl w:val="nil"/>
                  </w:tcBorders>
                  <w:vAlign w:val="center"/>
                </w:tcPr>
                <w:p>
                  <w:pPr>
                    <w:widowControl/>
                    <w:snapToGrid w:val="0"/>
                    <w:spacing w:line="360" w:lineRule="auto"/>
                    <w:ind w:firstLine="420" w:firstLineChars="200"/>
                    <w:rPr>
                      <w:rFonts w:ascii="Times New Roman" w:hAnsi="Times New Roman" w:cs="Times New Roman"/>
                    </w:rPr>
                  </w:pPr>
                  <w:r>
                    <w:rPr>
                      <w:rFonts w:ascii="Times New Roman" w:hAnsi="Times New Roman" w:cs="Times New Roman"/>
                      <w:sz w:val="21"/>
                      <w:szCs w:val="21"/>
                      <w:lang w:val="en-US"/>
                    </w:rPr>
                    <w:t>项目产生的固体废物均得到妥善处理，处置率100%。</w:t>
                  </w:r>
                </w:p>
              </w:tc>
              <w:tc>
                <w:tcPr>
                  <w:tcW w:w="316" w:type="pct"/>
                  <w:tcBorders>
                    <w:tl2br w:val="nil"/>
                    <w:tr2bl w:val="nil"/>
                  </w:tcBorders>
                  <w:vAlign w:val="center"/>
                </w:tcPr>
                <w:p>
                  <w:pPr>
                    <w:pStyle w:val="64"/>
                    <w:snapToGrid w:val="0"/>
                    <w:rPr>
                      <w:rFonts w:cs="Times New Roman"/>
                    </w:rPr>
                  </w:pPr>
                  <w:r>
                    <w:rPr>
                      <w:rFonts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snapToGrid w:val="0"/>
                    <w:rPr>
                      <w:rFonts w:cs="Times New Roman"/>
                    </w:rPr>
                  </w:pPr>
                </w:p>
              </w:tc>
              <w:tc>
                <w:tcPr>
                  <w:tcW w:w="1734" w:type="pct"/>
                  <w:tcBorders>
                    <w:tl2br w:val="nil"/>
                    <w:tr2bl w:val="nil"/>
                  </w:tcBorders>
                  <w:vAlign w:val="center"/>
                </w:tcPr>
                <w:p>
                  <w:pPr>
                    <w:pStyle w:val="64"/>
                    <w:snapToGrid w:val="0"/>
                    <w:jc w:val="left"/>
                    <w:rPr>
                      <w:rFonts w:cs="Times New Roman"/>
                    </w:rPr>
                  </w:pPr>
                  <w:r>
                    <w:rPr>
                      <w:rFonts w:cs="Times New Roman"/>
                    </w:rPr>
                    <w:t>限制发展高耗水、高排水产业；</w:t>
                  </w:r>
                </w:p>
              </w:tc>
              <w:tc>
                <w:tcPr>
                  <w:tcW w:w="2633" w:type="pct"/>
                  <w:tcBorders>
                    <w:tl2br w:val="nil"/>
                    <w:tr2bl w:val="nil"/>
                  </w:tcBorders>
                  <w:vAlign w:val="center"/>
                </w:tcPr>
                <w:p>
                  <w:pPr>
                    <w:pStyle w:val="64"/>
                    <w:snapToGrid w:val="0"/>
                    <w:jc w:val="left"/>
                    <w:rPr>
                      <w:rFonts w:cs="Times New Roman"/>
                    </w:rPr>
                  </w:pPr>
                  <w:r>
                    <w:rPr>
                      <w:rFonts w:cs="Times New Roman"/>
                    </w:rPr>
                    <w:t>项目无生产废水产生，冷却水循环使用不外排，本项目生活废水</w:t>
                  </w:r>
                  <w:r>
                    <w:rPr>
                      <w:rFonts w:cs="Times New Roman"/>
                      <w:lang w:val="en-US"/>
                    </w:rPr>
                    <w:t>依托</w:t>
                  </w:r>
                  <w:r>
                    <w:rPr>
                      <w:rFonts w:cs="Times New Roman"/>
                      <w:bCs/>
                      <w:color w:val="000000"/>
                    </w:rPr>
                    <w:t>云南俊腾达房地产开发有限公司</w:t>
                  </w:r>
                  <w:r>
                    <w:rPr>
                      <w:rFonts w:cs="Times New Roman"/>
                    </w:rPr>
                    <w:t>化粪池处理达到《污水排入城镇下水道水质标准》（GB/T31962-2015）中A级标准后，</w:t>
                  </w:r>
                  <w:r>
                    <w:rPr>
                      <w:rFonts w:cs="Times New Roman"/>
                      <w:color w:val="000000"/>
                      <w:szCs w:val="28"/>
                    </w:rPr>
                    <w:t>排入</w:t>
                  </w:r>
                  <w:r>
                    <w:rPr>
                      <w:rFonts w:cs="Times New Roman"/>
                      <w:bCs/>
                      <w:color w:val="000000"/>
                    </w:rPr>
                    <w:t>云南俊腾达房地产开发有限公司</w:t>
                  </w:r>
                  <w:r>
                    <w:rPr>
                      <w:rFonts w:cs="Times New Roman"/>
                      <w:color w:val="000000"/>
                      <w:szCs w:val="28"/>
                    </w:rPr>
                    <w:t>自建的150m</w:t>
                  </w:r>
                  <w:r>
                    <w:rPr>
                      <w:rFonts w:cs="Times New Roman"/>
                      <w:color w:val="000000"/>
                      <w:szCs w:val="28"/>
                      <w:vertAlign w:val="superscript"/>
                    </w:rPr>
                    <w:t>3</w:t>
                  </w:r>
                  <w:r>
                    <w:rPr>
                      <w:rFonts w:cs="Times New Roman"/>
                      <w:color w:val="000000"/>
                      <w:szCs w:val="28"/>
                    </w:rPr>
                    <w:t>/d的</w:t>
                  </w:r>
                  <w:r>
                    <w:rPr>
                      <w:rFonts w:hint="eastAsia" w:cs="Times New Roman"/>
                      <w:color w:val="000000"/>
                      <w:szCs w:val="28"/>
                      <w:lang w:val="en-US" w:eastAsia="zh-CN"/>
                    </w:rPr>
                    <w:t>中水处理站</w:t>
                  </w:r>
                  <w:r>
                    <w:rPr>
                      <w:rFonts w:cs="Times New Roman"/>
                      <w:color w:val="000000"/>
                      <w:szCs w:val="28"/>
                      <w:lang w:val="en-US"/>
                    </w:rPr>
                    <w:t>进行处理，最终回用于</w:t>
                  </w:r>
                  <w:r>
                    <w:rPr>
                      <w:rFonts w:cs="Times New Roman"/>
                      <w:bCs/>
                      <w:color w:val="000000"/>
                    </w:rPr>
                    <w:t>云南俊腾达房地产开发有限公司</w:t>
                  </w:r>
                  <w:r>
                    <w:rPr>
                      <w:rFonts w:cs="Times New Roman"/>
                      <w:bCs/>
                      <w:color w:val="000000"/>
                      <w:lang w:val="en-US"/>
                    </w:rPr>
                    <w:t>厂区内道路浇水及绿化</w:t>
                  </w:r>
                  <w:r>
                    <w:rPr>
                      <w:rFonts w:cs="Times New Roman"/>
                    </w:rPr>
                    <w:t>。因此不属于高耗水、高排水产业。</w:t>
                  </w:r>
                </w:p>
              </w:tc>
              <w:tc>
                <w:tcPr>
                  <w:tcW w:w="316" w:type="pct"/>
                  <w:tcBorders>
                    <w:tl2br w:val="nil"/>
                    <w:tr2bl w:val="nil"/>
                  </w:tcBorders>
                  <w:vAlign w:val="center"/>
                </w:tcPr>
                <w:p>
                  <w:pPr>
                    <w:pStyle w:val="64"/>
                    <w:snapToGrid w:val="0"/>
                    <w:rPr>
                      <w:rFonts w:cs="Times New Roman"/>
                    </w:rPr>
                  </w:pPr>
                  <w:r>
                    <w:rPr>
                      <w:rFonts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snapToGrid w:val="0"/>
                    <w:rPr>
                      <w:rFonts w:cs="Times New Roman"/>
                    </w:rPr>
                  </w:pPr>
                </w:p>
              </w:tc>
              <w:tc>
                <w:tcPr>
                  <w:tcW w:w="1734" w:type="pct"/>
                  <w:tcBorders>
                    <w:tl2br w:val="nil"/>
                    <w:tr2bl w:val="nil"/>
                  </w:tcBorders>
                  <w:vAlign w:val="center"/>
                </w:tcPr>
                <w:p>
                  <w:pPr>
                    <w:pStyle w:val="64"/>
                    <w:snapToGrid w:val="0"/>
                    <w:jc w:val="left"/>
                    <w:rPr>
                      <w:rFonts w:cs="Times New Roman"/>
                    </w:rPr>
                  </w:pPr>
                  <w:r>
                    <w:rPr>
                      <w:rFonts w:cs="Times New Roman"/>
                    </w:rPr>
                    <w:t>应鼓励各入驻企业积极参与和本企业有关的环保技术的研发，并尽快形成生产力；</w:t>
                  </w:r>
                </w:p>
              </w:tc>
              <w:tc>
                <w:tcPr>
                  <w:tcW w:w="2633" w:type="pct"/>
                  <w:tcBorders>
                    <w:tl2br w:val="nil"/>
                    <w:tr2bl w:val="nil"/>
                  </w:tcBorders>
                  <w:vAlign w:val="center"/>
                </w:tcPr>
                <w:p>
                  <w:pPr>
                    <w:pStyle w:val="64"/>
                    <w:snapToGrid w:val="0"/>
                    <w:jc w:val="left"/>
                    <w:rPr>
                      <w:rFonts w:cs="Times New Roman"/>
                    </w:rPr>
                  </w:pPr>
                  <w:r>
                    <w:rPr>
                      <w:rFonts w:cs="Times New Roman"/>
                    </w:rPr>
                    <w:t>建设单位积极参与利用一般固废，例如边角料、不合格产品</w:t>
                  </w:r>
                  <w:r>
                    <w:rPr>
                      <w:rFonts w:cs="Times New Roman"/>
                      <w:lang w:val="en-US"/>
                    </w:rPr>
                    <w:t>经破碎工序后由原材料厂家回收利用</w:t>
                  </w:r>
                  <w:r>
                    <w:rPr>
                      <w:rFonts w:cs="Times New Roman"/>
                    </w:rPr>
                    <w:t>。</w:t>
                  </w:r>
                </w:p>
              </w:tc>
              <w:tc>
                <w:tcPr>
                  <w:tcW w:w="316" w:type="pct"/>
                  <w:tcBorders>
                    <w:tl2br w:val="nil"/>
                    <w:tr2bl w:val="nil"/>
                  </w:tcBorders>
                  <w:vAlign w:val="center"/>
                </w:tcPr>
                <w:p>
                  <w:pPr>
                    <w:pStyle w:val="64"/>
                    <w:snapToGrid w:val="0"/>
                    <w:rPr>
                      <w:rFonts w:cs="Times New Roman"/>
                    </w:rPr>
                  </w:pPr>
                  <w:r>
                    <w:rPr>
                      <w:rFonts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snapToGrid w:val="0"/>
                    <w:rPr>
                      <w:rFonts w:cs="Times New Roman"/>
                    </w:rPr>
                  </w:pPr>
                </w:p>
              </w:tc>
              <w:tc>
                <w:tcPr>
                  <w:tcW w:w="1734" w:type="pct"/>
                  <w:tcBorders>
                    <w:tl2br w:val="nil"/>
                    <w:tr2bl w:val="nil"/>
                  </w:tcBorders>
                  <w:vAlign w:val="center"/>
                </w:tcPr>
                <w:p>
                  <w:pPr>
                    <w:pStyle w:val="64"/>
                    <w:snapToGrid w:val="0"/>
                    <w:jc w:val="left"/>
                    <w:rPr>
                      <w:rFonts w:cs="Times New Roman"/>
                    </w:rPr>
                  </w:pPr>
                  <w:r>
                    <w:rPr>
                      <w:rFonts w:cs="Times New Roman"/>
                    </w:rPr>
                    <w:t>滇池流域不得引进违反《云南省滇池保护条例》（2013年1月1日执行）限制或禁止建设的项目，即：严禁在滇池盆地区（上蒜、晋城、青山、宝峰、乌龙基地）新建钢铁、有色冶金、基础化工、石油化工、化肥、农药、电镀、造纸制浆、制革、印染、石棉制品、土硫磺、土磷肥和染料等污染严重的企业和项目；</w:t>
                  </w:r>
                </w:p>
              </w:tc>
              <w:tc>
                <w:tcPr>
                  <w:tcW w:w="2633" w:type="pct"/>
                  <w:tcBorders>
                    <w:tl2br w:val="nil"/>
                    <w:tr2bl w:val="nil"/>
                  </w:tcBorders>
                  <w:vAlign w:val="center"/>
                </w:tcPr>
                <w:p>
                  <w:pPr>
                    <w:pStyle w:val="64"/>
                    <w:snapToGrid w:val="0"/>
                    <w:jc w:val="left"/>
                    <w:rPr>
                      <w:rFonts w:cs="Times New Roman"/>
                    </w:rPr>
                  </w:pPr>
                  <w:r>
                    <w:rPr>
                      <w:rFonts w:cs="Times New Roman"/>
                    </w:rPr>
                    <w:t>本项目符合《云南省滇池保护条例》</w:t>
                  </w:r>
                  <w:r>
                    <w:rPr>
                      <w:rStyle w:val="37"/>
                      <w:rFonts w:cs="Times New Roman"/>
                      <w:szCs w:val="20"/>
                    </w:rPr>
                    <w:t>（2018年11月29日云南省第十三届人民代表大会常务委员会第七次会议修订通过）。</w:t>
                  </w:r>
                </w:p>
              </w:tc>
              <w:tc>
                <w:tcPr>
                  <w:tcW w:w="316" w:type="pct"/>
                  <w:tcBorders>
                    <w:tl2br w:val="nil"/>
                    <w:tr2bl w:val="nil"/>
                  </w:tcBorders>
                  <w:vAlign w:val="center"/>
                </w:tcPr>
                <w:p>
                  <w:pPr>
                    <w:pStyle w:val="64"/>
                    <w:snapToGrid w:val="0"/>
                    <w:rPr>
                      <w:rFonts w:cs="Times New Roman"/>
                    </w:rPr>
                  </w:pPr>
                  <w:r>
                    <w:rPr>
                      <w:rFonts w:cs="Times New Roman"/>
                    </w:rPr>
                    <w:t>符合</w:t>
                  </w:r>
                </w:p>
              </w:tc>
            </w:tr>
          </w:tbl>
          <w:p>
            <w:pPr>
              <w:widowControl/>
              <w:adjustRightInd w:val="0"/>
              <w:snapToGrid w:val="0"/>
              <w:spacing w:line="360" w:lineRule="auto"/>
              <w:ind w:firstLine="480"/>
              <w:rPr>
                <w:rFonts w:ascii="Times New Roman" w:hAnsi="Times New Roman" w:cs="Times New Roman"/>
                <w:bCs/>
                <w:color w:val="000000"/>
              </w:rPr>
            </w:pPr>
            <w:r>
              <w:rPr>
                <w:rFonts w:ascii="Times New Roman" w:hAnsi="Times New Roman" w:cs="Times New Roman"/>
                <w:bCs/>
                <w:color w:val="000000"/>
              </w:rPr>
              <w:t>综上所述，项目与规划环评是相符的。</w:t>
            </w:r>
          </w:p>
          <w:p>
            <w:pPr>
              <w:widowControl/>
              <w:adjustRightInd w:val="0"/>
              <w:snapToGrid w:val="0"/>
              <w:spacing w:line="360" w:lineRule="auto"/>
              <w:ind w:firstLine="482"/>
              <w:rPr>
                <w:rFonts w:ascii="Times New Roman" w:hAnsi="Times New Roman" w:cs="Times New Roman"/>
                <w:b/>
                <w:color w:val="000000"/>
              </w:rPr>
            </w:pPr>
            <w:r>
              <w:rPr>
                <w:rFonts w:ascii="Times New Roman" w:hAnsi="Times New Roman" w:cs="Times New Roman"/>
                <w:b/>
                <w:color w:val="000000"/>
              </w:rPr>
              <w:t>3、与《云南晋宁工业园区总体规划修编（2012-2030）环境影响报告书》审查意见的相符性分析</w:t>
            </w:r>
          </w:p>
          <w:p>
            <w:pPr>
              <w:pStyle w:val="17"/>
              <w:adjustRightInd w:val="0"/>
              <w:snapToGrid w:val="0"/>
              <w:spacing w:line="360" w:lineRule="auto"/>
              <w:ind w:firstLine="480"/>
              <w:rPr>
                <w:rFonts w:ascii="Times New Roman" w:hAnsi="Times New Roman" w:cs="Times New Roman"/>
                <w:bCs/>
                <w:color w:val="000000"/>
                <w:sz w:val="24"/>
                <w:szCs w:val="24"/>
              </w:rPr>
            </w:pPr>
            <w:r>
              <w:rPr>
                <w:rFonts w:ascii="Times New Roman" w:hAnsi="Times New Roman" w:cs="Times New Roman"/>
                <w:bCs/>
                <w:color w:val="000000"/>
                <w:sz w:val="24"/>
                <w:szCs w:val="24"/>
              </w:rPr>
              <w:t>本项目与《云南晋宁工业园区总体规划修编（2012-2030）环境影响报告书》审查意见相符性分析，详见下表：</w:t>
            </w:r>
          </w:p>
          <w:p>
            <w:pPr>
              <w:pStyle w:val="10"/>
              <w:spacing w:line="360" w:lineRule="auto"/>
            </w:pPr>
            <w:r>
              <w:t>表1-2项目与规划环评审查意见的相符性分析</w:t>
            </w:r>
          </w:p>
          <w:tbl>
            <w:tblPr>
              <w:tblStyle w:val="26"/>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766"/>
              <w:gridCol w:w="2712"/>
              <w:gridCol w:w="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9" w:type="dxa"/>
                  <w:gridSpan w:val="2"/>
                  <w:tcBorders>
                    <w:tl2br w:val="nil"/>
                    <w:tr2bl w:val="nil"/>
                  </w:tcBorders>
                  <w:vAlign w:val="center"/>
                </w:tcPr>
                <w:p>
                  <w:pPr>
                    <w:adjustRightInd w:val="0"/>
                    <w:snapToGrid w:val="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审查意见</w:t>
                  </w:r>
                </w:p>
              </w:tc>
              <w:tc>
                <w:tcPr>
                  <w:tcW w:w="2700" w:type="dxa"/>
                  <w:tcBorders>
                    <w:tl2br w:val="nil"/>
                    <w:tr2bl w:val="nil"/>
                  </w:tcBorders>
                  <w:vAlign w:val="center"/>
                </w:tcPr>
                <w:p>
                  <w:pPr>
                    <w:adjustRightInd w:val="0"/>
                    <w:snapToGrid w:val="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本项目</w:t>
                  </w:r>
                </w:p>
              </w:tc>
              <w:tc>
                <w:tcPr>
                  <w:tcW w:w="431" w:type="dxa"/>
                  <w:tcBorders>
                    <w:tl2br w:val="nil"/>
                    <w:tr2bl w:val="nil"/>
                  </w:tcBorders>
                  <w:vAlign w:val="center"/>
                </w:tcPr>
                <w:p>
                  <w:pPr>
                    <w:adjustRightInd w:val="0"/>
                    <w:snapToGrid w:val="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关于园区规划范围和产业布局</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晋宁工业园区由二街、上蒜、晋城、青山、宝峰、乌龙等六个工业基地构成“一园六基地”，规划面积为92.69平方公里。</w:t>
                  </w:r>
                </w:p>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规划实施过程中应加强对水源保护区的保护，宝峰基地部分区域涉及到双龙水库水源保护区，应将涉及到的饮用水源保护区区域调出宝峰片区规划范围。宝峰基地规划范围包含宝峰集镇、龙泉村、昌家营、清水河，园区的污染物对集镇及村庄分布的敏感目标会产生影响，园区与集镇之间应保持一定的防护距离，并将集镇及村庄调出规划范围。</w:t>
                  </w:r>
                </w:p>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二街基地位于昆明市和安宁市的上风向，同时距离二街集镇较近，布局的有色金属、磷化工产业对上述区域有一定的影响，应调整产业结构，布局污染较小的有色金属制品加工及精细磷化工产业。</w:t>
                  </w:r>
                </w:p>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上蒜基地位于昆明南城上风向，产业以建材为主，对南城旅游发展有一定的影响，不宜再扩大发展。</w:t>
                  </w:r>
                </w:p>
              </w:tc>
              <w:tc>
                <w:tcPr>
                  <w:tcW w:w="2700" w:type="dxa"/>
                  <w:tcBorders>
                    <w:tl2br w:val="nil"/>
                    <w:tr2bl w:val="nil"/>
                  </w:tcBorders>
                  <w:vAlign w:val="center"/>
                </w:tcPr>
                <w:p>
                  <w:pPr>
                    <w:pStyle w:val="17"/>
                    <w:adjustRightInd w:val="0"/>
                    <w:snapToGrid w:val="0"/>
                    <w:ind w:firstLine="0" w:firstLineChars="0"/>
                    <w:jc w:val="both"/>
                    <w:rPr>
                      <w:rFonts w:ascii="Times New Roman" w:hAnsi="Times New Roman" w:cs="Times New Roman"/>
                      <w:color w:val="000000"/>
                      <w:szCs w:val="21"/>
                    </w:rPr>
                  </w:pPr>
                  <w:r>
                    <w:rPr>
                      <w:rFonts w:ascii="Times New Roman" w:hAnsi="Times New Roman" w:cs="Times New Roman"/>
                      <w:color w:val="000000"/>
                      <w:szCs w:val="21"/>
                    </w:rPr>
                    <w:t>本项目位于晋城基地，不涉及水源保护区。</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关于园区水资源保障和水环境保护问题</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一）工业园区所在滇池流域缺水矛盾突出，全县水资源不能满足发展用水量的需求，园区应认真对产业发展区水资源的供给保障与调度分配进行论证，制定明确的水资源保障与分配规划，加快园区内污水处理工程的建设和中水回用设施建设，提高工业用水循环重复使用率，提高中水回用率。</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sz w:val="21"/>
                      <w:szCs w:val="21"/>
                    </w:rPr>
                    <w:t>项目无生产废水产生，冷却水循环使用不外排。</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按照“雨污分流、生产废水和生活污水分流、分散与集中处理相结合”的原则，规范设计和建设各工业片区初期雨水收集系统、事故水收集系统、生活污水、生产废水的收集处理系统和回用系统。规范建设和设置各片区生产和生活排水管网。</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项</w:t>
                  </w:r>
                  <w:r>
                    <w:rPr>
                      <w:rFonts w:ascii="Times New Roman" w:hAnsi="Times New Roman" w:cs="Times New Roman"/>
                      <w:color w:val="000000"/>
                      <w:sz w:val="21"/>
                      <w:szCs w:val="21"/>
                    </w:rPr>
                    <w:t>目无生产废水产生，冷却水循环使用不外排，本项目生活废水</w:t>
                  </w:r>
                  <w:r>
                    <w:rPr>
                      <w:rFonts w:ascii="Times New Roman" w:hAnsi="Times New Roman" w:cs="Times New Roman"/>
                      <w:color w:val="000000"/>
                      <w:sz w:val="21"/>
                      <w:szCs w:val="21"/>
                      <w:lang w:val="en-US"/>
                    </w:rPr>
                    <w:t>依托</w:t>
                  </w:r>
                  <w:r>
                    <w:rPr>
                      <w:rFonts w:ascii="Times New Roman" w:hAnsi="Times New Roman" w:cs="Times New Roman"/>
                      <w:color w:val="000000"/>
                      <w:sz w:val="21"/>
                      <w:szCs w:val="21"/>
                    </w:rPr>
                    <w:t>云南俊腾达房地产开发有限公司化粪池处理达到《污水排入城镇下水道水质标准》（GB/T31962-2015）中A级标准后，排入</w:t>
                  </w:r>
                  <w:r>
                    <w:rPr>
                      <w:rFonts w:ascii="Times New Roman" w:hAnsi="Times New Roman" w:cs="Times New Roman"/>
                      <w:bCs/>
                      <w:color w:val="000000"/>
                      <w:sz w:val="21"/>
                      <w:szCs w:val="21"/>
                    </w:rPr>
                    <w:t>云南俊腾达房地产开发有限公司</w:t>
                  </w:r>
                  <w:r>
                    <w:rPr>
                      <w:rFonts w:ascii="Times New Roman" w:hAnsi="Times New Roman" w:cs="Times New Roman"/>
                      <w:color w:val="000000"/>
                      <w:sz w:val="21"/>
                      <w:szCs w:val="21"/>
                    </w:rPr>
                    <w:t>自建的150m</w:t>
                  </w:r>
                  <w:r>
                    <w:rPr>
                      <w:rFonts w:ascii="Times New Roman" w:hAnsi="Times New Roman" w:cs="Times New Roman"/>
                      <w:color w:val="000000"/>
                      <w:sz w:val="21"/>
                      <w:szCs w:val="21"/>
                      <w:vertAlign w:val="superscript"/>
                    </w:rPr>
                    <w:t>3</w:t>
                  </w:r>
                  <w:r>
                    <w:rPr>
                      <w:rFonts w:ascii="Times New Roman" w:hAnsi="Times New Roman" w:cs="Times New Roman"/>
                      <w:color w:val="000000"/>
                      <w:sz w:val="21"/>
                      <w:szCs w:val="21"/>
                    </w:rPr>
                    <w:t>/d的</w:t>
                  </w:r>
                  <w:r>
                    <w:rPr>
                      <w:rFonts w:hint="eastAsia" w:ascii="Times New Roman" w:hAnsi="Times New Roman" w:cs="Times New Roman"/>
                      <w:color w:val="000000"/>
                      <w:sz w:val="21"/>
                      <w:szCs w:val="21"/>
                      <w:lang w:val="en-US" w:eastAsia="zh-CN"/>
                    </w:rPr>
                    <w:t>中水处理站</w:t>
                  </w:r>
                  <w:r>
                    <w:rPr>
                      <w:rFonts w:ascii="Times New Roman" w:hAnsi="Times New Roman" w:cs="Times New Roman"/>
                      <w:color w:val="000000"/>
                      <w:sz w:val="21"/>
                      <w:szCs w:val="21"/>
                      <w:lang w:val="en-US"/>
                    </w:rPr>
                    <w:t>进行处理，最终回用于</w:t>
                  </w:r>
                  <w:r>
                    <w:rPr>
                      <w:rFonts w:ascii="Times New Roman" w:hAnsi="Times New Roman" w:cs="Times New Roman"/>
                      <w:bCs/>
                      <w:color w:val="000000"/>
                      <w:sz w:val="21"/>
                      <w:szCs w:val="21"/>
                    </w:rPr>
                    <w:t>云南俊腾达房地产开发有限公司</w:t>
                  </w:r>
                  <w:r>
                    <w:rPr>
                      <w:rFonts w:ascii="Times New Roman" w:hAnsi="Times New Roman" w:cs="Times New Roman"/>
                      <w:bCs/>
                      <w:color w:val="000000"/>
                      <w:sz w:val="21"/>
                      <w:szCs w:val="21"/>
                      <w:lang w:val="en-US"/>
                    </w:rPr>
                    <w:t>厂区内道路浇水及绿化</w:t>
                  </w:r>
                  <w:r>
                    <w:rPr>
                      <w:rFonts w:ascii="Times New Roman" w:hAnsi="Times New Roman" w:cs="Times New Roman"/>
                      <w:sz w:val="21"/>
                      <w:szCs w:val="21"/>
                    </w:rPr>
                    <w:t>。</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三）园区青山、宝峰、上蒜、晋城、乌龙5个基地均位于滇池流域，规划实施过程中应严格执行《云南省滇池保护条例》相关规定，禁止建设造纸、制革、印染、染料、炼焦、炼硫、炼砷、炼油、炼汞、电镀、化肥、农药、石棉、水泥、玻璃、冶金、火电以及其他严重污染环境的生产项目。加快乌龙、青山、上蒜、晋城基地与截污干管的对接工作，确保各基地项目入驻时，能够及时进入各基地对应的污水处理厂处理。在古城河、大河、柴河和东大河等入滇河流两侧外延50米不得进行园区建设。</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本项目不属于造纸、制革、印染、染料、炼焦、炼硫、炼砷、炼油、炼汞、电镀、化肥、农药、石棉、水泥、玻璃、冶金、火电以及其他严重污染环境的生产项目。</w:t>
                  </w:r>
                </w:p>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项</w:t>
                  </w:r>
                  <w:r>
                    <w:rPr>
                      <w:rFonts w:ascii="Times New Roman" w:hAnsi="Times New Roman" w:cs="Times New Roman"/>
                      <w:color w:val="000000"/>
                      <w:sz w:val="21"/>
                      <w:szCs w:val="21"/>
                    </w:rPr>
                    <w:t>目无生产废水产生，冷却水循环使用不外排，本项目生活废水</w:t>
                  </w:r>
                  <w:r>
                    <w:rPr>
                      <w:rFonts w:ascii="Times New Roman" w:hAnsi="Times New Roman" w:cs="Times New Roman"/>
                      <w:color w:val="000000"/>
                      <w:sz w:val="21"/>
                      <w:szCs w:val="21"/>
                      <w:lang w:val="en-US"/>
                    </w:rPr>
                    <w:t>依托</w:t>
                  </w:r>
                  <w:r>
                    <w:rPr>
                      <w:rFonts w:ascii="Times New Roman" w:hAnsi="Times New Roman" w:cs="Times New Roman"/>
                      <w:color w:val="000000"/>
                      <w:sz w:val="21"/>
                      <w:szCs w:val="21"/>
                    </w:rPr>
                    <w:t>云南俊腾达房地产开发有限公司化粪池处理达到《污水排入城镇下水道水质标准》（GB/T31962-2015）中A级标准后，</w:t>
                  </w:r>
                  <w:r>
                    <w:rPr>
                      <w:rFonts w:ascii="Times New Roman" w:hAnsi="Times New Roman" w:cs="Times New Roman"/>
                      <w:color w:val="000000"/>
                      <w:szCs w:val="28"/>
                    </w:rPr>
                    <w:t>排入</w:t>
                  </w:r>
                  <w:r>
                    <w:rPr>
                      <w:rFonts w:ascii="Times New Roman" w:hAnsi="Times New Roman" w:cs="Times New Roman"/>
                      <w:bCs/>
                      <w:color w:val="000000"/>
                      <w:sz w:val="21"/>
                      <w:szCs w:val="21"/>
                    </w:rPr>
                    <w:t>云南俊腾达房地产开</w:t>
                  </w:r>
                  <w:r>
                    <w:rPr>
                      <w:rFonts w:ascii="Times New Roman" w:hAnsi="Times New Roman" w:cs="Times New Roman"/>
                      <w:color w:val="000000"/>
                      <w:sz w:val="21"/>
                      <w:szCs w:val="21"/>
                    </w:rPr>
                    <w:t>发有限公司自建的150m</w:t>
                  </w:r>
                  <w:r>
                    <w:rPr>
                      <w:rFonts w:ascii="Times New Roman" w:hAnsi="Times New Roman" w:cs="Times New Roman"/>
                      <w:color w:val="000000"/>
                      <w:sz w:val="21"/>
                      <w:szCs w:val="21"/>
                      <w:vertAlign w:val="superscript"/>
                    </w:rPr>
                    <w:t>3</w:t>
                  </w:r>
                  <w:r>
                    <w:rPr>
                      <w:rFonts w:ascii="Times New Roman" w:hAnsi="Times New Roman" w:cs="Times New Roman"/>
                      <w:color w:val="000000"/>
                      <w:sz w:val="21"/>
                      <w:szCs w:val="21"/>
                    </w:rPr>
                    <w:t>/d的</w:t>
                  </w:r>
                  <w:r>
                    <w:rPr>
                      <w:rFonts w:hint="eastAsia" w:ascii="Times New Roman" w:hAnsi="Times New Roman" w:cs="Times New Roman"/>
                      <w:color w:val="000000"/>
                      <w:sz w:val="21"/>
                      <w:szCs w:val="21"/>
                      <w:lang w:val="en-US" w:eastAsia="zh-CN"/>
                    </w:rPr>
                    <w:t>中水处理站</w:t>
                  </w:r>
                  <w:r>
                    <w:rPr>
                      <w:rFonts w:ascii="Times New Roman" w:hAnsi="Times New Roman" w:cs="Times New Roman"/>
                      <w:color w:val="000000"/>
                      <w:sz w:val="21"/>
                      <w:szCs w:val="21"/>
                      <w:lang w:val="en-US"/>
                    </w:rPr>
                    <w:t>进行处理，最终回用于</w:t>
                  </w:r>
                  <w:r>
                    <w:rPr>
                      <w:rFonts w:ascii="Times New Roman" w:hAnsi="Times New Roman" w:cs="Times New Roman"/>
                      <w:color w:val="000000"/>
                      <w:sz w:val="21"/>
                      <w:szCs w:val="21"/>
                    </w:rPr>
                    <w:t>云南俊腾达房地产开发有限公司</w:t>
                  </w:r>
                  <w:r>
                    <w:rPr>
                      <w:rFonts w:ascii="Times New Roman" w:hAnsi="Times New Roman" w:cs="Times New Roman"/>
                      <w:color w:val="000000"/>
                      <w:sz w:val="21"/>
                      <w:szCs w:val="21"/>
                      <w:lang w:val="en-US"/>
                    </w:rPr>
                    <w:t>厂区内道路浇水</w:t>
                  </w:r>
                  <w:r>
                    <w:rPr>
                      <w:rFonts w:ascii="Times New Roman" w:hAnsi="Times New Roman" w:cs="Times New Roman"/>
                      <w:bCs/>
                      <w:color w:val="000000"/>
                      <w:sz w:val="21"/>
                      <w:szCs w:val="21"/>
                      <w:lang w:val="en-US"/>
                    </w:rPr>
                    <w:t>及绿化</w:t>
                  </w:r>
                  <w:r>
                    <w:rPr>
                      <w:rFonts w:ascii="Times New Roman" w:hAnsi="Times New Roman" w:cs="Times New Roman"/>
                    </w:rPr>
                    <w:t>。</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（四）在各工业基地基础设施建设中，应统筹考思园区公共绿地浇灌和工业再生水贮存及供给问题。</w:t>
                  </w:r>
                </w:p>
              </w:tc>
              <w:tc>
                <w:tcPr>
                  <w:tcW w:w="2700" w:type="dxa"/>
                  <w:vMerge w:val="restart"/>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项</w:t>
                  </w:r>
                  <w:r>
                    <w:rPr>
                      <w:rFonts w:ascii="Times New Roman" w:hAnsi="Times New Roman" w:cs="Times New Roman"/>
                      <w:color w:val="000000"/>
                      <w:sz w:val="21"/>
                      <w:szCs w:val="21"/>
                    </w:rPr>
                    <w:t>目无生产废水产生，冷却水循环使用不外排，本项目生活废水</w:t>
                  </w:r>
                  <w:r>
                    <w:rPr>
                      <w:rFonts w:ascii="Times New Roman" w:hAnsi="Times New Roman" w:cs="Times New Roman"/>
                      <w:color w:val="000000"/>
                      <w:sz w:val="21"/>
                      <w:szCs w:val="21"/>
                      <w:lang w:val="en-US"/>
                    </w:rPr>
                    <w:t>依托</w:t>
                  </w:r>
                  <w:r>
                    <w:rPr>
                      <w:rFonts w:ascii="Times New Roman" w:hAnsi="Times New Roman" w:cs="Times New Roman"/>
                      <w:color w:val="000000"/>
                      <w:sz w:val="21"/>
                      <w:szCs w:val="21"/>
                    </w:rPr>
                    <w:t>云南俊腾达房地产开发有限公司化粪池处理达到《污水排入城镇下水道水质标准》（GB/T31962-2015）中A级标准后，排入</w:t>
                  </w:r>
                  <w:r>
                    <w:rPr>
                      <w:rFonts w:ascii="Times New Roman" w:hAnsi="Times New Roman" w:cs="Times New Roman"/>
                      <w:bCs/>
                      <w:color w:val="000000"/>
                      <w:sz w:val="21"/>
                      <w:szCs w:val="21"/>
                    </w:rPr>
                    <w:t>云南俊腾达房地产开发有限公司</w:t>
                  </w:r>
                  <w:r>
                    <w:rPr>
                      <w:rFonts w:ascii="Times New Roman" w:hAnsi="Times New Roman" w:cs="Times New Roman"/>
                      <w:color w:val="000000"/>
                      <w:sz w:val="21"/>
                      <w:szCs w:val="21"/>
                    </w:rPr>
                    <w:t>自建的150m</w:t>
                  </w:r>
                  <w:r>
                    <w:rPr>
                      <w:rFonts w:ascii="Times New Roman" w:hAnsi="Times New Roman" w:cs="Times New Roman"/>
                      <w:color w:val="000000"/>
                      <w:sz w:val="21"/>
                      <w:szCs w:val="21"/>
                      <w:vertAlign w:val="superscript"/>
                    </w:rPr>
                    <w:t>3</w:t>
                  </w:r>
                  <w:r>
                    <w:rPr>
                      <w:rFonts w:ascii="Times New Roman" w:hAnsi="Times New Roman" w:cs="Times New Roman"/>
                      <w:color w:val="000000"/>
                      <w:sz w:val="21"/>
                      <w:szCs w:val="21"/>
                    </w:rPr>
                    <w:t>/d的</w:t>
                  </w:r>
                  <w:r>
                    <w:rPr>
                      <w:rFonts w:hint="eastAsia" w:ascii="Times New Roman" w:hAnsi="Times New Roman" w:cs="Times New Roman"/>
                      <w:color w:val="000000"/>
                      <w:sz w:val="21"/>
                      <w:szCs w:val="21"/>
                      <w:lang w:val="en-US" w:eastAsia="zh-CN"/>
                    </w:rPr>
                    <w:t>中水处理站</w:t>
                  </w:r>
                  <w:r>
                    <w:rPr>
                      <w:rFonts w:ascii="Times New Roman" w:hAnsi="Times New Roman" w:cs="Times New Roman"/>
                      <w:color w:val="000000"/>
                      <w:sz w:val="21"/>
                      <w:szCs w:val="21"/>
                      <w:lang w:val="en-US"/>
                    </w:rPr>
                    <w:t>进行处理，最终回用于</w:t>
                  </w:r>
                  <w:r>
                    <w:rPr>
                      <w:rFonts w:ascii="Times New Roman" w:hAnsi="Times New Roman" w:cs="Times New Roman"/>
                      <w:bCs/>
                      <w:color w:val="000000"/>
                      <w:sz w:val="21"/>
                      <w:szCs w:val="21"/>
                    </w:rPr>
                    <w:t>云南俊腾达房地产开发有限公司</w:t>
                  </w:r>
                  <w:r>
                    <w:rPr>
                      <w:rFonts w:ascii="Times New Roman" w:hAnsi="Times New Roman" w:cs="Times New Roman"/>
                      <w:bCs/>
                      <w:color w:val="000000"/>
                      <w:sz w:val="21"/>
                      <w:szCs w:val="21"/>
                      <w:lang w:val="en-US"/>
                    </w:rPr>
                    <w:t>厂区内道路浇水及绿化</w:t>
                  </w:r>
                  <w:r>
                    <w:rPr>
                      <w:rFonts w:ascii="Times New Roman" w:hAnsi="Times New Roman" w:cs="Times New Roman"/>
                      <w:sz w:val="21"/>
                      <w:szCs w:val="21"/>
                    </w:rPr>
                    <w:t>。</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（五）园区涉及的地表水体为二街河、柴河、大河、淤泥河、古城河、东大河，上述水体现状均超过《地表水环境质量标准》（GB3838-2002）</w:t>
                  </w:r>
                  <w:r>
                    <w:rPr>
                      <w:rFonts w:ascii="Times New Roman" w:hAnsi="Times New Roman" w:cs="Times New Roman"/>
                      <w:color w:val="000000"/>
                      <w:sz w:val="21"/>
                      <w:szCs w:val="21"/>
                      <w:lang w:val="en-US"/>
                    </w:rPr>
                    <w:t>III</w:t>
                  </w:r>
                  <w:r>
                    <w:rPr>
                      <w:rFonts w:ascii="Times New Roman" w:hAnsi="Times New Roman" w:cs="Times New Roman"/>
                      <w:color w:val="000000"/>
                      <w:sz w:val="21"/>
                      <w:szCs w:val="21"/>
                    </w:rPr>
                    <w:t>类，水环境现状已无剩余环境容量。园区内污水排放问题是规划园区开发建设的主要制约因素。晋宁县政府及有关部门应认真梳理分析水环境污染原因，将保护晋宁主要河流和防治水体污染纳入晋宁县相关规划，尽快完善和实施河道综合整治工程，制定区域污染物总量削减计划并抓紧实施，确保入园项目的建设满足污染物排放总量控制的要求。</w:t>
                  </w:r>
                </w:p>
              </w:tc>
              <w:tc>
                <w:tcPr>
                  <w:tcW w:w="2700" w:type="dxa"/>
                  <w:vMerge w:val="continue"/>
                  <w:tcBorders>
                    <w:tl2br w:val="nil"/>
                    <w:tr2bl w:val="nil"/>
                  </w:tcBorders>
                  <w:vAlign w:val="center"/>
                </w:tcPr>
                <w:p>
                  <w:pPr>
                    <w:adjustRightInd w:val="0"/>
                    <w:snapToGrid w:val="0"/>
                    <w:jc w:val="both"/>
                    <w:rPr>
                      <w:rFonts w:ascii="Times New Roman" w:hAnsi="Times New Roman" w:cs="Times New Roman"/>
                      <w:color w:val="000000"/>
                      <w:sz w:val="21"/>
                      <w:szCs w:val="21"/>
                    </w:rPr>
                  </w:pP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9" w:type="dxa"/>
                  <w:vMerge w:val="restart"/>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关于园区大气环境保护问题</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一）严格控制处于昆明市、安宁市和海口新区上风向的二街基地的能源结构以及影响环境的大气污染物的排放，除对原有企业的升级改造外，不宜再新增布局有色金属和粗放型的磷工业等大气污染严重产业。青山基地产业定位中加工业定位不明确，建议下一步规划中进一步明确，严格控制大气污染，不应规划布局大气污染较重的加工产业，发展精加工的低污染产业。</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lang w:val="en-US"/>
                    </w:rPr>
                  </w:pPr>
                  <w:r>
                    <w:rPr>
                      <w:rFonts w:ascii="Times New Roman" w:hAnsi="Times New Roman" w:cs="Times New Roman"/>
                      <w:color w:val="000000"/>
                      <w:sz w:val="21"/>
                      <w:szCs w:val="21"/>
                    </w:rPr>
                    <w:t>本项目位于晋城基地。</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本项目选址位于晋城基地泛亚家具和装备制造产业基地，因此符合选址要求。</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关于园区固体废弃物处置问题</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（一）应按照分散与集中处理相结合的原则，提前考虑固废处置场等基础设施的建设，做好园区工业固废堆场选址的水文地质调查和建设工作，确保入园企业的固体废弃物处置满足无害化要求。</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本项目处置率100%。</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园区应加强管理，要求企业自身提高固废回收利用率，同时合理引入下游产业将固体废物充分综合利用，尽量将园区工业固体废物资源化和减量化。二街基地应鼓励精细磷化工的发展（如食品级、饲料级磷酸盐等），限制初级磷化工的发展。</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本项目处置率100%。</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jc w:val="center"/>
              </w:trPr>
              <w:tc>
                <w:tcPr>
                  <w:tcW w:w="659" w:type="dxa"/>
                  <w:vMerge w:val="restart"/>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关于入园企业的环境准入和现有企业的整治问题</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一）在工业园区修编规划的编制、审批、设计、建设及管理中应进一步明确各片区的功能定位和布局，认真落实国家颁布的产业政策，严格各入园企业的环境准入条件，提升入园企业节能减排和清洁生产水平，积极促进循环经济产业的建立，注意节约土地资源。工业园区用地规划应符合晋宁县城总体规划、土地利用总体规划和滇池流域保护规划的相关要求。</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本项目选址位于晋城基地泛亚家具和装备制造产业组团，因此是符合规划的。</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与园区规划功能不相符的现有企业不得再行扩建或技改，实行逐步淘汰或转移到与规划相符的相关基地范围内。加快淘汰晋宁县域内不符合产业政策和落后产能的企业，为新入园企业建设腾出环境容量和主要污染物排放总量指标。制定并尽快实施不符合园区功能和布局要求企业的搬迁计划。</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本项目选址位于晋城基地泛亚家具和装备制造产业组团，因此是符合规划的。</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82"/>
              <w:rPr>
                <w:rFonts w:ascii="Times New Roman" w:hAnsi="Times New Roman" w:cs="Times New Roman"/>
                <w:color w:val="000000"/>
              </w:rPr>
            </w:pPr>
            <w:r>
              <w:rPr>
                <w:rFonts w:ascii="Times New Roman" w:hAnsi="Times New Roman" w:cs="Times New Roman"/>
                <w:color w:val="000000"/>
              </w:rPr>
              <w:t>（2）符合性分析</w:t>
            </w:r>
          </w:p>
          <w:p>
            <w:pPr>
              <w:snapToGrid w:val="0"/>
              <w:spacing w:line="360" w:lineRule="auto"/>
              <w:ind w:firstLine="480"/>
              <w:rPr>
                <w:rFonts w:ascii="Times New Roman" w:hAnsi="Times New Roman" w:cs="Times New Roman"/>
                <w:color w:val="000000"/>
              </w:rPr>
            </w:pPr>
            <w:r>
              <w:rPr>
                <w:rFonts w:ascii="Times New Roman" w:hAnsi="Times New Roman" w:cs="Times New Roman"/>
                <w:color w:val="000000"/>
                <w:kern w:val="10"/>
              </w:rPr>
              <w:t>针对规划环评对规划的优化调整建议及规划环评审查意见及其函，</w:t>
            </w:r>
            <w:r>
              <w:rPr>
                <w:rFonts w:ascii="Times New Roman" w:hAnsi="Times New Roman" w:cs="Times New Roman"/>
                <w:color w:val="000000"/>
              </w:rPr>
              <w:t>且项目已获得入园的批复，批复同意本项目入驻晋宁工业园晋城基地。</w:t>
            </w:r>
          </w:p>
          <w:p>
            <w:pPr>
              <w:pStyle w:val="17"/>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项目建设符合《云南晋宁工业园区总体规划修编（2012-2030）环境影响报告书》及其审查意见和审查意见的函的要求。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2" w:hRule="atLeast"/>
          <w:jc w:val="center"/>
        </w:trPr>
        <w:tc>
          <w:tcPr>
            <w:tcW w:w="1163" w:type="dxa"/>
            <w:tcBorders>
              <w:tl2br w:val="nil"/>
              <w:tr2bl w:val="nil"/>
            </w:tcBorders>
            <w:vAlign w:val="center"/>
          </w:tcPr>
          <w:p>
            <w:pPr>
              <w:pStyle w:val="46"/>
              <w:snapToGrid w:val="0"/>
              <w:spacing w:line="360" w:lineRule="auto"/>
              <w:jc w:val="center"/>
              <w:rPr>
                <w:rFonts w:ascii="Times New Roman" w:hAnsi="Times New Roman" w:cs="Times New Roman"/>
              </w:rPr>
            </w:pPr>
          </w:p>
          <w:p>
            <w:pPr>
              <w:pStyle w:val="46"/>
              <w:snapToGrid w:val="0"/>
              <w:spacing w:line="360" w:lineRule="auto"/>
              <w:jc w:val="center"/>
              <w:rPr>
                <w:rFonts w:ascii="Times New Roman" w:hAnsi="Times New Roman" w:cs="Times New Roman"/>
              </w:rPr>
            </w:pPr>
            <w:r>
              <w:rPr>
                <w:rFonts w:ascii="Times New Roman" w:hAnsi="Times New Roman" w:cs="Times New Roman"/>
              </w:rPr>
              <w:t>其他符合性分析</w:t>
            </w:r>
          </w:p>
        </w:tc>
        <w:tc>
          <w:tcPr>
            <w:tcW w:w="7741" w:type="dxa"/>
            <w:gridSpan w:val="3"/>
            <w:tcBorders>
              <w:tl2br w:val="nil"/>
              <w:tr2bl w:val="nil"/>
            </w:tcBorders>
            <w:vAlign w:val="center"/>
          </w:tcPr>
          <w:p>
            <w:pPr>
              <w:pStyle w:val="46"/>
              <w:snapToGrid w:val="0"/>
              <w:spacing w:line="360" w:lineRule="auto"/>
              <w:ind w:firstLine="48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lang w:val="en-US"/>
                <w14:textFill>
                  <w14:solidFill>
                    <w14:schemeClr w14:val="tx1"/>
                  </w14:solidFill>
                </w14:textFill>
              </w:rPr>
              <w:t>1、</w:t>
            </w:r>
            <w:r>
              <w:rPr>
                <w:rFonts w:ascii="Times New Roman" w:hAnsi="Times New Roman" w:cs="Times New Roman"/>
                <w:b/>
                <w:bCs/>
                <w:color w:val="000000" w:themeColor="text1"/>
                <w14:textFill>
                  <w14:solidFill>
                    <w14:schemeClr w14:val="tx1"/>
                  </w14:solidFill>
                </w14:textFill>
              </w:rPr>
              <w:t>产业政策符合性分析</w:t>
            </w:r>
          </w:p>
          <w:p>
            <w:pPr>
              <w:pStyle w:val="46"/>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rPr>
              <w:t>本项目为</w:t>
            </w:r>
            <w:r>
              <w:rPr>
                <w:rFonts w:ascii="Times New Roman" w:hAnsi="Times New Roman" w:cs="Times New Roman"/>
                <w:color w:val="000000"/>
                <w:lang w:val="en-US"/>
              </w:rPr>
              <w:t>食品用塑料包装容器</w:t>
            </w:r>
            <w:r>
              <w:rPr>
                <w:rFonts w:ascii="Times New Roman" w:hAnsi="Times New Roman" w:cs="Times New Roman"/>
                <w:color w:val="000000"/>
              </w:rPr>
              <w:t>生产项目，项目生产工艺不属于落后淘汰类工艺，按照国家发改委第9号令《产业结构调整指导目录（2019年本）》分为“鼓励类”、“限制类”和淘汰类，本项目不属于以上三类，项目符合国家产业政策，为允许类，所以符合国家产业政策要求，且项目不涉及《部分工业行业淘汰落后生产工艺装备和产品指导目录（2010年本）》中的工艺装备和产品，因此，本项目符合国家现行产业政策。</w:t>
            </w:r>
          </w:p>
          <w:p>
            <w:pPr>
              <w:adjustRightInd w:val="0"/>
              <w:snapToGrid w:val="0"/>
              <w:spacing w:line="360" w:lineRule="auto"/>
              <w:ind w:firstLine="48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因此，本项目的建设符合国家现行产业政策。</w:t>
            </w:r>
          </w:p>
          <w:p>
            <w:pPr>
              <w:adjustRightInd w:val="0"/>
              <w:snapToGrid w:val="0"/>
              <w:spacing w:line="360" w:lineRule="auto"/>
              <w:ind w:firstLine="482"/>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lang w:val="en-US"/>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、选址合理性分析</w:t>
            </w:r>
          </w:p>
          <w:p>
            <w:pPr>
              <w:pStyle w:val="22"/>
              <w:widowControl/>
              <w:adjustRightInd w:val="0"/>
              <w:snapToGrid w:val="0"/>
              <w:spacing w:beforeAutospacing="0" w:afterAutospacing="0" w:line="360" w:lineRule="auto"/>
              <w:ind w:firstLine="480" w:firstLineChars="200"/>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本项目位于昆明市晋宁工业园区晋城基地</w:t>
            </w:r>
            <w:r>
              <w:rPr>
                <w:rFonts w:ascii="Times New Roman" w:hAnsi="Times New Roman"/>
              </w:rPr>
              <w:t>俊腾达标准化厂房内</w:t>
            </w:r>
            <w:r>
              <w:rPr>
                <w:rFonts w:ascii="Times New Roman" w:hAnsi="Times New Roman"/>
                <w:color w:val="000000" w:themeColor="text1"/>
                <w14:textFill>
                  <w14:solidFill>
                    <w14:schemeClr w14:val="tx1"/>
                  </w14:solidFill>
                </w14:textFill>
              </w:rPr>
              <w:t>，根据《云南晋宁工业园总体规划修编（2012-2030）》晋城基地土地使用规划图（详见附图5），目前项目已经取得了《晋宁工业园区管理委员会关于同意昆明捌捌富山塑料制品有限公司年产250吨食品用塑料包装容器工具等制品生产线项目入园的批复》（园区管委会复[2021]121号）。</w:t>
            </w:r>
          </w:p>
          <w:p>
            <w:pPr>
              <w:pStyle w:val="17"/>
              <w:adjustRightInd w:val="0"/>
              <w:snapToGrid w:val="0"/>
              <w:spacing w:line="360" w:lineRule="auto"/>
              <w:ind w:firstLine="482"/>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lang w:val="en-US"/>
                <w14:textFill>
                  <w14:solidFill>
                    <w14:schemeClr w14:val="tx1"/>
                  </w14:solidFill>
                </w14:textFill>
              </w:rPr>
              <w:t>3</w:t>
            </w:r>
            <w:r>
              <w:rPr>
                <w:rFonts w:ascii="Times New Roman" w:hAnsi="Times New Roman" w:cs="Times New Roman"/>
                <w:b/>
                <w:bCs/>
                <w:color w:val="000000" w:themeColor="text1"/>
                <w:sz w:val="24"/>
                <w:szCs w:val="24"/>
                <w14:textFill>
                  <w14:solidFill>
                    <w14:schemeClr w14:val="tx1"/>
                  </w14:solidFill>
                </w14:textFill>
              </w:rPr>
              <w:t>、环境相容性分析</w:t>
            </w:r>
          </w:p>
          <w:p>
            <w:pPr>
              <w:spacing w:line="360" w:lineRule="auto"/>
              <w:ind w:firstLine="480"/>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本项目位于昆明市晋宁工业园区晋城基地俊腾达标准化厂房</w:t>
            </w:r>
            <w:r>
              <w:rPr>
                <w:rFonts w:ascii="Times New Roman" w:hAnsi="Times New Roman" w:cs="Times New Roman"/>
                <w:color w:val="000000" w:themeColor="text1"/>
                <w:lang w:val="en-US"/>
                <w14:textFill>
                  <w14:solidFill>
                    <w14:schemeClr w14:val="tx1"/>
                  </w14:solidFill>
                </w14:textFill>
              </w:rPr>
              <w:t>内，</w:t>
            </w:r>
            <w:r>
              <w:rPr>
                <w:rFonts w:ascii="Times New Roman" w:hAnsi="Times New Roman" w:cs="Times New Roman"/>
              </w:rPr>
              <w:t>本项目</w:t>
            </w:r>
            <w:r>
              <w:rPr>
                <w:rFonts w:ascii="Times New Roman" w:hAnsi="Times New Roman" w:cs="Times New Roman"/>
                <w:lang w:val="en-US"/>
              </w:rPr>
              <w:t>位于</w:t>
            </w:r>
            <w:r>
              <w:rPr>
                <w:rFonts w:ascii="Times New Roman" w:hAnsi="Times New Roman" w:cs="Times New Roman"/>
                <w:color w:val="000000" w:themeColor="text1"/>
                <w14:textFill>
                  <w14:solidFill>
                    <w14:schemeClr w14:val="tx1"/>
                  </w14:solidFill>
                </w14:textFill>
              </w:rPr>
              <w:t>晋宁工业园区</w:t>
            </w:r>
            <w:r>
              <w:rPr>
                <w:rFonts w:ascii="Times New Roman" w:hAnsi="Times New Roman" w:cs="Times New Roman"/>
                <w:lang w:val="en-US"/>
              </w:rPr>
              <w:t>内</w:t>
            </w:r>
            <w:r>
              <w:rPr>
                <w:rFonts w:ascii="Times New Roman" w:hAnsi="Times New Roman" w:cs="Times New Roman"/>
              </w:rPr>
              <w:t>，</w:t>
            </w:r>
            <w:r>
              <w:rPr>
                <w:rFonts w:ascii="Times New Roman" w:hAnsi="Times New Roman" w:cs="Times New Roman"/>
                <w:color w:val="000000" w:themeColor="text1"/>
                <w:lang w:val="en-US"/>
                <w14:textFill>
                  <w14:solidFill>
                    <w14:schemeClr w14:val="tx1"/>
                  </w14:solidFill>
                </w14:textFill>
              </w:rPr>
              <w:t>项目西侧为俊腾路，南侧为云南瑞翔包装有限公司、云南环达电缆实业有限公司，东侧为昆明永华涂料有限公司，北侧为云南喜多农业有限公司</w:t>
            </w:r>
            <w:r>
              <w:rPr>
                <w:rFonts w:ascii="Times New Roman" w:hAnsi="Times New Roman" w:cs="Times New Roman"/>
                <w:snapToGrid w:val="0"/>
              </w:rPr>
              <w:t>。</w:t>
            </w:r>
            <w:r>
              <w:rPr>
                <w:rFonts w:ascii="Times New Roman" w:hAnsi="Times New Roman" w:cs="Times New Roman"/>
                <w:snapToGrid w:val="0"/>
                <w:lang w:val="en-US"/>
              </w:rPr>
              <w:t>本项目及项目附近</w:t>
            </w:r>
            <w:r>
              <w:rPr>
                <w:rFonts w:ascii="Times New Roman" w:hAnsi="Times New Roman" w:cs="Times New Roman"/>
                <w:snapToGrid w:val="0"/>
              </w:rPr>
              <w:t>入驻企业不属于高污染型企业，</w:t>
            </w:r>
            <w:r>
              <w:rPr>
                <w:rFonts w:ascii="Times New Roman" w:hAnsi="Times New Roman" w:cs="Times New Roman"/>
              </w:rPr>
              <w:t>产生废气等污染物均处理达标后再外排，</w:t>
            </w:r>
            <w:r>
              <w:rPr>
                <w:rFonts w:ascii="Times New Roman" w:hAnsi="Times New Roman" w:cs="Times New Roman"/>
                <w:lang w:val="en-US"/>
              </w:rPr>
              <w:t>产生的生活污水依托</w:t>
            </w:r>
            <w:r>
              <w:rPr>
                <w:rFonts w:ascii="Times New Roman" w:hAnsi="Times New Roman" w:cs="Times New Roman"/>
                <w:bCs/>
                <w:color w:val="000000"/>
              </w:rPr>
              <w:t>云南俊腾达房地产开发有限公司</w:t>
            </w:r>
            <w:r>
              <w:rPr>
                <w:rFonts w:ascii="Times New Roman" w:hAnsi="Times New Roman" w:cs="Times New Roman"/>
              </w:rPr>
              <w:t>化粪池处理达到《污水排入城镇下水道水质标准》（GB/T31962-2015）中A级标准后，</w:t>
            </w:r>
            <w:r>
              <w:rPr>
                <w:rFonts w:ascii="Times New Roman" w:hAnsi="Times New Roman" w:cs="Times New Roman"/>
                <w:color w:val="000000"/>
                <w:szCs w:val="28"/>
              </w:rPr>
              <w:t>排入</w:t>
            </w:r>
            <w:r>
              <w:rPr>
                <w:rFonts w:ascii="Times New Roman" w:hAnsi="Times New Roman" w:cs="Times New Roman"/>
                <w:bCs/>
                <w:color w:val="000000"/>
              </w:rPr>
              <w:t>云南俊腾达房地产开发有限公司</w:t>
            </w:r>
            <w:r>
              <w:rPr>
                <w:rFonts w:ascii="Times New Roman" w:hAnsi="Times New Roman" w:cs="Times New Roman"/>
                <w:color w:val="000000"/>
                <w:szCs w:val="28"/>
              </w:rPr>
              <w:t>自建的150m</w:t>
            </w:r>
            <w:r>
              <w:rPr>
                <w:rFonts w:ascii="Times New Roman" w:hAnsi="Times New Roman" w:cs="Times New Roman"/>
                <w:color w:val="000000"/>
                <w:szCs w:val="28"/>
                <w:vertAlign w:val="superscript"/>
              </w:rPr>
              <w:t>3</w:t>
            </w:r>
            <w:r>
              <w:rPr>
                <w:rFonts w:ascii="Times New Roman" w:hAnsi="Times New Roman" w:cs="Times New Roman"/>
                <w:color w:val="000000"/>
                <w:szCs w:val="28"/>
              </w:rPr>
              <w:t>/d的</w:t>
            </w:r>
            <w:r>
              <w:rPr>
                <w:rFonts w:hint="eastAsia" w:ascii="Times New Roman" w:hAnsi="Times New Roman" w:cs="Times New Roman"/>
                <w:color w:val="000000"/>
                <w:szCs w:val="28"/>
                <w:lang w:val="en-US" w:eastAsia="zh-CN"/>
              </w:rPr>
              <w:t>中水处理站</w:t>
            </w:r>
            <w:r>
              <w:rPr>
                <w:rFonts w:ascii="Times New Roman" w:hAnsi="Times New Roman" w:cs="Times New Roman"/>
                <w:color w:val="000000"/>
                <w:szCs w:val="28"/>
                <w:lang w:val="en-US"/>
              </w:rPr>
              <w:t>进行处理，最终回用于</w:t>
            </w:r>
            <w:r>
              <w:rPr>
                <w:rFonts w:ascii="Times New Roman" w:hAnsi="Times New Roman" w:cs="Times New Roman"/>
                <w:bCs/>
                <w:color w:val="000000"/>
              </w:rPr>
              <w:t>云南俊腾达房地产开发有限公司</w:t>
            </w:r>
            <w:r>
              <w:rPr>
                <w:rFonts w:ascii="Times New Roman" w:hAnsi="Times New Roman" w:cs="Times New Roman"/>
                <w:bCs/>
                <w:color w:val="000000"/>
                <w:lang w:val="en-US"/>
              </w:rPr>
              <w:t>厂区内道路浇水及绿化</w:t>
            </w:r>
            <w:r>
              <w:rPr>
                <w:rFonts w:ascii="Times New Roman" w:hAnsi="Times New Roman" w:cs="Times New Roman"/>
              </w:rPr>
              <w:t>，厂区环境质量现状较好。</w:t>
            </w:r>
          </w:p>
          <w:p>
            <w:pPr>
              <w:spacing w:line="360" w:lineRule="auto"/>
              <w:ind w:firstLine="480"/>
              <w:rPr>
                <w:rFonts w:ascii="Times New Roman" w:hAnsi="Times New Roman" w:cs="Times New Roman"/>
              </w:rPr>
            </w:pPr>
            <w:r>
              <w:rPr>
                <w:rFonts w:ascii="Times New Roman" w:hAnsi="Times New Roman" w:cs="Times New Roman"/>
              </w:rPr>
              <w:t>距离</w:t>
            </w:r>
            <w:r>
              <w:rPr>
                <w:rFonts w:ascii="Times New Roman" w:hAnsi="Times New Roman" w:cs="Times New Roman"/>
                <w:lang w:val="en-US"/>
              </w:rPr>
              <w:t>本</w:t>
            </w:r>
            <w:r>
              <w:rPr>
                <w:rFonts w:ascii="Times New Roman" w:hAnsi="Times New Roman" w:cs="Times New Roman"/>
              </w:rPr>
              <w:t>项目厂界</w:t>
            </w:r>
            <w:r>
              <w:rPr>
                <w:rFonts w:ascii="Times New Roman" w:hAnsi="Times New Roman" w:cs="Times New Roman"/>
                <w:lang w:val="en-US"/>
              </w:rPr>
              <w:t>最近的环境保护目标为西北侧435m的大场村</w:t>
            </w:r>
            <w:r>
              <w:rPr>
                <w:rFonts w:ascii="Times New Roman" w:hAnsi="Times New Roman" w:cs="Times New Roman"/>
                <w:spacing w:val="-1"/>
              </w:rPr>
              <w:t>，</w:t>
            </w:r>
            <w:r>
              <w:rPr>
                <w:rFonts w:ascii="Times New Roman" w:hAnsi="Times New Roman" w:cs="Times New Roman"/>
                <w:spacing w:val="-1"/>
                <w:lang w:val="en-US"/>
              </w:rPr>
              <w:t>本</w:t>
            </w:r>
            <w:r>
              <w:rPr>
                <w:rFonts w:ascii="Times New Roman" w:hAnsi="Times New Roman" w:cs="Times New Roman"/>
                <w:spacing w:val="-1"/>
              </w:rPr>
              <w:t>项目经采取环评提出的措施后对周围环境影响不大，与区域环境相容，不会改变</w:t>
            </w:r>
            <w:r>
              <w:rPr>
                <w:rFonts w:ascii="Times New Roman" w:hAnsi="Times New Roman" w:cs="Times New Roman"/>
              </w:rPr>
              <w:t>项目所在地环境功能。</w:t>
            </w:r>
          </w:p>
          <w:p>
            <w:pPr>
              <w:adjustRightInd w:val="0"/>
              <w:snapToGrid w:val="0"/>
              <w:spacing w:line="360" w:lineRule="auto"/>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本项目符合</w:t>
            </w:r>
            <w:r>
              <w:rPr>
                <w:rFonts w:ascii="Times New Roman" w:hAnsi="Times New Roman" w:cs="Times New Roman"/>
                <w:color w:val="000000" w:themeColor="text1"/>
                <w14:textFill>
                  <w14:solidFill>
                    <w14:schemeClr w14:val="tx1"/>
                  </w14:solidFill>
                </w14:textFill>
              </w:rPr>
              <w:t>昆明市晋宁工业园区</w:t>
            </w:r>
            <w:r>
              <w:rPr>
                <w:rFonts w:ascii="Times New Roman" w:hAnsi="Times New Roman" w:cs="Times New Roman"/>
              </w:rPr>
              <w:t>规划，项目的废水、废气能做到达标排放，固体废物能得到妥善处理，不会对周边环境产生较大的影响。</w:t>
            </w:r>
          </w:p>
          <w:p>
            <w:pPr>
              <w:pStyle w:val="17"/>
              <w:adjustRightInd w:val="0"/>
              <w:snapToGrid w:val="0"/>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综上所述，本项目与周围环境是相容的。</w:t>
            </w:r>
          </w:p>
          <w:p>
            <w:pPr>
              <w:adjustRightInd w:val="0"/>
              <w:snapToGrid w:val="0"/>
              <w:spacing w:line="360" w:lineRule="auto"/>
              <w:ind w:firstLine="482"/>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lang w:val="en-US"/>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、项目平面布局合理性分析</w:t>
            </w:r>
          </w:p>
          <w:p>
            <w:pPr>
              <w:pStyle w:val="46"/>
              <w:snapToGrid w:val="0"/>
              <w:spacing w:line="360" w:lineRule="auto"/>
              <w:jc w:val="both"/>
              <w:rPr>
                <w:rFonts w:ascii="Times New Roman" w:hAnsi="Times New Roman" w:cs="Times New Roman"/>
                <w:color w:val="FF0000"/>
              </w:rPr>
            </w:pPr>
            <w:r>
              <w:rPr>
                <w:rFonts w:ascii="Times New Roman" w:hAnsi="Times New Roman" w:cs="Times New Roman"/>
                <w:color w:val="000000" w:themeColor="text1"/>
                <w:lang w:val="en-US"/>
                <w14:textFill>
                  <w14:solidFill>
                    <w14:schemeClr w14:val="tx1"/>
                  </w14:solidFill>
                </w14:textFill>
              </w:rPr>
              <w:t xml:space="preserve">    </w:t>
            </w:r>
            <w:r>
              <w:rPr>
                <w:rFonts w:ascii="Times New Roman" w:hAnsi="Times New Roman" w:cs="Times New Roman"/>
                <w:color w:val="FF0000"/>
                <w:lang w:val="en-US"/>
              </w:rPr>
              <w:t xml:space="preserve">   </w:t>
            </w:r>
            <w:r>
              <w:rPr>
                <w:rFonts w:ascii="Times New Roman" w:hAnsi="Times New Roman" w:cs="Times New Roman"/>
                <w:color w:val="000000" w:themeColor="text1"/>
                <w14:textFill>
                  <w14:solidFill>
                    <w14:schemeClr w14:val="tx1"/>
                  </w14:solidFill>
                </w14:textFill>
              </w:rPr>
              <w:t>项目</w:t>
            </w:r>
            <w:r>
              <w:rPr>
                <w:rFonts w:ascii="Times New Roman" w:hAnsi="Times New Roman" w:cs="Times New Roman"/>
                <w:color w:val="000000" w:themeColor="text1"/>
                <w:lang w:val="en-US"/>
                <w14:textFill>
                  <w14:solidFill>
                    <w14:schemeClr w14:val="tx1"/>
                  </w14:solidFill>
                </w14:textFill>
              </w:rPr>
              <w:t>从西往东依为办公区、模具放置区、注塑区</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挤出区</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原料放置区</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破碎区1、破碎区2，危废暂存间位于项目区南侧。</w:t>
            </w:r>
            <w:r>
              <w:rPr>
                <w:rFonts w:ascii="Times New Roman" w:hAnsi="Times New Roman" w:cs="Times New Roman"/>
                <w:color w:val="000000" w:themeColor="text1"/>
                <w14:textFill>
                  <w14:solidFill>
                    <w14:schemeClr w14:val="tx1"/>
                  </w14:solidFill>
                </w14:textFill>
              </w:rPr>
              <w:t>项目主要产噪、产尘环节设备均布置于标准厂房</w:t>
            </w:r>
            <w:r>
              <w:rPr>
                <w:rFonts w:ascii="Times New Roman" w:hAnsi="Times New Roman" w:cs="Times New Roman"/>
                <w:color w:val="000000" w:themeColor="text1"/>
                <w:lang w:val="en-US"/>
                <w14:textFill>
                  <w14:solidFill>
                    <w14:schemeClr w14:val="tx1"/>
                  </w14:solidFill>
                </w14:textFill>
              </w:rPr>
              <w:t>中</w:t>
            </w:r>
            <w:r>
              <w:rPr>
                <w:rFonts w:ascii="Times New Roman" w:hAnsi="Times New Roman" w:cs="Times New Roman"/>
                <w:color w:val="000000" w:themeColor="text1"/>
                <w14:textFill>
                  <w14:solidFill>
                    <w14:schemeClr w14:val="tx1"/>
                  </w14:solidFill>
                </w14:textFill>
              </w:rPr>
              <w:t>部，通过厂房墙壁隔声、防尘可降低产生的噪声、粉尘对环境的影响。从整个厂区的平面布置图来看，项目区出入口位于项目</w:t>
            </w:r>
            <w:r>
              <w:rPr>
                <w:rFonts w:ascii="Times New Roman" w:hAnsi="Times New Roman" w:cs="Times New Roman"/>
                <w:color w:val="000000" w:themeColor="text1"/>
                <w:lang w:val="en-US"/>
                <w14:textFill>
                  <w14:solidFill>
                    <w14:schemeClr w14:val="tx1"/>
                  </w14:solidFill>
                </w14:textFill>
              </w:rPr>
              <w:t>南部</w:t>
            </w:r>
            <w:r>
              <w:rPr>
                <w:rFonts w:ascii="Times New Roman" w:hAnsi="Times New Roman" w:cs="Times New Roman"/>
                <w:color w:val="000000" w:themeColor="text1"/>
                <w14:textFill>
                  <w14:solidFill>
                    <w14:schemeClr w14:val="tx1"/>
                  </w14:solidFill>
                </w14:textFill>
              </w:rPr>
              <w:t>，紧接项目区外道路，便于原料的运入及产品的运出。交通方便。因此，项目平面布局是合理的。</w:t>
            </w:r>
          </w:p>
          <w:p>
            <w:pPr>
              <w:adjustRightInd w:val="0"/>
              <w:snapToGrid w:val="0"/>
              <w:spacing w:line="360" w:lineRule="auto"/>
              <w:ind w:firstLine="482"/>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lang w:val="en-US"/>
                <w14:textFill>
                  <w14:solidFill>
                    <w14:schemeClr w14:val="tx1"/>
                  </w14:solidFill>
                </w14:textFill>
              </w:rPr>
              <w:t>5</w:t>
            </w:r>
            <w:r>
              <w:rPr>
                <w:rFonts w:ascii="Times New Roman" w:hAnsi="Times New Roman" w:cs="Times New Roman"/>
                <w:b/>
                <w:bCs/>
                <w:color w:val="000000" w:themeColor="text1"/>
                <w14:textFill>
                  <w14:solidFill>
                    <w14:schemeClr w14:val="tx1"/>
                  </w14:solidFill>
                </w14:textFill>
              </w:rPr>
              <w:t>、与《云南省滇池保护条例》相符性分析</w:t>
            </w:r>
          </w:p>
          <w:p>
            <w:pPr>
              <w:pStyle w:val="58"/>
              <w:adjustRightInd w:val="0"/>
              <w:snapToGrid w:val="0"/>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根据《云南省滇池保护条例》，滇池保护范围分为下列一、二、三级保护区和城镇饮用水源保护区： </w:t>
            </w:r>
          </w:p>
          <w:p>
            <w:pPr>
              <w:pStyle w:val="58"/>
              <w:adjustRightInd w:val="0"/>
              <w:snapToGrid w:val="0"/>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一级保护区，指滇池水域以及保护界桩向外水平延伸100米以内的区域，但保护界桩在环湖路（不含水体上的桥梁）以外的，以环湖路以内的路缘线为界； </w:t>
            </w:r>
          </w:p>
          <w:p>
            <w:pPr>
              <w:pStyle w:val="58"/>
              <w:adjustRightInd w:val="0"/>
              <w:snapToGrid w:val="0"/>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二级保护区，指一级保护区以外至滇池面山以内的城市规划确定的禁止建设区和限制建设区，以及主要入湖河道两侧沿地表向外水平延伸50米以内的区域； </w:t>
            </w:r>
          </w:p>
          <w:p>
            <w:pPr>
              <w:pStyle w:val="58"/>
              <w:adjustRightInd w:val="0"/>
              <w:snapToGrid w:val="0"/>
              <w:spacing w:line="360" w:lineRule="auto"/>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三级保护区，指</w:t>
            </w:r>
            <w:r>
              <w:rPr>
                <w:rFonts w:ascii="Times New Roman" w:hAnsi="Times New Roman" w:eastAsia="宋体" w:cs="Times New Roman"/>
                <w:color w:val="000000" w:themeColor="text1"/>
                <w:szCs w:val="24"/>
                <w14:textFill>
                  <w14:solidFill>
                    <w14:schemeClr w14:val="tx1"/>
                  </w14:solidFill>
                </w14:textFill>
              </w:rPr>
              <w:t>一、二级保护区以外，滇池流域分水岭以内的区域。</w:t>
            </w:r>
          </w:p>
          <w:p>
            <w:pPr>
              <w:pStyle w:val="58"/>
              <w:adjustRightInd w:val="0"/>
              <w:snapToGrid w:val="0"/>
              <w:spacing w:line="360" w:lineRule="auto"/>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项目位于</w:t>
            </w:r>
            <w:r>
              <w:rPr>
                <w:rFonts w:ascii="Times New Roman" w:hAnsi="Times New Roman" w:eastAsia="宋体" w:cs="Times New Roman"/>
                <w:color w:val="000000" w:themeColor="text1"/>
                <w14:textFill>
                  <w14:solidFill>
                    <w14:schemeClr w14:val="tx1"/>
                  </w14:solidFill>
                </w14:textFill>
              </w:rPr>
              <w:t>昆明市晋宁工业园区晋城基地</w:t>
            </w:r>
            <w:r>
              <w:rPr>
                <w:rFonts w:ascii="Times New Roman" w:hAnsi="Times New Roman" w:eastAsia="宋体" w:cs="Times New Roman"/>
                <w:color w:val="000000" w:themeColor="text1"/>
                <w:szCs w:val="24"/>
                <w14:textFill>
                  <w14:solidFill>
                    <w14:schemeClr w14:val="tx1"/>
                  </w14:solidFill>
                </w14:textFill>
              </w:rPr>
              <w:t>，距项目西面滇池</w:t>
            </w:r>
            <w:r>
              <w:rPr>
                <w:rFonts w:ascii="Times New Roman" w:hAnsi="Times New Roman" w:eastAsia="宋体" w:cs="Times New Roman"/>
                <w:color w:val="000000" w:themeColor="text1"/>
                <w:szCs w:val="24"/>
                <w:lang w:val="en-US"/>
                <w14:textFill>
                  <w14:solidFill>
                    <w14:schemeClr w14:val="tx1"/>
                  </w14:solidFill>
                </w14:textFill>
              </w:rPr>
              <w:t>8</w:t>
            </w:r>
            <w:r>
              <w:rPr>
                <w:rFonts w:ascii="Times New Roman" w:hAnsi="Times New Roman" w:eastAsia="宋体" w:cs="Times New Roman"/>
                <w:color w:val="000000" w:themeColor="text1"/>
                <w:szCs w:val="24"/>
                <w14:textFill>
                  <w14:solidFill>
                    <w14:schemeClr w14:val="tx1"/>
                  </w14:solidFill>
                </w14:textFill>
              </w:rPr>
              <w:t>km，项目区位于滇池保护范围三级保护区内。</w:t>
            </w:r>
          </w:p>
          <w:p>
            <w:pPr>
              <w:pStyle w:val="57"/>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lang w:val="en-US"/>
                <w14:textFill>
                  <w14:solidFill>
                    <w14:schemeClr w14:val="tx1"/>
                  </w14:solidFill>
                </w14:textFill>
              </w:rPr>
              <w:t>1-3</w:t>
            </w:r>
            <w:r>
              <w:rPr>
                <w:color w:val="000000" w:themeColor="text1"/>
                <w14:textFill>
                  <w14:solidFill>
                    <w14:schemeClr w14:val="tx1"/>
                  </w14:solidFill>
                </w14:textFill>
              </w:rPr>
              <w:t>与《云南省滇池保护条例》的符合性分析</w:t>
            </w:r>
          </w:p>
          <w:tbl>
            <w:tblPr>
              <w:tblStyle w:val="26"/>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3192"/>
              <w:gridCol w:w="3169"/>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1" w:type="pct"/>
                  <w:gridSpan w:val="2"/>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云南省滇池保护条例</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项目情况</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54" w:type="pct"/>
                  <w:vMerge w:val="restar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三级保护区内禁止下列行为</w:t>
                  </w:r>
                </w:p>
              </w:tc>
              <w:tc>
                <w:tcPr>
                  <w:tcW w:w="210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1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①</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向河道、沟渠等水体倾倒固体废弃物，排放粪便、污水、废液及其他超过水污染物排放标准的污水、废水，或者在河道中清洗生产生活用具、车辆和其他可能污染水体的物品；</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rPr>
                    <w:t>项目无生产废水产生，冷却水循环使用不外排，本项目生活废水依托云南俊腾达房地产开发有限公司化粪池处理达到《污水排入城镇下水道水质标准》（GB/T31962-2015）中A级标准后，</w:t>
                  </w:r>
                  <w:r>
                    <w:rPr>
                      <w:b w:val="0"/>
                      <w:bCs w:val="0"/>
                      <w:szCs w:val="28"/>
                    </w:rPr>
                    <w:t>排入</w:t>
                  </w:r>
                  <w:r>
                    <w:rPr>
                      <w:b w:val="0"/>
                      <w:bCs w:val="0"/>
                    </w:rPr>
                    <w:t>云南俊腾达房地产开发有限公司</w:t>
                  </w:r>
                  <w:r>
                    <w:rPr>
                      <w:b w:val="0"/>
                      <w:bCs w:val="0"/>
                      <w:szCs w:val="28"/>
                    </w:rPr>
                    <w:t>自建的150m</w:t>
                  </w:r>
                  <w:r>
                    <w:rPr>
                      <w:b w:val="0"/>
                      <w:bCs w:val="0"/>
                      <w:szCs w:val="28"/>
                      <w:vertAlign w:val="superscript"/>
                    </w:rPr>
                    <w:t>3</w:t>
                  </w:r>
                  <w:r>
                    <w:rPr>
                      <w:b w:val="0"/>
                      <w:bCs w:val="0"/>
                      <w:szCs w:val="28"/>
                    </w:rPr>
                    <w:t>/d的</w:t>
                  </w:r>
                  <w:r>
                    <w:rPr>
                      <w:rFonts w:hint="eastAsia"/>
                      <w:b w:val="0"/>
                      <w:bCs w:val="0"/>
                      <w:szCs w:val="28"/>
                      <w:lang w:val="en-US" w:eastAsia="zh-CN"/>
                    </w:rPr>
                    <w:t>中水处理站</w:t>
                  </w:r>
                  <w:r>
                    <w:rPr>
                      <w:b w:val="0"/>
                      <w:bCs w:val="0"/>
                      <w:szCs w:val="28"/>
                    </w:rPr>
                    <w:t>进行处理，最终回用于</w:t>
                  </w:r>
                  <w:r>
                    <w:rPr>
                      <w:b w:val="0"/>
                      <w:bCs w:val="0"/>
                    </w:rPr>
                    <w:t>云南俊腾达房地产开发有限公司厂区内道路浇水及绿化</w:t>
                  </w:r>
                  <w:r>
                    <w:rPr>
                      <w:b w:val="0"/>
                      <w:bCs w:val="0"/>
                      <w:color w:val="000000" w:themeColor="text1"/>
                      <w14:textFill>
                        <w14:solidFill>
                          <w14:schemeClr w14:val="tx1"/>
                        </w14:solidFill>
                      </w14:textFill>
                    </w:rPr>
                    <w:t>；生产固废部分产生的边角料及不合格产品由原材料厂家回收利用，剩余部分外售；生活垃圾由当地环卫部门清运；危险固废交由有资质的单位处置。</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7"/>
                    <w:jc w:val="left"/>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2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②</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在河道滩地和岸坡堆放、存贮固体废弃物和其他污染物，或者将其埋入集水区范围内的土壤中；</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生产固废部分产生的边角料及不合格产品由原材料厂家回收利用，剩余部分外售，生活垃圾定期由当地环卫部门清运处置，危险固废交由有资质的单位处置，处置率100%。</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6"/>
                    <w:snapToGri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3 \* GB3 \* MERGEFORMAT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ascii="Times New Roman" w:hAnsi="Times New Roman" w:cs="Times New Roman"/>
                      <w:color w:val="000000" w:themeColor="text1"/>
                      <w:sz w:val="21"/>
                      <w:szCs w:val="21"/>
                      <w14:textFill>
                        <w14:solidFill>
                          <w14:schemeClr w14:val="tx1"/>
                        </w14:solidFill>
                      </w14:textFill>
                    </w:rPr>
                    <w:t>③</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盗伐、滥伐林木或-者其他破坏与保护水源有关的植被的行为；</w:t>
                  </w:r>
                </w:p>
                <w:p>
                  <w:pPr>
                    <w:pStyle w:val="47"/>
                    <w:jc w:val="left"/>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4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④</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毁林开垦或者违法占用林地资源；</w:t>
                  </w:r>
                </w:p>
                <w:p>
                  <w:pPr>
                    <w:pStyle w:val="47"/>
                    <w:jc w:val="left"/>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5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⑤</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猎捕野生动物；</w:t>
                  </w:r>
                </w:p>
                <w:p>
                  <w:pPr>
                    <w:pStyle w:val="47"/>
                    <w:jc w:val="left"/>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6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⑥</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在禁止开垦区内开垦土地；</w:t>
                  </w:r>
                </w:p>
              </w:tc>
              <w:tc>
                <w:tcPr>
                  <w:tcW w:w="2092" w:type="pct"/>
                  <w:tcBorders>
                    <w:tl2br w:val="nil"/>
                    <w:tr2bl w:val="nil"/>
                  </w:tcBorders>
                  <w:vAlign w:val="center"/>
                </w:tcPr>
                <w:p>
                  <w:pPr>
                    <w:pStyle w:val="47"/>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项目为食品用塑料包装容器工具等制品生产线项目建设用地为园区规划空地，不涉及禁止行为。</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7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⑦</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新建、改建、扩建向入湖河道排放氮、磷污染物的工业项目以及污染环境、破坏生态平衡和自然景观的其他项目。</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rPr>
                    <w:t>项目无生产废水产生，冷却水循环使用不外排，本项目生活废水依托云南俊腾达房地产开发有限公司化粪池处理达到《污水排入城镇下水道水质标准》（GB/T31962-2015）中A级标准后，</w:t>
                  </w:r>
                  <w:r>
                    <w:rPr>
                      <w:b w:val="0"/>
                      <w:bCs w:val="0"/>
                      <w:szCs w:val="28"/>
                    </w:rPr>
                    <w:t>排入</w:t>
                  </w:r>
                  <w:r>
                    <w:rPr>
                      <w:b w:val="0"/>
                      <w:bCs w:val="0"/>
                    </w:rPr>
                    <w:t>云南俊腾达房地产开发有限公司</w:t>
                  </w:r>
                  <w:r>
                    <w:rPr>
                      <w:b w:val="0"/>
                      <w:bCs w:val="0"/>
                      <w:szCs w:val="28"/>
                    </w:rPr>
                    <w:t>自建的150m</w:t>
                  </w:r>
                  <w:r>
                    <w:rPr>
                      <w:b w:val="0"/>
                      <w:bCs w:val="0"/>
                      <w:szCs w:val="28"/>
                      <w:vertAlign w:val="superscript"/>
                    </w:rPr>
                    <w:t>3</w:t>
                  </w:r>
                  <w:r>
                    <w:rPr>
                      <w:b w:val="0"/>
                      <w:bCs w:val="0"/>
                      <w:szCs w:val="28"/>
                    </w:rPr>
                    <w:t>/d的</w:t>
                  </w:r>
                  <w:r>
                    <w:rPr>
                      <w:rFonts w:hint="eastAsia"/>
                      <w:b w:val="0"/>
                      <w:bCs w:val="0"/>
                      <w:szCs w:val="28"/>
                      <w:lang w:val="en-US" w:eastAsia="zh-CN"/>
                    </w:rPr>
                    <w:t>中水处理站</w:t>
                  </w:r>
                  <w:r>
                    <w:rPr>
                      <w:b w:val="0"/>
                      <w:bCs w:val="0"/>
                      <w:szCs w:val="28"/>
                    </w:rPr>
                    <w:t>进行处理，最终回用于</w:t>
                  </w:r>
                  <w:r>
                    <w:rPr>
                      <w:b w:val="0"/>
                      <w:bCs w:val="0"/>
                    </w:rPr>
                    <w:t>云南俊腾达房地产开发有限公司厂区内道路浇水及绿化</w:t>
                  </w:r>
                  <w:r>
                    <w:rPr>
                      <w:b w:val="0"/>
                      <w:bCs w:val="0"/>
                      <w:color w:val="000000" w:themeColor="text1"/>
                      <w14:textFill>
                        <w14:solidFill>
                          <w14:schemeClr w14:val="tx1"/>
                        </w14:solidFill>
                      </w14:textFill>
                    </w:rPr>
                    <w:t>。不涉及禁止建设项目行为。</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第二十五条滇池保护范围内对重点水污染物排放实施总量控制制度。</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rPr>
                    <w:t>项目无生产废水产生，冷却水循环使用不外排，本项目生活废水依托云南俊腾达房地产开发有限公司化粪池处理达到《污水排入城镇下水道水质标准》（GB/T31962-2015）中A级标准后，</w:t>
                  </w:r>
                  <w:r>
                    <w:rPr>
                      <w:b w:val="0"/>
                      <w:bCs w:val="0"/>
                      <w:szCs w:val="28"/>
                    </w:rPr>
                    <w:t>排入</w:t>
                  </w:r>
                  <w:r>
                    <w:rPr>
                      <w:b w:val="0"/>
                      <w:bCs w:val="0"/>
                    </w:rPr>
                    <w:t>云南俊腾达房地产开发有限公司</w:t>
                  </w:r>
                  <w:r>
                    <w:rPr>
                      <w:b w:val="0"/>
                      <w:bCs w:val="0"/>
                      <w:szCs w:val="28"/>
                    </w:rPr>
                    <w:t>自建的150m</w:t>
                  </w:r>
                  <w:r>
                    <w:rPr>
                      <w:b w:val="0"/>
                      <w:bCs w:val="0"/>
                      <w:szCs w:val="28"/>
                      <w:vertAlign w:val="superscript"/>
                    </w:rPr>
                    <w:t>3</w:t>
                  </w:r>
                  <w:r>
                    <w:rPr>
                      <w:b w:val="0"/>
                      <w:bCs w:val="0"/>
                      <w:szCs w:val="28"/>
                    </w:rPr>
                    <w:t>/d的</w:t>
                  </w:r>
                  <w:r>
                    <w:rPr>
                      <w:rFonts w:hint="eastAsia"/>
                      <w:b w:val="0"/>
                      <w:bCs w:val="0"/>
                      <w:szCs w:val="28"/>
                      <w:lang w:val="en-US" w:eastAsia="zh-CN"/>
                    </w:rPr>
                    <w:t>中水处理站</w:t>
                  </w:r>
                  <w:r>
                    <w:rPr>
                      <w:b w:val="0"/>
                      <w:bCs w:val="0"/>
                      <w:szCs w:val="28"/>
                    </w:rPr>
                    <w:t>进行处理，最终回用于</w:t>
                  </w:r>
                  <w:r>
                    <w:rPr>
                      <w:b w:val="0"/>
                      <w:bCs w:val="0"/>
                    </w:rPr>
                    <w:t>云南俊腾达房地产开发有限公司厂区内道路浇水及绿化。</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第四十九条不得建设不符合国家产业政策的造纸、制革、印染、染料、炼焦、炼硫、炼砷、炼油、炼汞、电镀、化肥、农药、石棉、水泥、玻璃、冶金、火电以及其他严重污染环境的生产项目。</w:t>
                  </w:r>
                </w:p>
              </w:tc>
              <w:tc>
                <w:tcPr>
                  <w:tcW w:w="2092" w:type="pct"/>
                  <w:tcBorders>
                    <w:tl2br w:val="nil"/>
                    <w:tr2bl w:val="nil"/>
                  </w:tcBorders>
                  <w:vAlign w:val="center"/>
                </w:tcPr>
                <w:p>
                  <w:pPr>
                    <w:pStyle w:val="47"/>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项目为食品用塑料包装容器工具等制品生产线项目，不涉及条例中严禁建设的项目。</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bl>
          <w:p>
            <w:pPr>
              <w:adjustRightInd w:val="0"/>
              <w:snapToGrid w:val="0"/>
              <w:spacing w:line="360" w:lineRule="auto"/>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综上所述，该项目符合《云南省滇池保护条例》相关规定。</w:t>
            </w:r>
          </w:p>
          <w:p>
            <w:pPr>
              <w:snapToGrid w:val="0"/>
              <w:spacing w:line="360" w:lineRule="auto"/>
              <w:ind w:firstLine="482"/>
              <w:rPr>
                <w:rFonts w:ascii="Times New Roman" w:hAnsi="Times New Roman" w:cs="Times New Roman"/>
                <w:b/>
                <w:bCs/>
              </w:rPr>
            </w:pPr>
            <w:r>
              <w:rPr>
                <w:rFonts w:ascii="Times New Roman" w:hAnsi="Times New Roman" w:cs="Times New Roman"/>
                <w:b/>
                <w:bCs/>
                <w:lang w:val="en-US"/>
              </w:rPr>
              <w:t>6、</w:t>
            </w:r>
            <w:r>
              <w:rPr>
                <w:rFonts w:ascii="Times New Roman" w:hAnsi="Times New Roman" w:cs="Times New Roman"/>
                <w:b/>
                <w:bCs/>
              </w:rPr>
              <w:t>与《“十三五”挥发性有机物污染防治工作方案》的符合性分析</w:t>
            </w:r>
          </w:p>
          <w:p>
            <w:pPr>
              <w:snapToGrid w:val="0"/>
              <w:spacing w:line="360" w:lineRule="auto"/>
              <w:ind w:firstLine="480"/>
              <w:rPr>
                <w:rFonts w:ascii="Times New Roman" w:hAnsi="Times New Roman" w:cs="Times New Roman"/>
              </w:rPr>
            </w:pPr>
            <w:r>
              <w:rPr>
                <w:rFonts w:ascii="Times New Roman" w:hAnsi="Times New Roman" w:cs="Times New Roman"/>
              </w:rPr>
              <w:t>根据《“十三五”挥发性有机物污染防治工作方案》（环大气[2017]121 号）的要求：</w:t>
            </w:r>
          </w:p>
          <w:p>
            <w:pPr>
              <w:pStyle w:val="10"/>
            </w:pPr>
            <w:r>
              <w:t>表1-4《“十三五”挥发性有机物污染防治工作方案》的符合性分析</w:t>
            </w:r>
          </w:p>
          <w:tbl>
            <w:tblPr>
              <w:tblStyle w:val="27"/>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1"/>
              <w:gridCol w:w="3189"/>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4"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bCs/>
                      <w:sz w:val="21"/>
                      <w:szCs w:val="21"/>
                    </w:rPr>
                    <w:t>十三五挥发性有机物污染防治方案要求如下</w:t>
                  </w:r>
                </w:p>
              </w:tc>
              <w:tc>
                <w:tcPr>
                  <w:tcW w:w="2105"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本项目情况</w:t>
                  </w:r>
                </w:p>
              </w:tc>
              <w:tc>
                <w:tcPr>
                  <w:tcW w:w="610"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4" w:type="pct"/>
                  <w:tcBorders>
                    <w:tl2br w:val="nil"/>
                    <w:tr2bl w:val="nil"/>
                  </w:tcBorders>
                  <w:vAlign w:val="center"/>
                </w:tcPr>
                <w:p>
                  <w:pPr>
                    <w:pStyle w:val="46"/>
                    <w:snapToGrid w:val="0"/>
                    <w:ind w:firstLine="420" w:firstLineChars="200"/>
                    <w:jc w:val="both"/>
                    <w:rPr>
                      <w:rFonts w:ascii="Times New Roman" w:hAnsi="Times New Roman" w:cs="Times New Roman"/>
                      <w:sz w:val="21"/>
                      <w:szCs w:val="21"/>
                    </w:rPr>
                  </w:pPr>
                  <w:r>
                    <w:rPr>
                      <w:rFonts w:ascii="Times New Roman" w:hAnsi="Times New Roman" w:cs="Times New Roman"/>
                      <w:sz w:val="21"/>
                      <w:szCs w:val="21"/>
                    </w:rPr>
                    <w:t>以改善环境空气质量为核心，以重点地区为主要着力点，以重点行业和重点污染物为主要控制对象，推进 VOCs 与 NOx 协同减排，强化新增污染物排放控制，实施固定污染源排污许可，全面加强基础能力建设和政策支持保障， 因地制宜，突出重点，源头防控，分业施策，建立 VOCs 污染防治长效机制， 促进环境空气质量持续改善和产业绿色发展。</w:t>
                  </w:r>
                </w:p>
              </w:tc>
              <w:tc>
                <w:tcPr>
                  <w:tcW w:w="2105" w:type="pct"/>
                  <w:tcBorders>
                    <w:tl2br w:val="nil"/>
                    <w:tr2bl w:val="nil"/>
                  </w:tcBorders>
                  <w:vAlign w:val="center"/>
                </w:tcPr>
                <w:p>
                  <w:pPr>
                    <w:snapToGrid w:val="0"/>
                    <w:ind w:firstLine="420" w:firstLineChars="200"/>
                    <w:jc w:val="center"/>
                    <w:rPr>
                      <w:rFonts w:ascii="Times New Roman" w:hAnsi="Times New Roman" w:cs="Times New Roman"/>
                      <w:sz w:val="21"/>
                      <w:szCs w:val="21"/>
                    </w:rPr>
                  </w:pPr>
                  <w:r>
                    <w:rPr>
                      <w:rFonts w:ascii="Times New Roman" w:hAnsi="Times New Roman" w:cs="Times New Roman"/>
                      <w:sz w:val="21"/>
                      <w:szCs w:val="21"/>
                    </w:rPr>
                    <w:t>本项目</w:t>
                  </w:r>
                  <w:r>
                    <w:rPr>
                      <w:rFonts w:ascii="Times New Roman" w:hAnsi="Times New Roman" w:cs="Times New Roman"/>
                      <w:color w:val="000000" w:themeColor="text1"/>
                      <w:sz w:val="21"/>
                      <w:szCs w:val="21"/>
                      <w:lang w:val="en-US"/>
                      <w14:textFill>
                        <w14:solidFill>
                          <w14:schemeClr w14:val="tx1"/>
                        </w14:solidFill>
                      </w14:textFill>
                    </w:rPr>
                    <w:t>食品用塑料包装容器工具等制品生产线项目</w:t>
                  </w:r>
                  <w:r>
                    <w:rPr>
                      <w:rFonts w:ascii="Times New Roman" w:hAnsi="Times New Roman" w:cs="Times New Roman"/>
                      <w:sz w:val="21"/>
                      <w:szCs w:val="21"/>
                    </w:rPr>
                    <w:t>， VOCs 产生量不大，在采取环评提出的对策措施后，项目产生的污染物均能达标排放。</w:t>
                  </w:r>
                </w:p>
              </w:tc>
              <w:tc>
                <w:tcPr>
                  <w:tcW w:w="610" w:type="pct"/>
                  <w:tcBorders>
                    <w:tl2br w:val="nil"/>
                    <w:tr2bl w:val="nil"/>
                  </w:tcBorders>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4" w:type="pct"/>
                  <w:tcBorders>
                    <w:tl2br w:val="nil"/>
                    <w:tr2bl w:val="nil"/>
                  </w:tcBorders>
                  <w:vAlign w:val="center"/>
                </w:tcPr>
                <w:p>
                  <w:pPr>
                    <w:snapToGrid w:val="0"/>
                    <w:ind w:firstLine="420" w:firstLineChars="200"/>
                    <w:jc w:val="both"/>
                    <w:rPr>
                      <w:rFonts w:ascii="Times New Roman" w:hAnsi="Times New Roman" w:cs="Times New Roman"/>
                      <w:sz w:val="21"/>
                      <w:szCs w:val="21"/>
                    </w:rPr>
                  </w:pPr>
                  <w:r>
                    <w:rPr>
                      <w:rFonts w:ascii="Times New Roman" w:hAnsi="Times New Roman" w:cs="Times New Roman"/>
                      <w:sz w:val="21"/>
                      <w:szCs w:val="21"/>
                    </w:rPr>
                    <w:t>加大产业结构调整目录，严格建设项目环境准入。</w:t>
                  </w:r>
                </w:p>
              </w:tc>
              <w:tc>
                <w:tcPr>
                  <w:tcW w:w="2105" w:type="pct"/>
                  <w:tcBorders>
                    <w:tl2br w:val="nil"/>
                    <w:tr2bl w:val="nil"/>
                  </w:tcBorders>
                  <w:vAlign w:val="center"/>
                </w:tcPr>
                <w:p>
                  <w:pPr>
                    <w:snapToGrid w:val="0"/>
                    <w:ind w:firstLine="420" w:firstLineChars="200"/>
                    <w:jc w:val="both"/>
                    <w:rPr>
                      <w:rFonts w:ascii="Times New Roman" w:hAnsi="Times New Roman" w:cs="Times New Roman"/>
                      <w:sz w:val="21"/>
                      <w:szCs w:val="21"/>
                    </w:rPr>
                  </w:pPr>
                  <w:r>
                    <w:rPr>
                      <w:rFonts w:ascii="Times New Roman" w:hAnsi="Times New Roman" w:cs="Times New Roman"/>
                      <w:sz w:val="21"/>
                      <w:szCs w:val="21"/>
                    </w:rPr>
                    <w:t>根据国家发展改革委《产业结构调整指导目录（2019 年本）》中的相关规定，本项目生产工艺及生产设备不属于产业结构调整政策内的限制类和淘汰类。</w:t>
                  </w:r>
                </w:p>
              </w:tc>
              <w:tc>
                <w:tcPr>
                  <w:tcW w:w="610" w:type="pct"/>
                  <w:tcBorders>
                    <w:tl2br w:val="nil"/>
                    <w:tr2bl w:val="nil"/>
                  </w:tcBorders>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4" w:type="pct"/>
                  <w:tcBorders>
                    <w:tl2br w:val="nil"/>
                    <w:tr2bl w:val="nil"/>
                  </w:tcBorders>
                  <w:vAlign w:val="center"/>
                </w:tcPr>
                <w:p>
                  <w:pPr>
                    <w:pStyle w:val="46"/>
                    <w:snapToGrid w:val="0"/>
                    <w:ind w:firstLine="420" w:firstLineChars="200"/>
                    <w:jc w:val="both"/>
                    <w:rPr>
                      <w:rFonts w:ascii="Times New Roman" w:hAnsi="Times New Roman" w:cs="Times New Roman"/>
                      <w:sz w:val="21"/>
                      <w:szCs w:val="21"/>
                    </w:rPr>
                  </w:pPr>
                  <w:r>
                    <w:rPr>
                      <w:rFonts w:ascii="Times New Roman" w:hAnsi="Times New Roman" w:cs="Times New Roman"/>
                      <w:sz w:val="21"/>
                      <w:szCs w:val="21"/>
                    </w:rPr>
                    <w:t>加快实施工业源 VOCs 污染防治，加快推进化工行业 VOCs 综合治理，加大工业涂装 VOCs 治理力度，深入推进包装印刷行业 VOCs 综合治理；</w:t>
                  </w:r>
                </w:p>
              </w:tc>
              <w:tc>
                <w:tcPr>
                  <w:tcW w:w="2105" w:type="pct"/>
                  <w:tcBorders>
                    <w:tl2br w:val="nil"/>
                    <w:tr2bl w:val="nil"/>
                  </w:tcBorders>
                  <w:vAlign w:val="center"/>
                </w:tcPr>
                <w:p>
                  <w:pPr>
                    <w:pStyle w:val="46"/>
                    <w:snapToGrid w:val="0"/>
                    <w:ind w:firstLine="420" w:firstLineChars="200"/>
                    <w:jc w:val="both"/>
                    <w:rPr>
                      <w:rFonts w:ascii="Times New Roman" w:hAnsi="Times New Roman" w:cs="Times New Roman"/>
                      <w:sz w:val="21"/>
                      <w:szCs w:val="21"/>
                    </w:rPr>
                  </w:pPr>
                  <w:r>
                    <w:rPr>
                      <w:rFonts w:ascii="Times New Roman" w:hAnsi="Times New Roman" w:cs="Times New Roman"/>
                      <w:sz w:val="21"/>
                      <w:szCs w:val="21"/>
                    </w:rPr>
                    <w:t>本项目为</w:t>
                  </w:r>
                  <w:r>
                    <w:rPr>
                      <w:rFonts w:ascii="Times New Roman" w:hAnsi="Times New Roman" w:cs="Times New Roman"/>
                      <w:color w:val="000000" w:themeColor="text1"/>
                      <w:sz w:val="21"/>
                      <w:szCs w:val="21"/>
                      <w:lang w:val="en-US"/>
                      <w14:textFill>
                        <w14:solidFill>
                          <w14:schemeClr w14:val="tx1"/>
                        </w14:solidFill>
                      </w14:textFill>
                    </w:rPr>
                    <w:t>食品用塑料包装容器工具等制品生产线项目</w:t>
                  </w:r>
                  <w:r>
                    <w:rPr>
                      <w:rFonts w:ascii="Times New Roman" w:hAnsi="Times New Roman" w:cs="Times New Roman"/>
                      <w:sz w:val="21"/>
                      <w:szCs w:val="21"/>
                    </w:rPr>
                    <w:t>，注塑、挤出工段产生少量有机废气，经</w:t>
                  </w:r>
                  <w:r>
                    <w:rPr>
                      <w:rFonts w:ascii="Times New Roman" w:hAnsi="Times New Roman" w:cs="Times New Roman"/>
                      <w:sz w:val="21"/>
                      <w:szCs w:val="21"/>
                      <w:lang w:val="en-US"/>
                    </w:rPr>
                    <w:t>UV光氧</w:t>
                  </w:r>
                  <w:r>
                    <w:rPr>
                      <w:rFonts w:hint="eastAsia" w:ascii="Times New Roman" w:hAnsi="Times New Roman" w:cs="Times New Roman"/>
                      <w:sz w:val="21"/>
                      <w:szCs w:val="21"/>
                      <w:lang w:val="en-US" w:eastAsia="zh-CN"/>
                    </w:rPr>
                    <w:t>催化</w:t>
                  </w:r>
                  <w:r>
                    <w:rPr>
                      <w:rFonts w:ascii="Times New Roman" w:hAnsi="Times New Roman" w:cs="Times New Roman"/>
                      <w:sz w:val="21"/>
                      <w:szCs w:val="21"/>
                      <w:lang w:val="en-US"/>
                    </w:rPr>
                    <w:t>+活性炭吸附装置处理</w:t>
                  </w:r>
                  <w:r>
                    <w:rPr>
                      <w:rFonts w:ascii="Times New Roman" w:hAnsi="Times New Roman" w:cs="Times New Roman"/>
                      <w:sz w:val="21"/>
                      <w:szCs w:val="21"/>
                    </w:rPr>
                    <w:t>能实现达标排放。</w:t>
                  </w:r>
                </w:p>
              </w:tc>
              <w:tc>
                <w:tcPr>
                  <w:tcW w:w="610" w:type="pct"/>
                  <w:tcBorders>
                    <w:tl2br w:val="nil"/>
                    <w:tr2bl w:val="nil"/>
                  </w:tcBorders>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符合</w:t>
                  </w:r>
                </w:p>
              </w:tc>
            </w:tr>
          </w:tbl>
          <w:p>
            <w:pPr>
              <w:snapToGrid w:val="0"/>
              <w:spacing w:line="360" w:lineRule="auto"/>
              <w:ind w:firstLine="480"/>
              <w:rPr>
                <w:rFonts w:ascii="Times New Roman" w:hAnsi="Times New Roman" w:cs="Times New Roman"/>
              </w:rPr>
            </w:pPr>
          </w:p>
          <w:p>
            <w:pPr>
              <w:pStyle w:val="7"/>
              <w:keepNext/>
              <w:keepLines/>
              <w:snapToGrid w:val="0"/>
              <w:spacing w:line="360" w:lineRule="auto"/>
              <w:ind w:left="0"/>
              <w:jc w:val="both"/>
              <w:rPr>
                <w:rFonts w:ascii="Times New Roman" w:hAnsi="Times New Roman" w:cs="Times New Roman"/>
                <w:lang w:val="en-US"/>
              </w:rPr>
            </w:pPr>
            <w:bookmarkStart w:id="2" w:name="_Toc15201"/>
            <w:bookmarkStart w:id="3" w:name="_Toc8447"/>
            <w:r>
              <w:rPr>
                <w:rFonts w:ascii="Times New Roman" w:hAnsi="Times New Roman" w:cs="Times New Roman"/>
                <w:b w:val="0"/>
                <w:bCs w:val="0"/>
                <w:lang w:val="en-US"/>
              </w:rPr>
              <w:t xml:space="preserve">       </w:t>
            </w:r>
            <w:r>
              <w:rPr>
                <w:rFonts w:ascii="Times New Roman" w:hAnsi="Times New Roman" w:cs="Times New Roman"/>
                <w:lang w:val="en-US"/>
              </w:rPr>
              <w:t xml:space="preserve"> 7、与生态环境部印发《重点行业挥发性有机物综合治理方案》</w:t>
            </w:r>
            <w:bookmarkEnd w:id="2"/>
            <w:bookmarkEnd w:id="3"/>
            <w:r>
              <w:rPr>
                <w:rFonts w:ascii="Times New Roman" w:hAnsi="Times New Roman" w:cs="Times New Roman"/>
                <w:lang w:val="en-US"/>
              </w:rPr>
              <w:t>(环大气[2019]53号）符合性分析</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本项目与《重点行业挥发性有机物综合治理方案》的符合性分析如下表1-5所示。</w:t>
            </w:r>
          </w:p>
          <w:p>
            <w:pPr>
              <w:pStyle w:val="10"/>
              <w:keepNext/>
              <w:keepLines/>
            </w:pPr>
            <w:r>
              <w:t>表1-5项目与《重点行业挥发性有机物综合治理方案》的符合性分析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76"/>
              <w:gridCol w:w="4860"/>
              <w:gridCol w:w="1536"/>
              <w:gridCol w:w="7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72" w:type="pct"/>
                  <w:vAlign w:val="center"/>
                </w:tcPr>
                <w:p>
                  <w:pPr>
                    <w:pStyle w:val="43"/>
                    <w:tabs>
                      <w:tab w:val="left" w:pos="5530"/>
                    </w:tabs>
                    <w:rPr>
                      <w:rFonts w:cs="Times New Roman"/>
                    </w:rPr>
                  </w:pPr>
                  <w:r>
                    <w:rPr>
                      <w:rFonts w:cs="Times New Roman"/>
                    </w:rPr>
                    <w:t>序号</w:t>
                  </w:r>
                </w:p>
              </w:tc>
              <w:tc>
                <w:tcPr>
                  <w:tcW w:w="3144" w:type="pct"/>
                  <w:vAlign w:val="center"/>
                </w:tcPr>
                <w:p>
                  <w:pPr>
                    <w:pStyle w:val="43"/>
                    <w:tabs>
                      <w:tab w:val="left" w:pos="5530"/>
                    </w:tabs>
                    <w:rPr>
                      <w:rFonts w:cs="Times New Roman"/>
                    </w:rPr>
                  </w:pPr>
                  <w:r>
                    <w:rPr>
                      <w:rFonts w:cs="Times New Roman"/>
                    </w:rPr>
                    <w:t>《重点行业挥发性有机物综合治理方案》</w:t>
                  </w:r>
                </w:p>
              </w:tc>
              <w:tc>
                <w:tcPr>
                  <w:tcW w:w="994" w:type="pct"/>
                  <w:vAlign w:val="center"/>
                </w:tcPr>
                <w:p>
                  <w:pPr>
                    <w:pStyle w:val="43"/>
                    <w:tabs>
                      <w:tab w:val="left" w:pos="5530"/>
                    </w:tabs>
                    <w:rPr>
                      <w:rFonts w:cs="Times New Roman"/>
                    </w:rPr>
                  </w:pPr>
                  <w:r>
                    <w:rPr>
                      <w:rFonts w:cs="Times New Roman"/>
                    </w:rPr>
                    <w:t>本项目</w:t>
                  </w:r>
                </w:p>
              </w:tc>
              <w:tc>
                <w:tcPr>
                  <w:tcW w:w="488" w:type="pct"/>
                  <w:vAlign w:val="center"/>
                </w:tcPr>
                <w:p>
                  <w:pPr>
                    <w:pStyle w:val="43"/>
                    <w:tabs>
                      <w:tab w:val="left" w:pos="5530"/>
                    </w:tabs>
                    <w:rPr>
                      <w:rFonts w:cs="Times New Roman"/>
                    </w:rPr>
                  </w:pPr>
                  <w:r>
                    <w:rPr>
                      <w:rFonts w:cs="Times New Roman"/>
                    </w:rPr>
                    <w:t>相符性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372" w:type="pct"/>
                  <w:vAlign w:val="center"/>
                </w:tcPr>
                <w:p>
                  <w:pPr>
                    <w:pStyle w:val="43"/>
                    <w:tabs>
                      <w:tab w:val="left" w:pos="5530"/>
                    </w:tabs>
                    <w:rPr>
                      <w:rFonts w:cs="Times New Roman"/>
                    </w:rPr>
                  </w:pPr>
                  <w:r>
                    <w:rPr>
                      <w:rFonts w:cs="Times New Roman"/>
                    </w:rPr>
                    <w:t>1</w:t>
                  </w:r>
                </w:p>
              </w:tc>
              <w:tc>
                <w:tcPr>
                  <w:tcW w:w="3144" w:type="pct"/>
                  <w:vAlign w:val="center"/>
                </w:tcPr>
                <w:p>
                  <w:pPr>
                    <w:pStyle w:val="43"/>
                    <w:tabs>
                      <w:tab w:val="left" w:pos="5530"/>
                    </w:tabs>
                    <w:rPr>
                      <w:rFonts w:cs="Times New Roman"/>
                    </w:rPr>
                  </w:pPr>
                  <w:r>
                    <w:rPr>
                      <w:rFonts w:cs="Times New Roman"/>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994" w:type="pct"/>
                  <w:vAlign w:val="center"/>
                </w:tcPr>
                <w:p>
                  <w:pPr>
                    <w:pStyle w:val="43"/>
                    <w:tabs>
                      <w:tab w:val="left" w:pos="5530"/>
                    </w:tabs>
                    <w:rPr>
                      <w:rFonts w:cs="Times New Roman"/>
                      <w:lang w:val="en-US"/>
                    </w:rPr>
                  </w:pPr>
                  <w:r>
                    <w:rPr>
                      <w:rFonts w:cs="Times New Roman"/>
                      <w:lang w:val="en-US"/>
                    </w:rPr>
                    <w:t>本项目生产不使用油墨。</w:t>
                  </w:r>
                </w:p>
              </w:tc>
              <w:tc>
                <w:tcPr>
                  <w:tcW w:w="488" w:type="pct"/>
                  <w:vAlign w:val="center"/>
                </w:tcPr>
                <w:p>
                  <w:pPr>
                    <w:pStyle w:val="43"/>
                    <w:tabs>
                      <w:tab w:val="left" w:pos="5530"/>
                    </w:tabs>
                    <w:rPr>
                      <w:rFonts w:cs="Times New Roman"/>
                    </w:rPr>
                  </w:pPr>
                  <w:r>
                    <w:rPr>
                      <w:rFonts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55" w:hRule="atLeast"/>
                <w:jc w:val="center"/>
              </w:trPr>
              <w:tc>
                <w:tcPr>
                  <w:tcW w:w="372" w:type="pct"/>
                  <w:vAlign w:val="center"/>
                </w:tcPr>
                <w:p>
                  <w:pPr>
                    <w:pStyle w:val="43"/>
                    <w:tabs>
                      <w:tab w:val="left" w:pos="5530"/>
                    </w:tabs>
                    <w:rPr>
                      <w:rFonts w:cs="Times New Roman"/>
                    </w:rPr>
                  </w:pPr>
                  <w:r>
                    <w:rPr>
                      <w:rFonts w:cs="Times New Roman"/>
                    </w:rPr>
                    <w:t>2</w:t>
                  </w:r>
                </w:p>
              </w:tc>
              <w:tc>
                <w:tcPr>
                  <w:tcW w:w="3144" w:type="pct"/>
                  <w:vAlign w:val="center"/>
                </w:tcPr>
                <w:p>
                  <w:pPr>
                    <w:pStyle w:val="43"/>
                    <w:tabs>
                      <w:tab w:val="left" w:pos="5530"/>
                    </w:tabs>
                    <w:rPr>
                      <w:rFonts w:cs="Times New Roman"/>
                    </w:rPr>
                  </w:pPr>
                  <w:r>
                    <w:rPr>
                      <w:rFonts w:cs="Times New Roman"/>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994" w:type="pct"/>
                  <w:vAlign w:val="center"/>
                </w:tcPr>
                <w:p>
                  <w:pPr>
                    <w:pStyle w:val="43"/>
                    <w:tabs>
                      <w:tab w:val="left" w:pos="5530"/>
                    </w:tabs>
                    <w:rPr>
                      <w:rFonts w:cs="Times New Roman"/>
                      <w:lang w:val="en-US"/>
                    </w:rPr>
                  </w:pPr>
                  <w:r>
                    <w:rPr>
                      <w:rFonts w:cs="Times New Roman"/>
                      <w:lang w:val="en-US"/>
                    </w:rPr>
                    <w:t>本项目物料均储存在包装袋内，原料仓库为密闭仓库；项目在注塑、挤出工段设置集气罩收集，经UV光氧</w:t>
                  </w:r>
                  <w:r>
                    <w:rPr>
                      <w:rFonts w:hint="eastAsia" w:cs="Times New Roman"/>
                      <w:lang w:val="en-US" w:eastAsia="zh-CN"/>
                    </w:rPr>
                    <w:t>催化</w:t>
                  </w:r>
                  <w:r>
                    <w:rPr>
                      <w:rFonts w:cs="Times New Roman"/>
                      <w:lang w:val="en-US"/>
                    </w:rPr>
                    <w:t>+活性炭吸附装置处理后由30米高排气筒外排。</w:t>
                  </w:r>
                </w:p>
              </w:tc>
              <w:tc>
                <w:tcPr>
                  <w:tcW w:w="488" w:type="pct"/>
                  <w:vAlign w:val="center"/>
                </w:tcPr>
                <w:p>
                  <w:pPr>
                    <w:pStyle w:val="43"/>
                    <w:tabs>
                      <w:tab w:val="left" w:pos="5530"/>
                    </w:tabs>
                    <w:rPr>
                      <w:rFonts w:cs="Times New Roman"/>
                    </w:rPr>
                  </w:pPr>
                  <w:r>
                    <w:rPr>
                      <w:rFonts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2" w:type="pct"/>
                  <w:vAlign w:val="center"/>
                </w:tcPr>
                <w:p>
                  <w:pPr>
                    <w:pStyle w:val="43"/>
                    <w:tabs>
                      <w:tab w:val="left" w:pos="5530"/>
                    </w:tabs>
                    <w:rPr>
                      <w:rFonts w:cs="Times New Roman"/>
                    </w:rPr>
                  </w:pPr>
                  <w:r>
                    <w:rPr>
                      <w:rFonts w:cs="Times New Roman"/>
                    </w:rPr>
                    <w:t>3</w:t>
                  </w:r>
                </w:p>
              </w:tc>
              <w:tc>
                <w:tcPr>
                  <w:tcW w:w="3144" w:type="pct"/>
                  <w:vAlign w:val="center"/>
                </w:tcPr>
                <w:p>
                  <w:pPr>
                    <w:pStyle w:val="43"/>
                    <w:tabs>
                      <w:tab w:val="left" w:pos="5530"/>
                    </w:tabs>
                    <w:rPr>
                      <w:rFonts w:cs="Times New Roman"/>
                    </w:rPr>
                  </w:pPr>
                  <w:r>
                    <w:rPr>
                      <w:rFonts w:cs="Times New Roman"/>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994" w:type="pct"/>
                  <w:vAlign w:val="center"/>
                </w:tcPr>
                <w:p>
                  <w:pPr>
                    <w:pStyle w:val="43"/>
                    <w:tabs>
                      <w:tab w:val="left" w:pos="5530"/>
                    </w:tabs>
                    <w:rPr>
                      <w:rFonts w:cs="Times New Roman"/>
                      <w:lang w:val="en-US"/>
                    </w:rPr>
                  </w:pPr>
                  <w:r>
                    <w:rPr>
                      <w:rFonts w:cs="Times New Roman"/>
                      <w:lang w:val="en-US"/>
                    </w:rPr>
                    <w:t>项目采用注塑机、挤出机属于自动化生产技术，在密封车间内进行，无组织废气排放较少。</w:t>
                  </w:r>
                </w:p>
              </w:tc>
              <w:tc>
                <w:tcPr>
                  <w:tcW w:w="488" w:type="pct"/>
                  <w:vAlign w:val="center"/>
                </w:tcPr>
                <w:p>
                  <w:pPr>
                    <w:pStyle w:val="43"/>
                    <w:tabs>
                      <w:tab w:val="left" w:pos="5530"/>
                    </w:tabs>
                    <w:rPr>
                      <w:rFonts w:cs="Times New Roman"/>
                    </w:rPr>
                  </w:pPr>
                  <w:r>
                    <w:rPr>
                      <w:rFonts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372" w:type="pct"/>
                  <w:vAlign w:val="center"/>
                </w:tcPr>
                <w:p>
                  <w:pPr>
                    <w:pStyle w:val="43"/>
                    <w:tabs>
                      <w:tab w:val="left" w:pos="5530"/>
                    </w:tabs>
                    <w:rPr>
                      <w:rFonts w:cs="Times New Roman"/>
                    </w:rPr>
                  </w:pPr>
                  <w:r>
                    <w:rPr>
                      <w:rFonts w:cs="Times New Roman"/>
                    </w:rPr>
                    <w:t>4</w:t>
                  </w:r>
                </w:p>
              </w:tc>
              <w:tc>
                <w:tcPr>
                  <w:tcW w:w="3144" w:type="pct"/>
                  <w:vAlign w:val="center"/>
                </w:tcPr>
                <w:p>
                  <w:pPr>
                    <w:pStyle w:val="43"/>
                    <w:tabs>
                      <w:tab w:val="left" w:pos="5530"/>
                    </w:tabs>
                    <w:rPr>
                      <w:rFonts w:cs="Times New Roman"/>
                    </w:rPr>
                  </w:pPr>
                  <w:r>
                    <w:rPr>
                      <w:rFonts w:cs="Times New Roman"/>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994" w:type="pct"/>
                  <w:vAlign w:val="center"/>
                </w:tcPr>
                <w:p>
                  <w:pPr>
                    <w:pStyle w:val="43"/>
                    <w:tabs>
                      <w:tab w:val="left" w:pos="5530"/>
                    </w:tabs>
                    <w:rPr>
                      <w:rFonts w:cs="Times New Roman"/>
                      <w:lang w:val="en-US"/>
                    </w:rPr>
                  </w:pPr>
                  <w:r>
                    <w:rPr>
                      <w:rFonts w:cs="Times New Roman"/>
                      <w:lang w:val="en-US"/>
                    </w:rPr>
                    <w:t>项目注塑、挤出工段产生挥发废气，本项目在挤出、注塑工段采用集气罩收集，经UV光氧</w:t>
                  </w:r>
                  <w:r>
                    <w:rPr>
                      <w:rFonts w:hint="eastAsia" w:cs="Times New Roman"/>
                      <w:lang w:val="en-US" w:eastAsia="zh-CN"/>
                    </w:rPr>
                    <w:t>催化</w:t>
                  </w:r>
                  <w:r>
                    <w:rPr>
                      <w:rFonts w:cs="Times New Roman"/>
                      <w:lang w:val="en-US"/>
                    </w:rPr>
                    <w:t>+活性炭吸附装置处理后由30米高排气筒外排。</w:t>
                  </w:r>
                </w:p>
              </w:tc>
              <w:tc>
                <w:tcPr>
                  <w:tcW w:w="488" w:type="pct"/>
                  <w:vAlign w:val="center"/>
                </w:tcPr>
                <w:p>
                  <w:pPr>
                    <w:pStyle w:val="43"/>
                    <w:tabs>
                      <w:tab w:val="left" w:pos="5530"/>
                    </w:tabs>
                    <w:rPr>
                      <w:rFonts w:cs="Times New Roman"/>
                    </w:rPr>
                  </w:pPr>
                  <w:r>
                    <w:rPr>
                      <w:rFonts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50" w:hRule="atLeast"/>
                <w:jc w:val="center"/>
              </w:trPr>
              <w:tc>
                <w:tcPr>
                  <w:tcW w:w="372" w:type="pct"/>
                  <w:vAlign w:val="center"/>
                </w:tcPr>
                <w:p>
                  <w:pPr>
                    <w:pStyle w:val="43"/>
                    <w:tabs>
                      <w:tab w:val="left" w:pos="5530"/>
                    </w:tabs>
                    <w:rPr>
                      <w:rFonts w:cs="Times New Roman"/>
                    </w:rPr>
                  </w:pPr>
                  <w:r>
                    <w:rPr>
                      <w:rFonts w:cs="Times New Roman"/>
                    </w:rPr>
                    <w:t>5</w:t>
                  </w:r>
                </w:p>
              </w:tc>
              <w:tc>
                <w:tcPr>
                  <w:tcW w:w="3144" w:type="pct"/>
                  <w:vAlign w:val="center"/>
                </w:tcPr>
                <w:p>
                  <w:pPr>
                    <w:pStyle w:val="43"/>
                    <w:tabs>
                      <w:tab w:val="left" w:pos="5530"/>
                    </w:tabs>
                    <w:rPr>
                      <w:rFonts w:cs="Times New Roman"/>
                    </w:rPr>
                  </w:pPr>
                  <w:r>
                    <w:rPr>
                      <w:rFonts w:cs="Times New Roman"/>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994" w:type="pct"/>
                  <w:vAlign w:val="center"/>
                </w:tcPr>
                <w:p>
                  <w:pPr>
                    <w:pStyle w:val="43"/>
                    <w:tabs>
                      <w:tab w:val="left" w:pos="5530"/>
                    </w:tabs>
                    <w:rPr>
                      <w:rFonts w:cs="Times New Roman"/>
                      <w:lang w:val="en-US"/>
                    </w:rPr>
                  </w:pPr>
                  <w:r>
                    <w:rPr>
                      <w:rFonts w:cs="Times New Roman"/>
                      <w:lang w:val="en-US"/>
                    </w:rPr>
                    <w:t>项目使用活性炭吸附装置处理有机废气，满足</w:t>
                  </w:r>
                  <w:r>
                    <w:rPr>
                      <w:rFonts w:cs="Times New Roman"/>
                    </w:rPr>
                    <w:t>《吸附法工业有机废气治理工程技术规范》</w:t>
                  </w:r>
                  <w:r>
                    <w:rPr>
                      <w:rFonts w:cs="Times New Roman"/>
                      <w:lang w:val="en-US"/>
                    </w:rPr>
                    <w:t>要求。</w:t>
                  </w:r>
                </w:p>
              </w:tc>
              <w:tc>
                <w:tcPr>
                  <w:tcW w:w="488" w:type="pct"/>
                  <w:vAlign w:val="center"/>
                </w:tcPr>
                <w:p>
                  <w:pPr>
                    <w:pStyle w:val="43"/>
                    <w:tabs>
                      <w:tab w:val="left" w:pos="5530"/>
                    </w:tabs>
                    <w:rPr>
                      <w:rFonts w:cs="Times New Roman"/>
                    </w:rPr>
                  </w:pPr>
                  <w:r>
                    <w:rPr>
                      <w:rFonts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73" w:hRule="atLeast"/>
                <w:jc w:val="center"/>
              </w:trPr>
              <w:tc>
                <w:tcPr>
                  <w:tcW w:w="372" w:type="pct"/>
                  <w:vAlign w:val="center"/>
                </w:tcPr>
                <w:p>
                  <w:pPr>
                    <w:pStyle w:val="43"/>
                    <w:tabs>
                      <w:tab w:val="left" w:pos="5530"/>
                    </w:tabs>
                    <w:rPr>
                      <w:rFonts w:cs="Times New Roman"/>
                    </w:rPr>
                  </w:pPr>
                  <w:r>
                    <w:rPr>
                      <w:rFonts w:cs="Times New Roman"/>
                    </w:rPr>
                    <w:t>6</w:t>
                  </w:r>
                </w:p>
              </w:tc>
              <w:tc>
                <w:tcPr>
                  <w:tcW w:w="3144" w:type="pct"/>
                  <w:vAlign w:val="center"/>
                </w:tcPr>
                <w:p>
                  <w:pPr>
                    <w:pStyle w:val="43"/>
                    <w:tabs>
                      <w:tab w:val="left" w:pos="5530"/>
                    </w:tabs>
                    <w:rPr>
                      <w:rFonts w:cs="Times New Roman"/>
                    </w:rPr>
                  </w:pPr>
                  <w:r>
                    <w:rPr>
                      <w:rFonts w:cs="Times New Roman"/>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994" w:type="pct"/>
                  <w:vAlign w:val="center"/>
                </w:tcPr>
                <w:p>
                  <w:pPr>
                    <w:pStyle w:val="43"/>
                    <w:tabs>
                      <w:tab w:val="left" w:pos="5530"/>
                    </w:tabs>
                    <w:rPr>
                      <w:rFonts w:cs="Times New Roman"/>
                      <w:lang w:val="en-US"/>
                    </w:rPr>
                  </w:pPr>
                  <w:r>
                    <w:rPr>
                      <w:rFonts w:cs="Times New Roman"/>
                      <w:color w:val="000000" w:themeColor="text1"/>
                      <w:lang w:val="en-US"/>
                      <w14:textFill>
                        <w14:solidFill>
                          <w14:schemeClr w14:val="tx1"/>
                        </w14:solidFill>
                      </w14:textFill>
                    </w:rPr>
                    <w:t>本项目VOCs初始排放速率为0.038kg/h，小于3kg/h，项目废气采用UV光氧</w:t>
                  </w:r>
                  <w:r>
                    <w:rPr>
                      <w:rFonts w:hint="eastAsia" w:cs="Times New Roman"/>
                      <w:color w:val="000000" w:themeColor="text1"/>
                      <w:lang w:val="en-US" w:eastAsia="zh-CN"/>
                      <w14:textFill>
                        <w14:solidFill>
                          <w14:schemeClr w14:val="tx1"/>
                        </w14:solidFill>
                      </w14:textFill>
                    </w:rPr>
                    <w:t>催化</w:t>
                  </w:r>
                  <w:r>
                    <w:rPr>
                      <w:rFonts w:cs="Times New Roman"/>
                      <w:color w:val="000000" w:themeColor="text1"/>
                      <w:lang w:val="en-US"/>
                      <w14:textFill>
                        <w14:solidFill>
                          <w14:schemeClr w14:val="tx1"/>
                        </w14:solidFill>
                      </w14:textFill>
                    </w:rPr>
                    <w:t>+活性炭吸附装置处理有机废气。</w:t>
                  </w:r>
                </w:p>
              </w:tc>
              <w:tc>
                <w:tcPr>
                  <w:tcW w:w="488" w:type="pct"/>
                  <w:vAlign w:val="center"/>
                </w:tcPr>
                <w:p>
                  <w:pPr>
                    <w:pStyle w:val="43"/>
                    <w:tabs>
                      <w:tab w:val="left" w:pos="5530"/>
                    </w:tabs>
                    <w:rPr>
                      <w:rFonts w:cs="Times New Roman"/>
                    </w:rPr>
                  </w:pPr>
                  <w:r>
                    <w:rPr>
                      <w:rFonts w:cs="Times New Roman"/>
                      <w:szCs w:val="21"/>
                    </w:rPr>
                    <w:t>符合</w:t>
                  </w:r>
                </w:p>
              </w:tc>
            </w:tr>
          </w:tbl>
          <w:p>
            <w:pPr>
              <w:snapToGrid w:val="0"/>
              <w:spacing w:line="360" w:lineRule="auto"/>
              <w:ind w:firstLine="482"/>
              <w:rPr>
                <w:rFonts w:ascii="Times New Roman" w:hAnsi="Times New Roman" w:cs="Times New Roman"/>
                <w:b/>
                <w:bCs/>
                <w:lang w:val="en-US"/>
              </w:rPr>
            </w:pPr>
            <w:r>
              <w:rPr>
                <w:rFonts w:ascii="Times New Roman" w:hAnsi="Times New Roman" w:cs="Times New Roman"/>
                <w:b/>
                <w:bCs/>
                <w:lang w:val="en-US"/>
              </w:rPr>
              <w:t>8、与“三线一单”相符性分析</w:t>
            </w:r>
          </w:p>
          <w:p>
            <w:pPr>
              <w:snapToGrid w:val="0"/>
              <w:spacing w:line="360" w:lineRule="auto"/>
              <w:ind w:firstLine="480"/>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en-US"/>
              </w:rPr>
              <w:t>1</w:t>
            </w:r>
            <w:r>
              <w:rPr>
                <w:rFonts w:ascii="Times New Roman" w:hAnsi="Times New Roman" w:cs="Times New Roman"/>
              </w:rPr>
              <w:t>）</w:t>
            </w:r>
            <w:r>
              <w:rPr>
                <w:rFonts w:ascii="Times New Roman" w:hAnsi="Times New Roman" w:cs="Times New Roman"/>
                <w:lang w:val="en-US"/>
              </w:rPr>
              <w:t>生态保护红线</w:t>
            </w:r>
          </w:p>
          <w:p>
            <w:pPr>
              <w:snapToGrid w:val="0"/>
              <w:spacing w:line="360" w:lineRule="auto"/>
              <w:ind w:firstLine="480" w:firstLineChars="200"/>
              <w:rPr>
                <w:rFonts w:ascii="Times New Roman" w:hAnsi="Times New Roman" w:cs="Times New Roman"/>
              </w:rPr>
            </w:pPr>
            <w:r>
              <w:rPr>
                <w:rFonts w:ascii="Times New Roman" w:hAnsi="Times New Roman" w:cs="Times New Roman"/>
              </w:rPr>
              <w:t>项目选址区位于晋宁工业园区晋城基地内，占地为二类工业用地，符合园区总体规划，项目选址不涉及铁路、公路、航道、防洪、管道、干渠、通讯、输变电等重要基础设施，满足生态保护红线要求。</w:t>
            </w:r>
          </w:p>
          <w:p>
            <w:pPr>
              <w:snapToGrid w:val="0"/>
              <w:spacing w:line="360" w:lineRule="auto"/>
              <w:ind w:firstLine="480" w:firstLineChars="200"/>
              <w:rPr>
                <w:rFonts w:ascii="Times New Roman" w:hAnsi="Times New Roman" w:cs="Times New Roman"/>
              </w:rPr>
            </w:pPr>
            <w:r>
              <w:rPr>
                <w:rFonts w:ascii="Times New Roman" w:hAnsi="Times New Roman" w:cs="Times New Roman"/>
              </w:rPr>
              <w:t>项目选址区位于晋宁工业园区晋城基地内，经查《云南省人民政府关于发布&lt;云南省生态保护红线&gt;的通知》（云政发〔2018〕32号），项目选址区不在云南省生态保护红线范围内。</w:t>
            </w:r>
          </w:p>
          <w:p>
            <w:pPr>
              <w:snapToGrid w:val="0"/>
              <w:spacing w:line="360" w:lineRule="auto"/>
              <w:ind w:firstLine="480"/>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en-US"/>
              </w:rPr>
              <w:t>2</w:t>
            </w:r>
            <w:r>
              <w:rPr>
                <w:rFonts w:ascii="Times New Roman" w:hAnsi="Times New Roman" w:cs="Times New Roman"/>
              </w:rPr>
              <w:t>）环境质量底线</w:t>
            </w:r>
          </w:p>
          <w:p>
            <w:pPr>
              <w:spacing w:line="360" w:lineRule="auto"/>
              <w:ind w:firstLine="480" w:firstLineChars="200"/>
              <w:rPr>
                <w:rFonts w:ascii="Times New Roman" w:hAnsi="Times New Roman" w:cs="Times New Roman"/>
              </w:rPr>
            </w:pPr>
            <w:r>
              <w:rPr>
                <w:rFonts w:ascii="Times New Roman" w:hAnsi="Times New Roman" w:cs="Times New Roman"/>
              </w:rPr>
              <w:t>项目所在园区规划的环境质量底线分别为：大气环境质量目标为《环境空气质量标准》（GB3095-2012）二级标准；水环境质量目标为</w:t>
            </w:r>
            <w:r>
              <w:rPr>
                <w:rFonts w:ascii="Times New Roman" w:hAnsi="Times New Roman" w:cs="Times New Roman"/>
                <w:lang w:val="en-US"/>
              </w:rPr>
              <w:t>《地表水环境质量标准》(GB3838-2002)Ⅲ类水</w:t>
            </w:r>
            <w:r>
              <w:rPr>
                <w:rFonts w:ascii="Times New Roman" w:hAnsi="Times New Roman" w:cs="Times New Roman"/>
              </w:rPr>
              <w:t>标准。项目产生的污染物经分析满足环境质量标准，不会对环境质量底线产生冲击，符合环境质量底线的要求。</w:t>
            </w:r>
          </w:p>
          <w:p>
            <w:pPr>
              <w:snapToGrid w:val="0"/>
              <w:spacing w:line="360" w:lineRule="auto"/>
              <w:ind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3</w:t>
            </w:r>
            <w:r>
              <w:rPr>
                <w:rFonts w:ascii="Times New Roman" w:hAnsi="Times New Roman" w:cs="Times New Roman"/>
              </w:rPr>
              <w:t>）资源利用上线</w:t>
            </w:r>
          </w:p>
          <w:p>
            <w:pPr>
              <w:snapToGrid w:val="0"/>
              <w:spacing w:line="360" w:lineRule="auto"/>
              <w:ind w:firstLine="480"/>
              <w:rPr>
                <w:rFonts w:ascii="Times New Roman" w:hAnsi="Times New Roman" w:cs="Times New Roman"/>
              </w:rPr>
            </w:pPr>
            <w:r>
              <w:rPr>
                <w:rFonts w:ascii="Times New Roman" w:hAnsi="Times New Roman" w:cs="Times New Roman"/>
              </w:rPr>
              <w:t>项目</w:t>
            </w:r>
            <w:r>
              <w:rPr>
                <w:rFonts w:ascii="Times New Roman" w:hAnsi="Times New Roman" w:cs="Times New Roman"/>
                <w:lang w:val="en-US"/>
              </w:rPr>
              <w:t>使用闲置已属有土地建设</w:t>
            </w:r>
            <w:r>
              <w:rPr>
                <w:rFonts w:ascii="Times New Roman" w:hAnsi="Times New Roman" w:cs="Times New Roman"/>
              </w:rPr>
              <w:t>，有利于实现晋宁工业园区产业结构升级，优化提高区域资源利用，本项目生产废水循环使用，有效实现资源综合利用，同时本项目运营过程中消耗一定量的电、水等资源，项目资源消耗量相对区域资源利用总量较少；符合资源利用上线要求。</w:t>
            </w:r>
          </w:p>
          <w:p>
            <w:pPr>
              <w:snapToGrid w:val="0"/>
              <w:spacing w:line="360" w:lineRule="auto"/>
              <w:ind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4</w:t>
            </w:r>
            <w:r>
              <w:rPr>
                <w:rFonts w:ascii="Times New Roman" w:hAnsi="Times New Roman" w:cs="Times New Roman"/>
              </w:rPr>
              <w:t>）环境准入负面清单</w:t>
            </w:r>
          </w:p>
          <w:p>
            <w:pPr>
              <w:snapToGrid w:val="0"/>
              <w:spacing w:line="360" w:lineRule="auto"/>
              <w:ind w:firstLine="480"/>
              <w:rPr>
                <w:rFonts w:ascii="Times New Roman" w:hAnsi="Times New Roman" w:cs="Times New Roman"/>
              </w:rPr>
            </w:pPr>
            <w:r>
              <w:rPr>
                <w:rFonts w:ascii="Times New Roman" w:hAnsi="Times New Roman" w:cs="Times New Roman"/>
              </w:rPr>
              <w:t>根据《云南晋宁工业园区总体规划修编（2012-2030）环境影响报告书》，《园区规划环评》未列明“鼓励入园项目”及“负面清单”，项目满足《云南晋宁工业园区总体规划修编（2012-2030）环境影响报告书》项目入园原则要求及入园环保要求；项目符合《云南晋宁工业园区总体规划修编（2012-2030）环境影响报告书》及审查意见要求，项目与园区产业定位不冲突。</w:t>
            </w:r>
          </w:p>
          <w:p>
            <w:pPr>
              <w:widowControl/>
              <w:snapToGrid w:val="0"/>
              <w:spacing w:line="360" w:lineRule="auto"/>
              <w:ind w:firstLine="480" w:firstLineChars="200"/>
              <w:rPr>
                <w:rFonts w:ascii="Times New Roman" w:hAnsi="Times New Roman" w:cs="Times New Roman"/>
                <w:b/>
                <w:bCs/>
                <w:color w:val="000000"/>
                <w:lang w:val="en-US"/>
              </w:rPr>
            </w:pPr>
            <w:r>
              <w:rPr>
                <w:rFonts w:ascii="Times New Roman" w:hAnsi="Times New Roman" w:cs="Times New Roman"/>
              </w:rPr>
              <w:t>综上所述，项目选址区不在云南省生态保护红线范围内，满足生态保护红线要求；项目产生的污染物经预测满足环境质量标准，不会对环境质量底线产生冲击，符合环境质量底线的要求；项目建设有利于实现晋宁工业园区产业结构升级，优化提高区域资源利用，符合资源利用上线要求；项目满足项目入园原则要求、入园环保要求及规划环评审查意见相关要求，项目建设满足“负面清单”管理要求。</w:t>
            </w:r>
          </w:p>
          <w:p>
            <w:pPr>
              <w:widowControl/>
              <w:snapToGrid w:val="0"/>
              <w:spacing w:line="360" w:lineRule="auto"/>
              <w:ind w:firstLine="482" w:firstLineChars="200"/>
              <w:jc w:val="center"/>
              <w:rPr>
                <w:rFonts w:ascii="Times New Roman" w:hAnsi="Times New Roman" w:cs="Times New Roman"/>
                <w:b/>
                <w:bCs/>
                <w:color w:val="000000"/>
                <w:lang w:val="en-US"/>
              </w:rPr>
            </w:pPr>
            <w:r>
              <w:rPr>
                <w:rFonts w:ascii="Times New Roman" w:hAnsi="Times New Roman" w:cs="Times New Roman"/>
                <w:b/>
                <w:bCs/>
                <w:color w:val="000000"/>
                <w:lang w:val="en-US"/>
              </w:rPr>
              <w:t>9、昆明市人民政府关于昆明市“三线一单” 生态环境分区管控的实施意见符合性分析</w:t>
            </w:r>
          </w:p>
          <w:p>
            <w:pPr>
              <w:widowControl/>
              <w:snapToGrid w:val="0"/>
              <w:spacing w:line="360" w:lineRule="auto"/>
              <w:ind w:firstLine="480" w:firstLineChars="200"/>
              <w:rPr>
                <w:rFonts w:ascii="Times New Roman" w:hAnsi="Times New Roman" w:cs="Times New Roman"/>
                <w:color w:val="000000"/>
                <w:lang w:val="en-US"/>
              </w:rPr>
            </w:pPr>
            <w:r>
              <w:rPr>
                <w:rFonts w:ascii="Times New Roman" w:hAnsi="Times New Roman" w:cs="Times New Roman"/>
                <w:color w:val="000000"/>
                <w:lang w:val="en-US"/>
              </w:rPr>
              <w:t>项目建设符合昆明市人民政府关于昆明市“三线一单” 生态环境分区管控的实施意见相关要求，符合性分析见表1-6。</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122"/>
              <w:gridCol w:w="2373"/>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“三线一单”</w:t>
                  </w:r>
                </w:p>
              </w:tc>
              <w:tc>
                <w:tcPr>
                  <w:tcW w:w="4122"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昆明市人民政府关于昆明市“三线一单” 生态环境分区管控的实施意见</w:t>
                  </w:r>
                </w:p>
              </w:tc>
              <w:tc>
                <w:tcPr>
                  <w:tcW w:w="2373"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项目情况</w:t>
                  </w:r>
                </w:p>
              </w:tc>
              <w:tc>
                <w:tcPr>
                  <w:tcW w:w="509"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生态保护红线和一般生态空间</w:t>
                  </w:r>
                </w:p>
              </w:tc>
              <w:tc>
                <w:tcPr>
                  <w:tcW w:w="4122"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373"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本项目位于云南省昆明市晋宁工业园区晋城片区，不在生态红线范围及一般生态空间内。因此，项目符合相关政策的要求。</w:t>
                  </w:r>
                </w:p>
              </w:tc>
              <w:tc>
                <w:tcPr>
                  <w:tcW w:w="509"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环境质量底线</w:t>
                  </w:r>
                </w:p>
              </w:tc>
              <w:tc>
                <w:tcPr>
                  <w:tcW w:w="4122"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到2025年，全市生态环境质量持续改善，生态空间得到优化和有效保护，区域生态安全屏障更加牢固。全市环境空气质量总体保持优良，主城建成区空气质量优良天数占比达99%以上，二氧化硫（SO</w:t>
                  </w:r>
                  <w:r>
                    <w:rPr>
                      <w:rFonts w:ascii="Times New Roman" w:hAnsi="Times New Roman" w:cs="Times New Roman"/>
                      <w:color w:val="000000"/>
                      <w:sz w:val="21"/>
                      <w:szCs w:val="21"/>
                      <w:vertAlign w:val="subscript"/>
                      <w:lang w:val="en-US"/>
                    </w:rPr>
                    <w:t>2</w:t>
                  </w:r>
                  <w:r>
                    <w:rPr>
                      <w:rFonts w:ascii="Times New Roman" w:hAnsi="Times New Roman" w:cs="Times New Roman"/>
                      <w:color w:val="000000"/>
                      <w:sz w:val="21"/>
                      <w:szCs w:val="21"/>
                      <w:lang w:val="en-US"/>
                    </w:rPr>
                    <w:t>）和氮氧化物（NO</w:t>
                  </w:r>
                  <w:r>
                    <w:rPr>
                      <w:rFonts w:ascii="Times New Roman" w:hAnsi="Times New Roman" w:cs="Times New Roman"/>
                      <w:color w:val="000000"/>
                      <w:sz w:val="21"/>
                      <w:szCs w:val="21"/>
                      <w:vertAlign w:val="subscript"/>
                      <w:lang w:val="en-US"/>
                    </w:rPr>
                    <w:t>X</w:t>
                  </w:r>
                  <w:r>
                    <w:rPr>
                      <w:rFonts w:ascii="Times New Roman" w:hAnsi="Times New Roman" w:cs="Times New Roman"/>
                      <w:color w:val="000000"/>
                      <w:sz w:val="21"/>
                      <w:szCs w:val="21"/>
                      <w:lang w:val="en-US"/>
                    </w:rPr>
                    <w:t>）排放总量控制在省下达的目标以内，主城区空气中颗粒物（PM</w:t>
                  </w:r>
                  <w:r>
                    <w:rPr>
                      <w:rFonts w:ascii="Times New Roman" w:hAnsi="Times New Roman" w:cs="Times New Roman"/>
                      <w:color w:val="000000"/>
                      <w:sz w:val="21"/>
                      <w:szCs w:val="21"/>
                      <w:vertAlign w:val="subscript"/>
                      <w:lang w:val="en-US"/>
                    </w:rPr>
                    <w:t>10</w:t>
                  </w:r>
                  <w:r>
                    <w:rPr>
                      <w:rFonts w:ascii="Times New Roman" w:hAnsi="Times New Roman" w:cs="Times New Roman"/>
                      <w:color w:val="000000"/>
                      <w:sz w:val="21"/>
                      <w:szCs w:val="21"/>
                      <w:lang w:val="en-US"/>
                    </w:rPr>
                    <w:t>、PM</w:t>
                  </w:r>
                  <w:r>
                    <w:rPr>
                      <w:rFonts w:ascii="Times New Roman" w:hAnsi="Times New Roman" w:cs="Times New Roman"/>
                      <w:color w:val="000000"/>
                      <w:sz w:val="21"/>
                      <w:szCs w:val="21"/>
                      <w:vertAlign w:val="subscript"/>
                      <w:lang w:val="en-US"/>
                    </w:rPr>
                    <w:t>2.5</w:t>
                  </w:r>
                  <w:r>
                    <w:rPr>
                      <w:rFonts w:ascii="Times New Roman" w:hAnsi="Times New Roman" w:cs="Times New Roman"/>
                      <w:color w:val="000000"/>
                      <w:sz w:val="21"/>
                      <w:szCs w:val="21"/>
                      <w:lang w:val="en-US"/>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373" w:type="dxa"/>
                  <w:vAlign w:val="center"/>
                </w:tcPr>
                <w:p>
                  <w:pPr>
                    <w:pStyle w:val="12"/>
                    <w:autoSpaceDE/>
                    <w:autoSpaceDN/>
                    <w:spacing w:before="0" w:line="360" w:lineRule="auto"/>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根据《2020年度昆明市生态环境状况公报（2021年5月31日），2020年，各县（市）区环境空气质量总体保持良好，全年环境空气质量均达到二级标准，与2019年相比，石林县、富民县、寻甸县、嵩明县、安宁市、宜良县和禄劝县环境空气质量均有不同程度改善；晋宁区、东川区环境空气质量有所上升；阳宗海风景名胜区环境空气质量持平。</w:t>
                  </w:r>
                </w:p>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本项目排放的主要污染物：颗粒物、非甲烷总烃等。本项目实施过程中要求严格落实各项污染防治措施，确保大气环境质量、水环境质量等达到环境功能区要求。</w:t>
                  </w:r>
                </w:p>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因此，项目满足环境质量底线要求。</w:t>
                  </w:r>
                </w:p>
              </w:tc>
              <w:tc>
                <w:tcPr>
                  <w:tcW w:w="509"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资源利用上线</w:t>
                  </w:r>
                </w:p>
              </w:tc>
              <w:tc>
                <w:tcPr>
                  <w:tcW w:w="4122"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373"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本项目属于轻工业项目，设施建成以后需投入管理、维护成本，仅消耗少量的水资源、电能源等，不使用化石能源，不会超过当地资源利用上线。</w:t>
                  </w:r>
                </w:p>
              </w:tc>
              <w:tc>
                <w:tcPr>
                  <w:tcW w:w="509" w:type="dxa"/>
                  <w:vAlign w:val="center"/>
                </w:tcPr>
                <w:p>
                  <w:pPr>
                    <w:widowControl/>
                    <w:snapToGrid w:val="0"/>
                    <w:spacing w:line="360" w:lineRule="auto"/>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724" w:type="dxa"/>
                  <w:vMerge w:val="restart"/>
                  <w:vAlign w:val="center"/>
                </w:tcPr>
                <w:p>
                  <w:pPr>
                    <w:widowControl/>
                    <w:rPr>
                      <w:rFonts w:ascii="Times New Roman"/>
                      <w:snapToGrid w:val="0"/>
                      <w:color w:val="000000" w:themeColor="text1"/>
                      <w:sz w:val="21"/>
                      <w:szCs w:val="21"/>
                      <w14:textFill>
                        <w14:solidFill>
                          <w14:schemeClr w14:val="tx1"/>
                        </w14:solidFill>
                      </w14:textFill>
                    </w:rPr>
                  </w:pPr>
                  <w:r>
                    <w:rPr>
                      <w:rFonts w:hint="eastAsia" w:ascii="Times New Roman"/>
                      <w:snapToGrid w:val="0"/>
                      <w:color w:val="000000" w:themeColor="text1"/>
                      <w:sz w:val="21"/>
                      <w:szCs w:val="21"/>
                      <w14:textFill>
                        <w14:solidFill>
                          <w14:schemeClr w14:val="tx1"/>
                        </w14:solidFill>
                      </w14:textFill>
                    </w:rPr>
                    <w:t>云南晋宁工业园区重点管控单元生态环境准入清单</w:t>
                  </w:r>
                </w:p>
              </w:tc>
              <w:tc>
                <w:tcPr>
                  <w:tcW w:w="4122" w:type="dxa"/>
                  <w:vAlign w:val="center"/>
                </w:tcPr>
                <w:p>
                  <w:pPr>
                    <w:widowControl/>
                    <w:rPr>
                      <w:rFonts w:ascii="Times New Roman"/>
                      <w:snapToGrid w:val="0"/>
                      <w:color w:val="000000" w:themeColor="text1"/>
                      <w:sz w:val="21"/>
                      <w:szCs w:val="21"/>
                      <w14:textFill>
                        <w14:solidFill>
                          <w14:schemeClr w14:val="tx1"/>
                        </w14:solidFill>
                      </w14:textFill>
                    </w:rPr>
                  </w:pPr>
                  <w:r>
                    <w:rPr>
                      <w:rFonts w:hint="eastAsia" w:ascii="Times New Roman"/>
                      <w:snapToGrid w:val="0"/>
                      <w:color w:val="000000" w:themeColor="text1"/>
                      <w:sz w:val="21"/>
                      <w:szCs w:val="21"/>
                      <w14:textFill>
                        <w14:solidFill>
                          <w14:schemeClr w14:val="tx1"/>
                        </w14:solidFill>
                      </w14:textFill>
                    </w:rPr>
                    <w:t>空间布局约束：</w:t>
                  </w:r>
                  <w:r>
                    <w:rPr>
                      <w:rFonts w:ascii="Times New Roman"/>
                      <w:snapToGrid w:val="0"/>
                      <w:color w:val="000000" w:themeColor="text1"/>
                      <w:sz w:val="21"/>
                      <w:szCs w:val="21"/>
                      <w14:textFill>
                        <w14:solidFill>
                          <w14:schemeClr w14:val="tx1"/>
                        </w14:solidFill>
                      </w14:textFill>
                    </w:rPr>
                    <w:t>1.重点发展精密机械制造、生物资源加工、精细磷化工以及建材业。</w:t>
                  </w:r>
                </w:p>
                <w:p>
                  <w:pPr>
                    <w:widowControl/>
                    <w:rPr>
                      <w:rFonts w:ascii="Times New Roman"/>
                      <w:snapToGrid w:val="0"/>
                      <w:color w:val="000000" w:themeColor="text1"/>
                      <w:sz w:val="21"/>
                      <w:szCs w:val="21"/>
                      <w14:textFill>
                        <w14:solidFill>
                          <w14:schemeClr w14:val="tx1"/>
                        </w14:solidFill>
                      </w14:textFill>
                    </w:rPr>
                  </w:pPr>
                  <w:r>
                    <w:rPr>
                      <w:rFonts w:ascii="Times New Roman"/>
                      <w:snapToGrid w:val="0"/>
                      <w:color w:val="000000" w:themeColor="text1"/>
                      <w:sz w:val="21"/>
                      <w:szCs w:val="21"/>
                      <w14:textFill>
                        <w14:solidFill>
                          <w14:schemeClr w14:val="tx1"/>
                        </w14:solidFill>
                      </w14:textFill>
                    </w:rPr>
                    <w:t>2.二街片区和晋城片区调整产业布局，引进大气污染小、噪声污染小的产业，增设绿化隔离带。</w:t>
                  </w:r>
                </w:p>
                <w:p>
                  <w:pPr>
                    <w:widowControl/>
                    <w:rPr>
                      <w:rFonts w:hint="eastAsia" w:ascii="Times New Roman"/>
                      <w:snapToGrid w:val="0"/>
                      <w:color w:val="000000" w:themeColor="text1"/>
                      <w:sz w:val="21"/>
                      <w:szCs w:val="21"/>
                      <w14:textFill>
                        <w14:solidFill>
                          <w14:schemeClr w14:val="tx1"/>
                        </w14:solidFill>
                      </w14:textFill>
                    </w:rPr>
                  </w:pPr>
                  <w:r>
                    <w:rPr>
                      <w:rFonts w:ascii="Times New Roman"/>
                      <w:snapToGrid w:val="0"/>
                      <w:color w:val="000000" w:themeColor="text1"/>
                      <w:sz w:val="21"/>
                      <w:szCs w:val="21"/>
                      <w14:textFill>
                        <w14:solidFill>
                          <w14:schemeClr w14:val="tx1"/>
                        </w14:solidFill>
                      </w14:textFill>
                    </w:rPr>
                    <w:t>3.晋城片区禁止发展有色冶金行业。</w:t>
                  </w:r>
                </w:p>
              </w:tc>
              <w:tc>
                <w:tcPr>
                  <w:tcW w:w="2373" w:type="dxa"/>
                  <w:vAlign w:val="center"/>
                </w:tcPr>
                <w:p>
                  <w:pPr>
                    <w:widowControl/>
                    <w:jc w:val="center"/>
                    <w:rPr>
                      <w:rFonts w:ascii="Times New Roman"/>
                      <w:snapToGrid w:val="0"/>
                      <w:color w:val="000000" w:themeColor="text1"/>
                      <w:sz w:val="21"/>
                      <w:szCs w:val="21"/>
                      <w14:textFill>
                        <w14:solidFill>
                          <w14:schemeClr w14:val="tx1"/>
                        </w14:solidFill>
                      </w14:textFill>
                    </w:rPr>
                  </w:pPr>
                  <w:r>
                    <w:rPr>
                      <w:rFonts w:hint="eastAsia" w:ascii="Times New Roman"/>
                      <w:snapToGrid w:val="0"/>
                      <w:color w:val="000000" w:themeColor="text1"/>
                      <w:sz w:val="21"/>
                      <w:szCs w:val="21"/>
                      <w14:textFill>
                        <w14:solidFill>
                          <w14:schemeClr w14:val="tx1"/>
                        </w14:solidFill>
                      </w14:textFill>
                    </w:rPr>
                    <w:t>本项目产生的颗粒物、非甲烷总烃分别经布袋除尘器、</w:t>
                  </w:r>
                  <w:r>
                    <w:rPr>
                      <w:rFonts w:ascii="Times New Roman"/>
                      <w:snapToGrid w:val="0"/>
                      <w:color w:val="000000" w:themeColor="text1"/>
                      <w:sz w:val="21"/>
                      <w:szCs w:val="21"/>
                      <w14:textFill>
                        <w14:solidFill>
                          <w14:schemeClr w14:val="tx1"/>
                        </w14:solidFill>
                      </w14:textFill>
                    </w:rPr>
                    <w:t>UV光氧</w:t>
                  </w:r>
                  <w:r>
                    <w:rPr>
                      <w:rFonts w:hint="eastAsia" w:ascii="Times New Roman"/>
                      <w:snapToGrid w:val="0"/>
                      <w:color w:val="000000" w:themeColor="text1"/>
                      <w:sz w:val="21"/>
                      <w:szCs w:val="21"/>
                      <w:lang w:val="en-US" w:eastAsia="zh-CN"/>
                      <w14:textFill>
                        <w14:solidFill>
                          <w14:schemeClr w14:val="tx1"/>
                        </w14:solidFill>
                      </w14:textFill>
                    </w:rPr>
                    <w:t>催化</w:t>
                  </w:r>
                  <w:r>
                    <w:rPr>
                      <w:rFonts w:ascii="Times New Roman"/>
                      <w:snapToGrid w:val="0"/>
                      <w:color w:val="000000" w:themeColor="text1"/>
                      <w:sz w:val="21"/>
                      <w:szCs w:val="21"/>
                      <w14:textFill>
                        <w14:solidFill>
                          <w14:schemeClr w14:val="tx1"/>
                        </w14:solidFill>
                      </w14:textFill>
                    </w:rPr>
                    <w:t>+活性炭吸附装置</w:t>
                  </w:r>
                  <w:r>
                    <w:rPr>
                      <w:rFonts w:hint="eastAsia" w:ascii="Times New Roman"/>
                      <w:snapToGrid w:val="0"/>
                      <w:color w:val="000000" w:themeColor="text1"/>
                      <w:sz w:val="21"/>
                      <w:szCs w:val="21"/>
                      <w14:textFill>
                        <w14:solidFill>
                          <w14:schemeClr w14:val="tx1"/>
                        </w14:solidFill>
                      </w14:textFill>
                    </w:rPr>
                    <w:t>处理后，均可达标排放；项目冷却水循环使用不外排，本项目生活废水依托云南俊腾达房地产开发有限公司化粪池处理后，排入云南俊腾达房地产开发有限公司自建的</w:t>
                  </w:r>
                  <w:r>
                    <w:rPr>
                      <w:rFonts w:ascii="Times New Roman"/>
                      <w:snapToGrid w:val="0"/>
                      <w:color w:val="000000" w:themeColor="text1"/>
                      <w:sz w:val="21"/>
                      <w:szCs w:val="21"/>
                      <w14:textFill>
                        <w14:solidFill>
                          <w14:schemeClr w14:val="tx1"/>
                        </w14:solidFill>
                      </w14:textFill>
                    </w:rPr>
                    <w:t>的</w:t>
                  </w:r>
                  <w:r>
                    <w:rPr>
                      <w:rFonts w:hint="eastAsia" w:ascii="Times New Roman"/>
                      <w:snapToGrid w:val="0"/>
                      <w:color w:val="000000" w:themeColor="text1"/>
                      <w:sz w:val="21"/>
                      <w:szCs w:val="21"/>
                      <w:lang w:val="en-US" w:eastAsia="zh-CN"/>
                      <w14:textFill>
                        <w14:solidFill>
                          <w14:schemeClr w14:val="tx1"/>
                        </w14:solidFill>
                      </w14:textFill>
                    </w:rPr>
                    <w:t>中水处理站</w:t>
                  </w:r>
                  <w:r>
                    <w:rPr>
                      <w:rFonts w:ascii="Times New Roman"/>
                      <w:snapToGrid w:val="0"/>
                      <w:color w:val="000000" w:themeColor="text1"/>
                      <w:sz w:val="21"/>
                      <w:szCs w:val="21"/>
                      <w14:textFill>
                        <w14:solidFill>
                          <w14:schemeClr w14:val="tx1"/>
                        </w14:solidFill>
                      </w14:textFill>
                    </w:rPr>
                    <w:t>进行处理，最终回用于云南俊腾达房地产开发有限公司厂区内道路浇水及绿化</w:t>
                  </w:r>
                  <w:r>
                    <w:rPr>
                      <w:rFonts w:hint="eastAsia" w:ascii="Times New Roman"/>
                      <w:snapToGrid w:val="0"/>
                      <w:color w:val="000000" w:themeColor="text1"/>
                      <w:sz w:val="21"/>
                      <w:szCs w:val="21"/>
                      <w14:textFill>
                        <w14:solidFill>
                          <w14:schemeClr w14:val="tx1"/>
                        </w14:solidFill>
                      </w14:textFill>
                    </w:rPr>
                    <w:t>，对环境影响较小。本项目不属于有色冶金行业。</w:t>
                  </w:r>
                </w:p>
              </w:tc>
              <w:tc>
                <w:tcPr>
                  <w:tcW w:w="509" w:type="dxa"/>
                  <w:vAlign w:val="center"/>
                </w:tcPr>
                <w:p>
                  <w:pPr>
                    <w:widowControl/>
                    <w:snapToGrid w:val="0"/>
                    <w:spacing w:line="360" w:lineRule="auto"/>
                    <w:jc w:val="center"/>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pPr>
                    <w:widowControl/>
                    <w:snapToGrid w:val="0"/>
                    <w:spacing w:line="360" w:lineRule="auto"/>
                    <w:jc w:val="center"/>
                    <w:rPr>
                      <w:rFonts w:ascii="Times New Roman" w:hAnsi="Times New Roman" w:cs="Times New Roman"/>
                      <w:color w:val="000000" w:themeColor="text1"/>
                      <w:sz w:val="21"/>
                      <w:szCs w:val="21"/>
                      <w:lang w:val="en-US"/>
                      <w14:textFill>
                        <w14:solidFill>
                          <w14:schemeClr w14:val="tx1"/>
                        </w14:solidFill>
                      </w14:textFill>
                    </w:rPr>
                  </w:pPr>
                </w:p>
              </w:tc>
              <w:tc>
                <w:tcPr>
                  <w:tcW w:w="4122" w:type="dxa"/>
                  <w:vAlign w:val="center"/>
                </w:tcPr>
                <w:p>
                  <w:pPr>
                    <w:widowControl/>
                    <w:rPr>
                      <w:rFonts w:hint="eastAsia" w:ascii="Times New Roman"/>
                      <w:snapToGrid w:val="0"/>
                      <w:color w:val="000000" w:themeColor="text1"/>
                      <w:sz w:val="21"/>
                      <w:szCs w:val="21"/>
                      <w14:textFill>
                        <w14:solidFill>
                          <w14:schemeClr w14:val="tx1"/>
                        </w14:solidFill>
                      </w14:textFill>
                    </w:rPr>
                  </w:pPr>
                  <w:r>
                    <w:rPr>
                      <w:rFonts w:hint="eastAsia" w:ascii="Times New Roman"/>
                      <w:b/>
                      <w:bCs/>
                      <w:snapToGrid w:val="0"/>
                      <w:color w:val="000000" w:themeColor="text1"/>
                      <w:sz w:val="21"/>
                      <w:szCs w:val="21"/>
                      <w14:textFill>
                        <w14:solidFill>
                          <w14:schemeClr w14:val="tx1"/>
                        </w14:solidFill>
                      </w14:textFill>
                    </w:rPr>
                    <w:t>污染物排放管控：</w:t>
                  </w:r>
                  <w:r>
                    <w:rPr>
                      <w:rFonts w:hint="eastAsia" w:ascii="Times New Roman"/>
                      <w:snapToGrid w:val="0"/>
                      <w:color w:val="000000" w:themeColor="text1"/>
                      <w:sz w:val="21"/>
                      <w:szCs w:val="21"/>
                      <w14:textFill>
                        <w14:solidFill>
                          <w14:schemeClr w14:val="tx1"/>
                        </w14:solidFill>
                      </w14:textFill>
                    </w:rPr>
                    <w:t>执行二级空气质量标准，强化污染物排放总量控制，从行业的污染物排放情况分析，矿山将是未来影响区域环境空气质量的主要污染源。</w:t>
                  </w:r>
                </w:p>
              </w:tc>
              <w:tc>
                <w:tcPr>
                  <w:tcW w:w="2373" w:type="dxa"/>
                  <w:vAlign w:val="center"/>
                </w:tcPr>
                <w:p>
                  <w:pPr>
                    <w:widowControl/>
                    <w:rPr>
                      <w:rFonts w:ascii="Times New Roman"/>
                      <w:snapToGrid w:val="0"/>
                      <w:color w:val="000000" w:themeColor="text1"/>
                      <w:sz w:val="21"/>
                      <w:szCs w:val="21"/>
                      <w14:textFill>
                        <w14:solidFill>
                          <w14:schemeClr w14:val="tx1"/>
                        </w14:solidFill>
                      </w14:textFill>
                    </w:rPr>
                  </w:pPr>
                  <w:r>
                    <w:rPr>
                      <w:rFonts w:hint="eastAsia" w:ascii="Times New Roman"/>
                      <w:snapToGrid w:val="0"/>
                      <w:color w:val="000000" w:themeColor="text1"/>
                      <w:sz w:val="21"/>
                      <w:szCs w:val="21"/>
                      <w14:textFill>
                        <w14:solidFill>
                          <w14:schemeClr w14:val="tx1"/>
                        </w14:solidFill>
                      </w14:textFill>
                    </w:rPr>
                    <w:t>本项目产生的颗粒物、非甲烷总烃分别经布袋除尘器、</w:t>
                  </w:r>
                  <w:r>
                    <w:rPr>
                      <w:rFonts w:ascii="Times New Roman"/>
                      <w:snapToGrid w:val="0"/>
                      <w:color w:val="000000" w:themeColor="text1"/>
                      <w:sz w:val="21"/>
                      <w:szCs w:val="21"/>
                      <w14:textFill>
                        <w14:solidFill>
                          <w14:schemeClr w14:val="tx1"/>
                        </w14:solidFill>
                      </w14:textFill>
                    </w:rPr>
                    <w:t>UV光氧</w:t>
                  </w:r>
                  <w:r>
                    <w:rPr>
                      <w:rFonts w:hint="eastAsia" w:ascii="Times New Roman"/>
                      <w:snapToGrid w:val="0"/>
                      <w:color w:val="000000" w:themeColor="text1"/>
                      <w:sz w:val="21"/>
                      <w:szCs w:val="21"/>
                      <w:lang w:val="en-US" w:eastAsia="zh-CN"/>
                      <w14:textFill>
                        <w14:solidFill>
                          <w14:schemeClr w14:val="tx1"/>
                        </w14:solidFill>
                      </w14:textFill>
                    </w:rPr>
                    <w:t>催化</w:t>
                  </w:r>
                  <w:r>
                    <w:rPr>
                      <w:rFonts w:ascii="Times New Roman"/>
                      <w:snapToGrid w:val="0"/>
                      <w:color w:val="000000" w:themeColor="text1"/>
                      <w:sz w:val="21"/>
                      <w:szCs w:val="21"/>
                      <w14:textFill>
                        <w14:solidFill>
                          <w14:schemeClr w14:val="tx1"/>
                        </w14:solidFill>
                      </w14:textFill>
                    </w:rPr>
                    <w:t>+活性炭吸附装置</w:t>
                  </w:r>
                  <w:r>
                    <w:rPr>
                      <w:rFonts w:hint="eastAsia" w:ascii="Times New Roman"/>
                      <w:snapToGrid w:val="0"/>
                      <w:color w:val="000000" w:themeColor="text1"/>
                      <w:sz w:val="21"/>
                      <w:szCs w:val="21"/>
                      <w14:textFill>
                        <w14:solidFill>
                          <w14:schemeClr w14:val="tx1"/>
                        </w14:solidFill>
                      </w14:textFill>
                    </w:rPr>
                    <w:t>处理后，均可达标排放。本项目不产生</w:t>
                  </w:r>
                  <w:r>
                    <w:rPr>
                      <w:rFonts w:ascii="Times New Roman"/>
                      <w:snapToGrid w:val="0"/>
                      <w:color w:val="000000" w:themeColor="text1"/>
                      <w:sz w:val="21"/>
                      <w:szCs w:val="21"/>
                      <w14:textFill>
                        <w14:solidFill>
                          <w14:schemeClr w14:val="tx1"/>
                        </w14:solidFill>
                      </w14:textFill>
                    </w:rPr>
                    <w:t>SO</w:t>
                  </w:r>
                  <w:r>
                    <w:rPr>
                      <w:rFonts w:ascii="Times New Roman"/>
                      <w:snapToGrid w:val="0"/>
                      <w:color w:val="000000" w:themeColor="text1"/>
                      <w:sz w:val="21"/>
                      <w:szCs w:val="21"/>
                      <w:vertAlign w:val="superscript"/>
                      <w14:textFill>
                        <w14:solidFill>
                          <w14:schemeClr w14:val="tx1"/>
                        </w14:solidFill>
                      </w14:textFill>
                    </w:rPr>
                    <w:t>2</w:t>
                  </w:r>
                  <w:r>
                    <w:rPr>
                      <w:rFonts w:ascii="Times New Roman"/>
                      <w:snapToGrid w:val="0"/>
                      <w:color w:val="000000" w:themeColor="text1"/>
                      <w:sz w:val="21"/>
                      <w:szCs w:val="21"/>
                      <w14:textFill>
                        <w14:solidFill>
                          <w14:schemeClr w14:val="tx1"/>
                        </w14:solidFill>
                      </w14:textFill>
                    </w:rPr>
                    <w:t>及氮氧化物。</w:t>
                  </w:r>
                </w:p>
              </w:tc>
              <w:tc>
                <w:tcPr>
                  <w:tcW w:w="509" w:type="dxa"/>
                  <w:vAlign w:val="center"/>
                </w:tcPr>
                <w:p>
                  <w:pPr>
                    <w:widowControl/>
                    <w:snapToGrid w:val="0"/>
                    <w:spacing w:line="360" w:lineRule="auto"/>
                    <w:jc w:val="center"/>
                    <w:rPr>
                      <w:rFonts w:ascii="Times New Roman"/>
                      <w:snapToGrid w:val="0"/>
                      <w:color w:val="000000" w:themeColor="text1"/>
                      <w:sz w:val="21"/>
                      <w:szCs w:val="21"/>
                      <w14:textFill>
                        <w14:solidFill>
                          <w14:schemeClr w14:val="tx1"/>
                        </w14:solidFill>
                      </w14:textFill>
                    </w:rPr>
                  </w:pPr>
                  <w:r>
                    <w:rPr>
                      <w:rFonts w:hint="eastAsia" w:ascii="Times New Roman"/>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pPr>
                    <w:widowControl/>
                    <w:snapToGrid w:val="0"/>
                    <w:spacing w:line="360" w:lineRule="auto"/>
                    <w:jc w:val="center"/>
                    <w:rPr>
                      <w:rFonts w:ascii="Times New Roman" w:hAnsi="Times New Roman" w:cs="Times New Roman"/>
                      <w:color w:val="000000" w:themeColor="text1"/>
                      <w:sz w:val="21"/>
                      <w:szCs w:val="21"/>
                      <w:lang w:val="en-US"/>
                      <w14:textFill>
                        <w14:solidFill>
                          <w14:schemeClr w14:val="tx1"/>
                        </w14:solidFill>
                      </w14:textFill>
                    </w:rPr>
                  </w:pPr>
                </w:p>
              </w:tc>
              <w:tc>
                <w:tcPr>
                  <w:tcW w:w="4122" w:type="dxa"/>
                  <w:vAlign w:val="center"/>
                </w:tcPr>
                <w:p>
                  <w:pPr>
                    <w:widowControl/>
                    <w:rPr>
                      <w:rFonts w:ascii="Times New Roman"/>
                      <w:snapToGrid w:val="0"/>
                      <w:color w:val="000000" w:themeColor="text1"/>
                      <w:sz w:val="21"/>
                      <w:szCs w:val="21"/>
                      <w14:textFill>
                        <w14:solidFill>
                          <w14:schemeClr w14:val="tx1"/>
                        </w14:solidFill>
                      </w14:textFill>
                    </w:rPr>
                  </w:pPr>
                  <w:r>
                    <w:rPr>
                      <w:rFonts w:hint="eastAsia" w:ascii="Times New Roman"/>
                      <w:b/>
                      <w:bCs/>
                      <w:snapToGrid w:val="0"/>
                      <w:color w:val="000000" w:themeColor="text1"/>
                      <w:sz w:val="21"/>
                      <w:szCs w:val="21"/>
                      <w14:textFill>
                        <w14:solidFill>
                          <w14:schemeClr w14:val="tx1"/>
                        </w14:solidFill>
                      </w14:textFill>
                    </w:rPr>
                    <w:t>环境风险防控：</w:t>
                  </w:r>
                  <w:r>
                    <w:rPr>
                      <w:rFonts w:ascii="Times New Roman"/>
                      <w:snapToGrid w:val="0"/>
                      <w:color w:val="000000" w:themeColor="text1"/>
                      <w:sz w:val="21"/>
                      <w:szCs w:val="21"/>
                      <w14:textFill>
                        <w14:solidFill>
                          <w14:schemeClr w14:val="tx1"/>
                        </w14:solidFill>
                      </w14:textFill>
                    </w:rPr>
                    <w:t>1.危险废物必须进行集中处置。收集、贮存危险废物，必须按照危险废物标准进行分类，禁止混合收集、贮存、运输、处置性质不相同而未经安全性处置的危险废物，禁止将危险废物混入非危险废物中贮存。</w:t>
                  </w:r>
                </w:p>
                <w:p>
                  <w:pPr>
                    <w:widowControl/>
                    <w:rPr>
                      <w:rFonts w:hint="eastAsia" w:ascii="Times New Roman"/>
                      <w:snapToGrid w:val="0"/>
                      <w:color w:val="000000" w:themeColor="text1"/>
                      <w:sz w:val="21"/>
                      <w:szCs w:val="21"/>
                      <w14:textFill>
                        <w14:solidFill>
                          <w14:schemeClr w14:val="tx1"/>
                        </w14:solidFill>
                      </w14:textFill>
                    </w:rPr>
                  </w:pPr>
                  <w:r>
                    <w:rPr>
                      <w:rFonts w:ascii="Times New Roman"/>
                      <w:snapToGrid w:val="0"/>
                      <w:color w:val="000000" w:themeColor="text1"/>
                      <w:sz w:val="21"/>
                      <w:szCs w:val="21"/>
                      <w14:textFill>
                        <w14:solidFill>
                          <w14:schemeClr w14:val="tx1"/>
                        </w14:solidFill>
                      </w14:textFill>
                    </w:rPr>
                    <w:t>2.运输危险废物，必须采取防止污染环境的措施，并遵守国家有关危险废物运输管理的规定。</w:t>
                  </w:r>
                </w:p>
              </w:tc>
              <w:tc>
                <w:tcPr>
                  <w:tcW w:w="2373" w:type="dxa"/>
                  <w:vAlign w:val="center"/>
                </w:tcPr>
                <w:p>
                  <w:pPr>
                    <w:widowControl/>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snapToGrid w:val="0"/>
                      <w:color w:val="000000" w:themeColor="text1"/>
                      <w:sz w:val="21"/>
                      <w:szCs w:val="21"/>
                      <w14:textFill>
                        <w14:solidFill>
                          <w14:schemeClr w14:val="tx1"/>
                        </w14:solidFill>
                      </w14:textFill>
                    </w:rPr>
                    <w:t>项目废机油、废活性炭等危险废物集中收集后放置于危险废物暂存点，定期交有资质的单位处置；项目新建危废暂存间，严格按照《危险废物贮存污染控制标准》（</w:t>
                  </w:r>
                  <w:r>
                    <w:rPr>
                      <w:rFonts w:ascii="Times New Roman"/>
                      <w:snapToGrid w:val="0"/>
                      <w:color w:val="000000" w:themeColor="text1"/>
                      <w:sz w:val="21"/>
                      <w:szCs w:val="21"/>
                      <w14:textFill>
                        <w14:solidFill>
                          <w14:schemeClr w14:val="tx1"/>
                        </w14:solidFill>
                      </w14:textFill>
                    </w:rPr>
                    <w:t>GB18597-2001）及其修改单要求中相关要求规范设置，并定期委托具有相关危废处置资质单位外运安全处置。</w:t>
                  </w:r>
                </w:p>
              </w:tc>
              <w:tc>
                <w:tcPr>
                  <w:tcW w:w="509" w:type="dxa"/>
                  <w:vAlign w:val="center"/>
                </w:tcPr>
                <w:p>
                  <w:pPr>
                    <w:widowControl/>
                    <w:snapToGrid w:val="0"/>
                    <w:spacing w:line="360" w:lineRule="auto"/>
                    <w:jc w:val="center"/>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pPr>
                    <w:widowControl/>
                    <w:snapToGrid w:val="0"/>
                    <w:spacing w:line="360" w:lineRule="auto"/>
                    <w:jc w:val="center"/>
                    <w:rPr>
                      <w:rFonts w:ascii="Times New Roman" w:hAnsi="Times New Roman" w:cs="Times New Roman"/>
                      <w:color w:val="000000" w:themeColor="text1"/>
                      <w:sz w:val="21"/>
                      <w:szCs w:val="21"/>
                      <w:lang w:val="en-US"/>
                      <w14:textFill>
                        <w14:solidFill>
                          <w14:schemeClr w14:val="tx1"/>
                        </w14:solidFill>
                      </w14:textFill>
                    </w:rPr>
                  </w:pPr>
                </w:p>
              </w:tc>
              <w:tc>
                <w:tcPr>
                  <w:tcW w:w="4122" w:type="dxa"/>
                  <w:vAlign w:val="center"/>
                </w:tcPr>
                <w:p>
                  <w:pPr>
                    <w:tabs>
                      <w:tab w:val="left" w:pos="252"/>
                    </w:tabs>
                    <w:rPr>
                      <w:rFonts w:hint="eastAsia" w:ascii="Times New Roman"/>
                      <w:snapToGrid w:val="0"/>
                      <w:color w:val="000000" w:themeColor="text1"/>
                      <w:sz w:val="21"/>
                      <w:szCs w:val="21"/>
                      <w14:textFill>
                        <w14:solidFill>
                          <w14:schemeClr w14:val="tx1"/>
                        </w14:solidFill>
                      </w14:textFill>
                    </w:rPr>
                  </w:pPr>
                  <w:r>
                    <w:rPr>
                      <w:rFonts w:hint="eastAsia" w:ascii="Times New Roman"/>
                      <w:b/>
                      <w:bCs/>
                      <w:snapToGrid w:val="0"/>
                      <w:color w:val="000000" w:themeColor="text1"/>
                      <w:sz w:val="21"/>
                      <w:szCs w:val="21"/>
                      <w14:textFill>
                        <w14:solidFill>
                          <w14:schemeClr w14:val="tx1"/>
                        </w14:solidFill>
                      </w14:textFill>
                    </w:rPr>
                    <w:t>资源利用效率：</w:t>
                  </w:r>
                  <w:r>
                    <w:rPr>
                      <w:rFonts w:hint="eastAsia" w:ascii="Times New Roman"/>
                      <w:color w:val="000000" w:themeColor="text1"/>
                      <w:sz w:val="21"/>
                      <w:szCs w:val="21"/>
                      <w14:textFill>
                        <w14:solidFill>
                          <w14:schemeClr w14:val="tx1"/>
                        </w14:solidFill>
                      </w14:textFill>
                    </w:rPr>
                    <w:t>禁止新建、扩建采用非清洁燃料的项目和设施。</w:t>
                  </w:r>
                </w:p>
              </w:tc>
              <w:tc>
                <w:tcPr>
                  <w:tcW w:w="2373" w:type="dxa"/>
                  <w:vAlign w:val="center"/>
                </w:tcPr>
                <w:p>
                  <w:pPr>
                    <w:tabs>
                      <w:tab w:val="left" w:pos="252"/>
                    </w:tabs>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color w:val="000000" w:themeColor="text1"/>
                      <w:sz w:val="21"/>
                      <w:szCs w:val="21"/>
                      <w14:textFill>
                        <w14:solidFill>
                          <w14:schemeClr w14:val="tx1"/>
                        </w14:solidFill>
                      </w14:textFill>
                    </w:rPr>
                    <w:t>项目所用能源大部分为电能，为清洁能源，不使用燃煤、燃油等。</w:t>
                  </w:r>
                </w:p>
              </w:tc>
              <w:tc>
                <w:tcPr>
                  <w:tcW w:w="509" w:type="dxa"/>
                  <w:vAlign w:val="center"/>
                </w:tcPr>
                <w:p>
                  <w:pPr>
                    <w:widowControl/>
                    <w:snapToGrid w:val="0"/>
                    <w:spacing w:line="360" w:lineRule="auto"/>
                    <w:jc w:val="center"/>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snapToGrid w:val="0"/>
                      <w:color w:val="000000" w:themeColor="text1"/>
                      <w:sz w:val="21"/>
                      <w:szCs w:val="21"/>
                      <w14:textFill>
                        <w14:solidFill>
                          <w14:schemeClr w14:val="tx1"/>
                        </w14:solidFill>
                      </w14:textFill>
                    </w:rPr>
                    <w:t>符合</w:t>
                  </w:r>
                </w:p>
              </w:tc>
            </w:tr>
          </w:tbl>
          <w:p>
            <w:pPr>
              <w:snapToGrid w:val="0"/>
              <w:spacing w:line="360" w:lineRule="auto"/>
              <w:ind w:firstLine="480"/>
              <w:rPr>
                <w:rFonts w:ascii="Times New Roman" w:hAnsi="Times New Roman" w:cs="Times New Roman"/>
                <w:lang w:val="en-US"/>
              </w:rPr>
            </w:pPr>
          </w:p>
        </w:tc>
      </w:tr>
    </w:tbl>
    <w:p>
      <w:pPr>
        <w:snapToGrid w:val="0"/>
        <w:jc w:val="center"/>
        <w:rPr>
          <w:rFonts w:ascii="Times New Roman" w:hAnsi="Times New Roman" w:cs="Times New Roman"/>
          <w:sz w:val="21"/>
        </w:rPr>
        <w:sectPr>
          <w:footerReference r:id="rId7" w:type="default"/>
          <w:pgSz w:w="11910" w:h="16840"/>
          <w:pgMar w:top="1440" w:right="1417" w:bottom="1440" w:left="1417" w:header="0" w:footer="1043" w:gutter="0"/>
          <w:pgNumType w:start="1"/>
          <w:cols w:space="720" w:num="1"/>
        </w:sectPr>
      </w:pPr>
    </w:p>
    <w:p>
      <w:pPr>
        <w:pStyle w:val="14"/>
        <w:snapToGrid w:val="0"/>
        <w:jc w:val="center"/>
        <w:outlineLvl w:val="0"/>
        <w:rPr>
          <w:rFonts w:ascii="Times New Roman" w:hAnsi="Times New Roman" w:eastAsia="宋体" w:cs="Times New Roman"/>
          <w:sz w:val="21"/>
        </w:rPr>
      </w:pPr>
      <w:bookmarkStart w:id="4" w:name="_Toc9839"/>
      <w:r>
        <w:rPr>
          <w:rFonts w:ascii="Times New Roman" w:hAnsi="Times New Roman" w:cs="Times New Roman"/>
        </w:rPr>
        <w:t>二、建设项目工程分析</w:t>
      </w:r>
      <w:bookmarkEnd w:id="4"/>
    </w:p>
    <w:tbl>
      <w:tblPr>
        <w:tblStyle w:val="27"/>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8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82" w:type="dxa"/>
            <w:vAlign w:val="center"/>
          </w:tcPr>
          <w:p>
            <w:pPr>
              <w:snapToGrid w:val="0"/>
              <w:jc w:val="center"/>
              <w:rPr>
                <w:rFonts w:ascii="Times New Roman" w:hAnsi="Times New Roman" w:cs="Times New Roman"/>
              </w:rPr>
            </w:pPr>
            <w:r>
              <w:rPr>
                <w:rFonts w:ascii="Times New Roman" w:hAnsi="Times New Roman" w:cs="Times New Roman"/>
              </w:rPr>
              <w:t>建设内容</w:t>
            </w:r>
          </w:p>
        </w:tc>
        <w:tc>
          <w:tcPr>
            <w:tcW w:w="8324" w:type="dxa"/>
          </w:tcPr>
          <w:p>
            <w:pPr>
              <w:adjustRightInd w:val="0"/>
              <w:snapToGrid w:val="0"/>
              <w:spacing w:line="360" w:lineRule="auto"/>
              <w:ind w:firstLine="482" w:firstLineChars="200"/>
              <w:rPr>
                <w:rFonts w:ascii="Times New Roman" w:hAnsi="Times New Roman" w:cs="Times New Roman"/>
                <w:b/>
              </w:rPr>
            </w:pPr>
            <w:r>
              <w:rPr>
                <w:rFonts w:ascii="Times New Roman" w:hAnsi="Times New Roman" w:cs="Times New Roman"/>
                <w:b/>
              </w:rPr>
              <w:t>1、项目概况</w:t>
            </w:r>
          </w:p>
          <w:p>
            <w:pPr>
              <w:adjustRightInd w:val="0"/>
              <w:snapToGrid w:val="0"/>
              <w:spacing w:line="360" w:lineRule="auto"/>
              <w:ind w:firstLine="482" w:firstLineChars="200"/>
              <w:rPr>
                <w:rFonts w:ascii="Times New Roman" w:hAnsi="Times New Roman" w:cs="Times New Roman"/>
              </w:rPr>
            </w:pPr>
            <w:r>
              <w:rPr>
                <w:rFonts w:ascii="Times New Roman" w:hAnsi="Times New Roman" w:cs="Times New Roman"/>
                <w:b/>
              </w:rPr>
              <w:t>项目名称：</w:t>
            </w:r>
            <w:r>
              <w:rPr>
                <w:rFonts w:ascii="Times New Roman" w:hAnsi="Times New Roman" w:cs="Times New Roman"/>
                <w:lang w:val="en-US"/>
              </w:rPr>
              <w:t>年产250吨食品用塑料包装容器工具等制品生产线项目</w:t>
            </w:r>
            <w:r>
              <w:rPr>
                <w:rFonts w:ascii="Times New Roman" w:hAnsi="Times New Roman" w:cs="Times New Roman"/>
              </w:rPr>
              <w:t>；</w:t>
            </w:r>
          </w:p>
          <w:p>
            <w:pPr>
              <w:adjustRightInd w:val="0"/>
              <w:snapToGrid w:val="0"/>
              <w:spacing w:line="360" w:lineRule="auto"/>
              <w:ind w:firstLine="482" w:firstLineChars="200"/>
              <w:rPr>
                <w:rFonts w:ascii="Times New Roman" w:hAnsi="Times New Roman" w:cs="Times New Roman"/>
              </w:rPr>
            </w:pPr>
            <w:r>
              <w:rPr>
                <w:rFonts w:ascii="Times New Roman" w:hAnsi="Times New Roman" w:cs="Times New Roman"/>
                <w:b/>
              </w:rPr>
              <w:t>建设性质：</w:t>
            </w:r>
            <w:r>
              <w:rPr>
                <w:rFonts w:ascii="Times New Roman" w:hAnsi="Times New Roman" w:cs="Times New Roman"/>
              </w:rPr>
              <w:t>新建；</w:t>
            </w:r>
          </w:p>
          <w:p>
            <w:pPr>
              <w:adjustRightInd w:val="0"/>
              <w:snapToGrid w:val="0"/>
              <w:spacing w:line="360" w:lineRule="auto"/>
              <w:ind w:firstLine="482" w:firstLineChars="200"/>
              <w:rPr>
                <w:rFonts w:ascii="Times New Roman" w:hAnsi="Times New Roman" w:cs="Times New Roman"/>
              </w:rPr>
            </w:pPr>
            <w:r>
              <w:rPr>
                <w:rFonts w:ascii="Times New Roman" w:hAnsi="Times New Roman" w:cs="Times New Roman"/>
                <w:b/>
              </w:rPr>
              <w:t>建设地点：</w:t>
            </w:r>
            <w:r>
              <w:rPr>
                <w:rFonts w:ascii="Times New Roman" w:hAnsi="Times New Roman" w:cs="Times New Roman"/>
                <w:color w:val="000000"/>
                <w:lang w:val="en-US" w:bidi="ar"/>
              </w:rPr>
              <w:t>昆明市晋宁工业园区晋城基地</w:t>
            </w:r>
            <w:r>
              <w:rPr>
                <w:rFonts w:ascii="Times New Roman" w:hAnsi="Times New Roman" w:cs="Times New Roman"/>
              </w:rPr>
              <w:t>；</w:t>
            </w:r>
          </w:p>
          <w:p>
            <w:pPr>
              <w:widowControl/>
              <w:adjustRightInd w:val="0"/>
              <w:snapToGrid w:val="0"/>
              <w:spacing w:line="360" w:lineRule="auto"/>
              <w:ind w:firstLine="482" w:firstLineChars="200"/>
              <w:rPr>
                <w:rFonts w:ascii="Times New Roman" w:hAnsi="Times New Roman" w:cs="Times New Roman"/>
                <w:bCs/>
              </w:rPr>
            </w:pPr>
            <w:r>
              <w:rPr>
                <w:rFonts w:ascii="Times New Roman" w:hAnsi="Times New Roman" w:cs="Times New Roman"/>
                <w:b/>
              </w:rPr>
              <w:t>占地面积：</w:t>
            </w:r>
            <w:r>
              <w:rPr>
                <w:rFonts w:ascii="Times New Roman" w:hAnsi="Times New Roman" w:cs="Times New Roman"/>
                <w:bCs/>
                <w:lang w:val="en-US"/>
              </w:rPr>
              <w:t>2569.2</w:t>
            </w:r>
            <w:r>
              <w:rPr>
                <w:rFonts w:ascii="Times New Roman" w:hAnsi="Times New Roman" w:cs="Times New Roman"/>
                <w:bCs/>
              </w:rPr>
              <w:t>m</w:t>
            </w:r>
            <w:r>
              <w:rPr>
                <w:rFonts w:ascii="Times New Roman" w:hAnsi="Times New Roman" w:cs="Times New Roman"/>
                <w:bCs/>
                <w:vertAlign w:val="superscript"/>
              </w:rPr>
              <w:t>2</w:t>
            </w:r>
            <w:r>
              <w:rPr>
                <w:rFonts w:ascii="Times New Roman" w:hAnsi="Times New Roman" w:cs="Times New Roman"/>
                <w:bCs/>
                <w:lang w:bidi="ar"/>
              </w:rPr>
              <w:t>；</w:t>
            </w:r>
          </w:p>
          <w:p>
            <w:pPr>
              <w:adjustRightInd w:val="0"/>
              <w:snapToGrid w:val="0"/>
              <w:spacing w:line="360" w:lineRule="auto"/>
              <w:ind w:firstLine="482"/>
              <w:rPr>
                <w:rFonts w:ascii="Times New Roman" w:hAnsi="Times New Roman" w:cs="Times New Roman"/>
                <w:b/>
              </w:rPr>
            </w:pPr>
            <w:r>
              <w:rPr>
                <w:rFonts w:ascii="Times New Roman" w:hAnsi="Times New Roman" w:cs="Times New Roman"/>
                <w:b/>
              </w:rPr>
              <w:t>建筑面积：</w:t>
            </w:r>
            <w:r>
              <w:rPr>
                <w:rFonts w:ascii="Times New Roman" w:hAnsi="Times New Roman" w:cs="Times New Roman"/>
                <w:bCs/>
                <w:lang w:val="en-US"/>
              </w:rPr>
              <w:t>2569.2</w:t>
            </w:r>
            <w:r>
              <w:rPr>
                <w:rFonts w:ascii="Times New Roman" w:hAnsi="Times New Roman" w:cs="Times New Roman"/>
                <w:bCs/>
              </w:rPr>
              <w:t>m</w:t>
            </w:r>
            <w:r>
              <w:rPr>
                <w:rFonts w:ascii="Times New Roman" w:hAnsi="Times New Roman" w:cs="Times New Roman"/>
                <w:bCs/>
                <w:vertAlign w:val="superscript"/>
              </w:rPr>
              <w:t>2</w:t>
            </w:r>
            <w:r>
              <w:rPr>
                <w:rFonts w:ascii="Times New Roman" w:hAnsi="Times New Roman" w:cs="Times New Roman"/>
                <w:bCs/>
              </w:rPr>
              <w:t>；</w:t>
            </w:r>
          </w:p>
          <w:p>
            <w:pPr>
              <w:adjustRightInd w:val="0"/>
              <w:snapToGrid w:val="0"/>
              <w:spacing w:line="360" w:lineRule="auto"/>
              <w:ind w:firstLine="482" w:firstLineChars="200"/>
              <w:rPr>
                <w:rFonts w:ascii="Times New Roman" w:hAnsi="Times New Roman" w:cs="Times New Roman"/>
                <w:b/>
              </w:rPr>
            </w:pPr>
            <w:r>
              <w:rPr>
                <w:rFonts w:ascii="Times New Roman" w:hAnsi="Times New Roman" w:cs="Times New Roman"/>
                <w:b/>
              </w:rPr>
              <w:t>生产规模：</w:t>
            </w:r>
            <w:r>
              <w:rPr>
                <w:rFonts w:ascii="Times New Roman" w:hAnsi="Times New Roman" w:cs="Times New Roman"/>
                <w:bCs/>
              </w:rPr>
              <w:t>年产</w:t>
            </w:r>
            <w:r>
              <w:rPr>
                <w:rFonts w:ascii="Times New Roman" w:hAnsi="Times New Roman" w:cs="Times New Roman"/>
                <w:bCs/>
                <w:lang w:val="en-US"/>
              </w:rPr>
              <w:t>250吨</w:t>
            </w:r>
            <w:r>
              <w:rPr>
                <w:rFonts w:ascii="Times New Roman" w:hAnsi="Times New Roman" w:cs="Times New Roman"/>
                <w:lang w:val="en-US"/>
              </w:rPr>
              <w:t>食品用塑料包装容器</w:t>
            </w:r>
            <w:r>
              <w:rPr>
                <w:rFonts w:ascii="Times New Roman" w:hAnsi="Times New Roman" w:cs="Times New Roman"/>
                <w:bCs/>
              </w:rPr>
              <w:t>；</w:t>
            </w:r>
          </w:p>
          <w:p>
            <w:pPr>
              <w:widowControl/>
              <w:adjustRightInd w:val="0"/>
              <w:snapToGrid w:val="0"/>
              <w:spacing w:line="360" w:lineRule="auto"/>
              <w:ind w:firstLine="482" w:firstLineChars="200"/>
              <w:rPr>
                <w:rFonts w:ascii="Times New Roman" w:hAnsi="Times New Roman" w:cs="Times New Roman"/>
              </w:rPr>
            </w:pPr>
            <w:r>
              <w:rPr>
                <w:rFonts w:ascii="Times New Roman" w:hAnsi="Times New Roman" w:cs="Times New Roman"/>
                <w:b/>
              </w:rPr>
              <w:t>项目总投资：</w:t>
            </w:r>
            <w:r>
              <w:rPr>
                <w:rFonts w:ascii="Times New Roman" w:hAnsi="Times New Roman" w:cs="Times New Roman"/>
                <w:lang w:val="en-US"/>
              </w:rPr>
              <w:t>1</w:t>
            </w:r>
            <w:r>
              <w:rPr>
                <w:rFonts w:hint="eastAsia" w:ascii="Times New Roman" w:hAnsi="Times New Roman" w:cs="Times New Roman"/>
                <w:lang w:val="en-US"/>
              </w:rPr>
              <w:t>020</w:t>
            </w:r>
            <w:r>
              <w:rPr>
                <w:rFonts w:ascii="Times New Roman" w:hAnsi="Times New Roman" w:cs="Times New Roman"/>
              </w:rPr>
              <w:t>万元。</w:t>
            </w:r>
          </w:p>
          <w:p>
            <w:pPr>
              <w:pStyle w:val="2"/>
              <w:spacing w:line="360" w:lineRule="auto"/>
              <w:ind w:firstLine="482" w:firstLineChars="200"/>
              <w:rPr>
                <w:rFonts w:ascii="Times New Roman" w:hAnsi="Times New Roman" w:cs="Times New Roman"/>
                <w:b/>
                <w:bCs/>
                <w:sz w:val="24"/>
                <w:lang w:val="en-US"/>
              </w:rPr>
            </w:pPr>
            <w:r>
              <w:rPr>
                <w:rFonts w:ascii="Times New Roman" w:hAnsi="Times New Roman" w:cs="Times New Roman"/>
                <w:b/>
                <w:bCs/>
                <w:sz w:val="24"/>
                <w:lang w:val="en-US"/>
              </w:rPr>
              <w:t>项目由来：</w:t>
            </w:r>
          </w:p>
          <w:p>
            <w:pPr>
              <w:spacing w:line="360" w:lineRule="auto"/>
              <w:ind w:firstLine="480" w:firstLineChars="200"/>
              <w:rPr>
                <w:rFonts w:ascii="Times New Roman" w:hAnsi="Times New Roman" w:cs="Times New Roman"/>
                <w:lang w:val="en-US"/>
              </w:rPr>
            </w:pPr>
            <w:r>
              <w:rPr>
                <w:rFonts w:ascii="Times New Roman" w:hAnsi="Times New Roman" w:cs="Times New Roman"/>
                <w:lang w:val="en-US"/>
              </w:rPr>
              <w:t>项目产品发展空间巨大，具有广阔的应用前景。近年来，为了企业的发展需要，适应市场需求，公司购买位于晋宁工业园区</w:t>
            </w:r>
            <w:r>
              <w:rPr>
                <w:rFonts w:ascii="Times New Roman" w:hAnsi="Times New Roman" w:cs="Times New Roman"/>
              </w:rPr>
              <w:t>俊腾达标准化厂房</w:t>
            </w:r>
            <w:r>
              <w:rPr>
                <w:rFonts w:ascii="Times New Roman" w:hAnsi="Times New Roman" w:cs="Times New Roman"/>
                <w:lang w:val="en-US"/>
              </w:rPr>
              <w:t>占地面积为2569.2m</w:t>
            </w:r>
            <w:r>
              <w:rPr>
                <w:rFonts w:ascii="Times New Roman" w:hAnsi="Times New Roman" w:cs="Times New Roman"/>
                <w:vertAlign w:val="superscript"/>
                <w:lang w:val="en-US"/>
              </w:rPr>
              <w:t>2</w:t>
            </w:r>
            <w:r>
              <w:rPr>
                <w:rFonts w:ascii="Times New Roman" w:hAnsi="Times New Roman" w:cs="Times New Roman"/>
                <w:lang w:val="en-US"/>
              </w:rPr>
              <w:t>的闲置厂房以及办公楼，建设“年产250吨食品用塑料包装容器工具等制品生产线项目”。</w:t>
            </w:r>
          </w:p>
          <w:p>
            <w:pPr>
              <w:pStyle w:val="46"/>
              <w:snapToGrid w:val="0"/>
              <w:spacing w:line="360" w:lineRule="auto"/>
              <w:ind w:firstLine="482" w:firstLineChars="200"/>
              <w:jc w:val="both"/>
              <w:rPr>
                <w:rFonts w:ascii="Times New Roman" w:hAnsi="Times New Roman" w:cs="Times New Roman"/>
                <w:b/>
                <w:bCs/>
                <w:lang w:val="en-US"/>
              </w:rPr>
            </w:pPr>
            <w:r>
              <w:rPr>
                <w:rFonts w:ascii="Times New Roman" w:hAnsi="Times New Roman" w:cs="Times New Roman"/>
                <w:b/>
                <w:bCs/>
                <w:lang w:val="en-US"/>
              </w:rPr>
              <w:t>2、建设规模及概况</w:t>
            </w:r>
          </w:p>
          <w:p>
            <w:pPr>
              <w:pStyle w:val="46"/>
              <w:snapToGrid w:val="0"/>
              <w:spacing w:line="360" w:lineRule="auto"/>
              <w:ind w:firstLine="480" w:firstLineChars="200"/>
              <w:jc w:val="both"/>
              <w:rPr>
                <w:rFonts w:ascii="Times New Roman" w:hAnsi="Times New Roman" w:cs="Times New Roman"/>
                <w:lang w:val="en-US"/>
              </w:rPr>
            </w:pPr>
            <w:r>
              <w:rPr>
                <w:rFonts w:ascii="Times New Roman" w:hAnsi="Times New Roman" w:cs="Times New Roman"/>
                <w:color w:val="000000"/>
              </w:rPr>
              <w:t>本项目</w:t>
            </w:r>
            <w:r>
              <w:rPr>
                <w:rFonts w:ascii="Times New Roman" w:hAnsi="Times New Roman" w:cs="Times New Roman"/>
                <w:color w:val="000000"/>
                <w:lang w:val="en-US"/>
              </w:rPr>
              <w:t>购买</w:t>
            </w:r>
            <w:r>
              <w:rPr>
                <w:rFonts w:ascii="Times New Roman" w:hAnsi="Times New Roman" w:cs="Times New Roman"/>
                <w:lang w:val="en-US"/>
              </w:rPr>
              <w:t>云南省昆明市晋宁工业园区</w:t>
            </w:r>
            <w:r>
              <w:rPr>
                <w:rFonts w:ascii="Times New Roman" w:hAnsi="Times New Roman" w:cs="Times New Roman"/>
              </w:rPr>
              <w:t>俊腾达标准化厂房</w:t>
            </w:r>
            <w:r>
              <w:rPr>
                <w:rFonts w:ascii="Times New Roman" w:hAnsi="Times New Roman" w:cs="Times New Roman"/>
                <w:lang w:val="en-US"/>
              </w:rPr>
              <w:t>C6栋</w:t>
            </w:r>
            <w:r>
              <w:rPr>
                <w:rFonts w:ascii="Times New Roman" w:hAnsi="Times New Roman" w:cs="Times New Roman"/>
                <w:color w:val="000000"/>
                <w:lang w:val="en-US"/>
              </w:rPr>
              <w:t>已建设好的</w:t>
            </w:r>
            <w:r>
              <w:rPr>
                <w:rFonts w:ascii="Times New Roman" w:hAnsi="Times New Roman" w:cs="Times New Roman"/>
                <w:color w:val="000000"/>
              </w:rPr>
              <w:t>厂房、场地及相关配套设施</w:t>
            </w:r>
            <w:r>
              <w:rPr>
                <w:rFonts w:ascii="Times New Roman" w:hAnsi="Times New Roman" w:cs="Times New Roman"/>
                <w:color w:val="000000"/>
                <w:lang w:val="en-US"/>
              </w:rPr>
              <w:t>进行生产建设</w:t>
            </w:r>
            <w:r>
              <w:rPr>
                <w:rFonts w:ascii="Times New Roman" w:hAnsi="Times New Roman" w:cs="Times New Roman"/>
                <w:color w:val="000000"/>
                <w:lang w:val="en-US" w:bidi="ar"/>
              </w:rPr>
              <w:t>，</w:t>
            </w:r>
            <w:r>
              <w:rPr>
                <w:rFonts w:ascii="Times New Roman" w:hAnsi="Times New Roman" w:cs="Times New Roman"/>
              </w:rPr>
              <w:t>俊腾达标准化厂房</w:t>
            </w:r>
            <w:r>
              <w:rPr>
                <w:rFonts w:ascii="Times New Roman" w:hAnsi="Times New Roman" w:cs="Times New Roman"/>
                <w:lang w:val="en-US"/>
              </w:rPr>
              <w:t>C6栋为4层楼房结构，本项目位于1层，2层为昆明禾创制罐有限公司，3层及4层目前无企业入驻，为俊腾达代售厂房，本</w:t>
            </w:r>
            <w:r>
              <w:rPr>
                <w:rFonts w:ascii="Times New Roman" w:hAnsi="Times New Roman" w:cs="Times New Roman"/>
                <w:spacing w:val="-5"/>
              </w:rPr>
              <w:t>项目占地面积约为</w:t>
            </w:r>
            <w:r>
              <w:rPr>
                <w:rFonts w:ascii="Times New Roman" w:hAnsi="Times New Roman" w:cs="Times New Roman"/>
                <w:spacing w:val="-5"/>
                <w:lang w:val="en-US"/>
              </w:rPr>
              <w:t>3.853</w:t>
            </w:r>
            <w:r>
              <w:rPr>
                <w:rFonts w:ascii="Times New Roman" w:hAnsi="Times New Roman" w:cs="Times New Roman"/>
              </w:rPr>
              <w:t>亩（</w:t>
            </w:r>
            <w:r>
              <w:rPr>
                <w:rFonts w:ascii="Times New Roman" w:hAnsi="Times New Roman" w:cs="Times New Roman"/>
                <w:lang w:val="en-US"/>
              </w:rPr>
              <w:t>2569.2</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spacing w:val="-8"/>
              </w:rPr>
              <w:t xml:space="preserve">，建筑面积约为 </w:t>
            </w:r>
            <w:r>
              <w:rPr>
                <w:rFonts w:ascii="Times New Roman" w:hAnsi="Times New Roman" w:cs="Times New Roman"/>
                <w:spacing w:val="-8"/>
                <w:lang w:val="en-US"/>
              </w:rPr>
              <w:t>2569.2</w:t>
            </w:r>
            <w:r>
              <w:rPr>
                <w:rFonts w:ascii="Times New Roman" w:hAnsi="Times New Roman" w:cs="Times New Roman"/>
              </w:rPr>
              <w:t>m</w:t>
            </w:r>
            <w:r>
              <w:rPr>
                <w:rFonts w:ascii="Times New Roman" w:hAnsi="Times New Roman" w:cs="Times New Roman"/>
                <w:vertAlign w:val="superscript"/>
                <w:lang w:val="en-US"/>
              </w:rPr>
              <w:t>2</w:t>
            </w:r>
            <w:r>
              <w:rPr>
                <w:rFonts w:ascii="Times New Roman" w:hAnsi="Times New Roman" w:cs="Times New Roman"/>
              </w:rPr>
              <w:t>，拟建设</w:t>
            </w:r>
            <w:r>
              <w:rPr>
                <w:rFonts w:ascii="Times New Roman" w:hAnsi="Times New Roman" w:cs="Times New Roman"/>
                <w:lang w:val="en-US"/>
              </w:rPr>
              <w:t>1个生产车间及1个原辅料仓库车间，生产车间为砖混结构，层高5.8米。</w:t>
            </w:r>
          </w:p>
          <w:p>
            <w:pPr>
              <w:pStyle w:val="46"/>
              <w:snapToGrid w:val="0"/>
              <w:spacing w:line="360" w:lineRule="auto"/>
              <w:ind w:firstLine="480" w:firstLineChars="200"/>
              <w:jc w:val="both"/>
              <w:rPr>
                <w:rFonts w:ascii="Times New Roman" w:hAnsi="Times New Roman" w:cs="Times New Roman"/>
                <w:lang w:val="en-US"/>
              </w:rPr>
            </w:pPr>
            <w:r>
              <w:rPr>
                <w:rFonts w:ascii="Times New Roman" w:hAnsi="Times New Roman" w:cs="Times New Roman"/>
              </w:rPr>
              <w:t xml:space="preserve"> </w:t>
            </w:r>
            <w:r>
              <w:rPr>
                <w:rFonts w:ascii="Times New Roman" w:hAnsi="Times New Roman" w:cs="Times New Roman"/>
                <w:spacing w:val="-15"/>
              </w:rPr>
              <w:t>拟建设</w:t>
            </w:r>
            <w:r>
              <w:rPr>
                <w:rFonts w:ascii="Times New Roman" w:hAnsi="Times New Roman" w:cs="Times New Roman"/>
                <w:spacing w:val="-15"/>
                <w:lang w:val="en-US"/>
              </w:rPr>
              <w:t>7条</w:t>
            </w:r>
            <w:r>
              <w:rPr>
                <w:rFonts w:ascii="Times New Roman" w:hAnsi="Times New Roman" w:cs="Times New Roman"/>
                <w:lang w:val="en-US"/>
              </w:rPr>
              <w:t>食品用塑料包装容器</w:t>
            </w:r>
            <w:r>
              <w:rPr>
                <w:rFonts w:ascii="Times New Roman" w:hAnsi="Times New Roman" w:cs="Times New Roman"/>
                <w:spacing w:val="-15"/>
                <w:lang w:val="en-US"/>
              </w:rPr>
              <w:t>挤出生产线、4</w:t>
            </w:r>
            <w:r>
              <w:rPr>
                <w:rFonts w:ascii="Times New Roman" w:hAnsi="Times New Roman" w:cs="Times New Roman"/>
              </w:rPr>
              <w:t>条</w:t>
            </w:r>
            <w:r>
              <w:rPr>
                <w:rFonts w:ascii="Times New Roman" w:hAnsi="Times New Roman" w:cs="Times New Roman"/>
                <w:lang w:val="en-US"/>
              </w:rPr>
              <w:t>食品用塑料包装容器注塑生产线，</w:t>
            </w:r>
            <w:r>
              <w:rPr>
                <w:rFonts w:ascii="Times New Roman" w:hAnsi="Times New Roman" w:cs="Times New Roman"/>
                <w:spacing w:val="-15"/>
                <w:lang w:val="en-US"/>
              </w:rPr>
              <w:t>挤出生产线</w:t>
            </w:r>
            <w:r>
              <w:rPr>
                <w:rFonts w:hint="eastAsia" w:ascii="Times New Roman" w:hAnsi="Times New Roman" w:cs="Times New Roman"/>
                <w:spacing w:val="-15"/>
                <w:lang w:val="en-US"/>
              </w:rPr>
              <w:t>生产桶身部位，</w:t>
            </w:r>
            <w:r>
              <w:rPr>
                <w:rFonts w:ascii="Times New Roman" w:hAnsi="Times New Roman" w:cs="Times New Roman"/>
                <w:lang w:val="en-US"/>
              </w:rPr>
              <w:t>注塑生产线</w:t>
            </w:r>
            <w:r>
              <w:rPr>
                <w:rFonts w:hint="eastAsia" w:ascii="Times New Roman" w:hAnsi="Times New Roman" w:cs="Times New Roman"/>
                <w:lang w:val="en-US"/>
              </w:rPr>
              <w:t>生产桶盖，本项目</w:t>
            </w:r>
            <w:r>
              <w:rPr>
                <w:rFonts w:ascii="Times New Roman" w:hAnsi="Times New Roman" w:cs="Times New Roman"/>
                <w:color w:val="000000"/>
                <w:lang w:val="en-US"/>
              </w:rPr>
              <w:t>建成后年产250吨食品用塑料包装容器</w:t>
            </w:r>
            <w:r>
              <w:rPr>
                <w:rFonts w:ascii="Times New Roman" w:hAnsi="Times New Roman" w:cs="Times New Roman"/>
                <w:lang w:val="en-US"/>
              </w:rPr>
              <w:t>。项目</w:t>
            </w:r>
            <w:r>
              <w:rPr>
                <w:rFonts w:ascii="Times New Roman" w:hAnsi="Times New Roman" w:cs="Times New Roman"/>
              </w:rPr>
              <w:t>总投资</w:t>
            </w:r>
            <w:r>
              <w:rPr>
                <w:rFonts w:ascii="Times New Roman" w:hAnsi="Times New Roman" w:cs="Times New Roman"/>
                <w:lang w:val="en-US"/>
              </w:rPr>
              <w:t>1</w:t>
            </w:r>
            <w:r>
              <w:rPr>
                <w:rFonts w:hint="eastAsia" w:ascii="Times New Roman" w:hAnsi="Times New Roman" w:cs="Times New Roman"/>
                <w:lang w:val="en-US"/>
              </w:rPr>
              <w:t>020</w:t>
            </w:r>
            <w:r>
              <w:rPr>
                <w:rFonts w:ascii="Times New Roman" w:hAnsi="Times New Roman" w:cs="Times New Roman"/>
                <w:lang w:val="en-US"/>
              </w:rPr>
              <w:t>万元，其中环保投资</w:t>
            </w:r>
            <w:r>
              <w:rPr>
                <w:rFonts w:hint="eastAsia" w:ascii="Times New Roman" w:hAnsi="Times New Roman" w:cs="Times New Roman"/>
                <w:lang w:val="en-US" w:eastAsia="zh-CN"/>
              </w:rPr>
              <w:t>23.3</w:t>
            </w:r>
            <w:r>
              <w:rPr>
                <w:rFonts w:ascii="Times New Roman" w:hAnsi="Times New Roman" w:cs="Times New Roman"/>
                <w:lang w:val="en-US"/>
              </w:rPr>
              <w:t>万元。本项目工程主要包括主体工程、辅助工程、公用工程、环保工程等，工程建设内容详见表2-1。</w:t>
            </w:r>
          </w:p>
          <w:p>
            <w:pPr>
              <w:pStyle w:val="57"/>
              <w:rPr>
                <w:bCs/>
                <w:szCs w:val="21"/>
                <w:lang w:val="en-US"/>
              </w:rPr>
            </w:pPr>
            <w:r>
              <w:rPr>
                <w:bCs/>
                <w:szCs w:val="21"/>
                <w:lang w:val="en-US"/>
              </w:rPr>
              <w:t>表 2-1</w:t>
            </w:r>
            <w:r>
              <w:rPr>
                <w:bCs/>
                <w:szCs w:val="21"/>
                <w:lang w:val="en-US"/>
              </w:rPr>
              <w:tab/>
            </w:r>
            <w:r>
              <w:rPr>
                <w:bCs/>
                <w:szCs w:val="21"/>
                <w:lang w:val="en-US"/>
              </w:rPr>
              <w:t>本项目工程组成一览表</w:t>
            </w:r>
          </w:p>
          <w:tbl>
            <w:tblPr>
              <w:tblStyle w:val="26"/>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506"/>
              <w:gridCol w:w="787"/>
              <w:gridCol w:w="1261"/>
              <w:gridCol w:w="4103"/>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87" w:type="pct"/>
                  <w:tcBorders>
                    <w:tl2br w:val="nil"/>
                    <w:tr2bl w:val="nil"/>
                  </w:tcBorders>
                  <w:vAlign w:val="center"/>
                </w:tcPr>
                <w:p>
                  <w:pPr>
                    <w:pStyle w:val="47"/>
                    <w:rPr>
                      <w:b w:val="0"/>
                      <w:bCs w:val="0"/>
                      <w:color w:val="auto"/>
                    </w:rPr>
                  </w:pPr>
                  <w:r>
                    <w:rPr>
                      <w:b w:val="0"/>
                      <w:bCs w:val="0"/>
                      <w:color w:val="auto"/>
                    </w:rPr>
                    <w:t>类别</w:t>
                  </w:r>
                </w:p>
              </w:tc>
              <w:tc>
                <w:tcPr>
                  <w:tcW w:w="1610" w:type="pct"/>
                  <w:gridSpan w:val="3"/>
                  <w:tcBorders>
                    <w:tl2br w:val="nil"/>
                    <w:tr2bl w:val="nil"/>
                  </w:tcBorders>
                  <w:vAlign w:val="center"/>
                </w:tcPr>
                <w:p>
                  <w:pPr>
                    <w:pStyle w:val="47"/>
                    <w:rPr>
                      <w:b w:val="0"/>
                      <w:bCs w:val="0"/>
                      <w:color w:val="auto"/>
                    </w:rPr>
                  </w:pPr>
                  <w:r>
                    <w:rPr>
                      <w:b w:val="0"/>
                      <w:bCs w:val="0"/>
                      <w:color w:val="auto"/>
                    </w:rPr>
                    <w:t>工程</w:t>
                  </w:r>
                </w:p>
                <w:p>
                  <w:pPr>
                    <w:pStyle w:val="47"/>
                    <w:rPr>
                      <w:b w:val="0"/>
                      <w:bCs w:val="0"/>
                      <w:color w:val="auto"/>
                    </w:rPr>
                  </w:pPr>
                  <w:r>
                    <w:rPr>
                      <w:b w:val="0"/>
                      <w:bCs w:val="0"/>
                      <w:color w:val="auto"/>
                    </w:rPr>
                    <w:t>名称</w:t>
                  </w:r>
                </w:p>
              </w:tc>
              <w:tc>
                <w:tcPr>
                  <w:tcW w:w="2584" w:type="pct"/>
                  <w:tcBorders>
                    <w:tl2br w:val="nil"/>
                    <w:tr2bl w:val="nil"/>
                  </w:tcBorders>
                  <w:vAlign w:val="center"/>
                </w:tcPr>
                <w:p>
                  <w:pPr>
                    <w:pStyle w:val="47"/>
                    <w:rPr>
                      <w:b w:val="0"/>
                      <w:bCs w:val="0"/>
                      <w:color w:val="auto"/>
                    </w:rPr>
                  </w:pPr>
                  <w:r>
                    <w:rPr>
                      <w:b w:val="0"/>
                      <w:bCs w:val="0"/>
                      <w:color w:val="auto"/>
                    </w:rPr>
                    <w:t>实际建设内容</w:t>
                  </w:r>
                </w:p>
              </w:tc>
              <w:tc>
                <w:tcPr>
                  <w:tcW w:w="417" w:type="pct"/>
                  <w:tcBorders>
                    <w:tl2br w:val="nil"/>
                    <w:tr2bl w:val="nil"/>
                  </w:tcBorders>
                  <w:vAlign w:val="center"/>
                </w:tcPr>
                <w:p>
                  <w:pPr>
                    <w:pStyle w:val="47"/>
                    <w:rPr>
                      <w:b w:val="0"/>
                      <w:bCs w:val="0"/>
                      <w:color w:val="auto"/>
                    </w:rPr>
                  </w:pPr>
                  <w:r>
                    <w:rPr>
                      <w:b w:val="0"/>
                      <w:bCs w:val="0"/>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restart"/>
                  <w:tcBorders>
                    <w:tl2br w:val="nil"/>
                    <w:tr2bl w:val="nil"/>
                  </w:tcBorders>
                  <w:vAlign w:val="center"/>
                </w:tcPr>
                <w:p>
                  <w:pPr>
                    <w:pStyle w:val="47"/>
                    <w:rPr>
                      <w:b w:val="0"/>
                      <w:bCs w:val="0"/>
                      <w:color w:val="auto"/>
                    </w:rPr>
                  </w:pPr>
                  <w:r>
                    <w:rPr>
                      <w:b w:val="0"/>
                      <w:bCs w:val="0"/>
                      <w:color w:val="auto"/>
                    </w:rPr>
                    <w:t>主体工程</w:t>
                  </w:r>
                </w:p>
              </w:tc>
              <w:tc>
                <w:tcPr>
                  <w:tcW w:w="1610" w:type="pct"/>
                  <w:gridSpan w:val="3"/>
                  <w:tcBorders>
                    <w:tl2br w:val="nil"/>
                    <w:tr2bl w:val="nil"/>
                  </w:tcBorders>
                  <w:vAlign w:val="center"/>
                </w:tcPr>
                <w:p>
                  <w:pPr>
                    <w:pStyle w:val="43"/>
                    <w:rPr>
                      <w:rFonts w:cs="Times New Roman"/>
                      <w:szCs w:val="21"/>
                    </w:rPr>
                  </w:pPr>
                  <w:r>
                    <w:rPr>
                      <w:rFonts w:cs="Times New Roman"/>
                      <w:szCs w:val="21"/>
                      <w:lang w:val="en-US"/>
                    </w:rPr>
                    <w:t>生产</w:t>
                  </w:r>
                  <w:r>
                    <w:rPr>
                      <w:rFonts w:cs="Times New Roman"/>
                      <w:szCs w:val="21"/>
                    </w:rPr>
                    <w:t>厂房</w:t>
                  </w:r>
                </w:p>
              </w:tc>
              <w:tc>
                <w:tcPr>
                  <w:tcW w:w="2584" w:type="pct"/>
                  <w:tcBorders>
                    <w:tl2br w:val="nil"/>
                    <w:tr2bl w:val="nil"/>
                  </w:tcBorders>
                  <w:vAlign w:val="center"/>
                </w:tcPr>
                <w:p>
                  <w:pPr>
                    <w:pStyle w:val="47"/>
                    <w:jc w:val="both"/>
                    <w:rPr>
                      <w:b w:val="0"/>
                      <w:bCs w:val="0"/>
                      <w:color w:val="auto"/>
                    </w:rPr>
                  </w:pPr>
                  <w:r>
                    <w:rPr>
                      <w:b w:val="0"/>
                      <w:kern w:val="2"/>
                    </w:rPr>
                    <w:t>生产车间占地面积为2569.2m</w:t>
                  </w:r>
                  <w:r>
                    <w:rPr>
                      <w:b w:val="0"/>
                      <w:kern w:val="2"/>
                      <w:vertAlign w:val="superscript"/>
                    </w:rPr>
                    <w:t>2</w:t>
                  </w:r>
                  <w:r>
                    <w:rPr>
                      <w:b w:val="0"/>
                      <w:kern w:val="2"/>
                    </w:rPr>
                    <w:t>，位于</w:t>
                  </w:r>
                  <w:r>
                    <w:rPr>
                      <w:b w:val="0"/>
                      <w:bCs w:val="0"/>
                    </w:rPr>
                    <w:t>俊腾达标准化厂房1层，</w:t>
                  </w:r>
                  <w:r>
                    <w:rPr>
                      <w:b w:val="0"/>
                      <w:kern w:val="2"/>
                    </w:rPr>
                    <w:t>楼层结构，层高5.8米。内布置有7</w:t>
                  </w:r>
                  <w:r>
                    <w:rPr>
                      <w:b w:val="0"/>
                      <w:bCs w:val="0"/>
                    </w:rPr>
                    <w:t>条食品用塑料包装容器挤出生产线，4条食品用塑料包装容器注塑生产线，每条生产线由挤出、注塑、混料、预热等工段组成。</w:t>
                  </w:r>
                </w:p>
              </w:tc>
              <w:tc>
                <w:tcPr>
                  <w:tcW w:w="417" w:type="pct"/>
                  <w:tcBorders>
                    <w:tl2br w:val="nil"/>
                    <w:tr2bl w:val="nil"/>
                  </w:tcBorders>
                  <w:vAlign w:val="center"/>
                </w:tcPr>
                <w:p>
                  <w:pPr>
                    <w:pStyle w:val="47"/>
                    <w:rPr>
                      <w:b w:val="0"/>
                      <w:bCs w:val="0"/>
                      <w:color w:val="auto"/>
                    </w:rPr>
                  </w:pPr>
                  <w:r>
                    <w:rPr>
                      <w:rFonts w:hint="eastAsia"/>
                      <w:b w:val="0"/>
                      <w:bCs w:val="0"/>
                      <w:color w:val="auto"/>
                    </w:rPr>
                    <w:t>已建</w:t>
                  </w:r>
                  <w:r>
                    <w:rPr>
                      <w:rFonts w:hint="eastAsia"/>
                      <w:b w:val="0"/>
                      <w:bCs w:val="0"/>
                      <w:color w:val="auto"/>
                      <w:lang w:val="zh-CN"/>
                    </w:rPr>
                    <w:t>（</w:t>
                  </w:r>
                  <w:r>
                    <w:rPr>
                      <w:b w:val="0"/>
                      <w:bCs w:val="0"/>
                      <w:color w:val="auto"/>
                    </w:rPr>
                    <w:t>利用厂房场地安装生产线设备</w:t>
                  </w:r>
                  <w:r>
                    <w:rPr>
                      <w:rFonts w:hint="eastAsia"/>
                      <w:b w:val="0"/>
                      <w:bCs w:val="0"/>
                      <w:color w:val="auto"/>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tcBorders>
                    <w:tl2br w:val="nil"/>
                    <w:tr2bl w:val="nil"/>
                  </w:tcBorders>
                  <w:vAlign w:val="center"/>
                </w:tcPr>
                <w:p>
                  <w:pPr>
                    <w:pStyle w:val="47"/>
                    <w:rPr>
                      <w:b w:val="0"/>
                      <w:bCs w:val="0"/>
                      <w:color w:val="auto"/>
                    </w:rPr>
                  </w:pPr>
                </w:p>
              </w:tc>
              <w:tc>
                <w:tcPr>
                  <w:tcW w:w="319" w:type="pct"/>
                  <w:vMerge w:val="restart"/>
                  <w:tcBorders>
                    <w:tl2br w:val="nil"/>
                    <w:tr2bl w:val="nil"/>
                  </w:tcBorders>
                  <w:vAlign w:val="center"/>
                </w:tcPr>
                <w:p>
                  <w:pPr>
                    <w:pStyle w:val="43"/>
                    <w:rPr>
                      <w:rFonts w:cs="Times New Roman"/>
                      <w:szCs w:val="21"/>
                      <w:lang w:val="en-US"/>
                    </w:rPr>
                  </w:pPr>
                  <w:r>
                    <w:rPr>
                      <w:rFonts w:cs="Times New Roman"/>
                      <w:szCs w:val="21"/>
                      <w:lang w:val="en-US"/>
                    </w:rPr>
                    <w:t>其中</w:t>
                  </w:r>
                </w:p>
              </w:tc>
              <w:tc>
                <w:tcPr>
                  <w:tcW w:w="1291" w:type="pct"/>
                  <w:gridSpan w:val="2"/>
                  <w:tcBorders>
                    <w:tl2br w:val="nil"/>
                    <w:tr2bl w:val="nil"/>
                  </w:tcBorders>
                  <w:vAlign w:val="center"/>
                </w:tcPr>
                <w:p>
                  <w:pPr>
                    <w:pStyle w:val="43"/>
                    <w:rPr>
                      <w:rFonts w:cs="Times New Roman"/>
                      <w:szCs w:val="21"/>
                      <w:lang w:val="en-US"/>
                    </w:rPr>
                  </w:pPr>
                  <w:r>
                    <w:rPr>
                      <w:rFonts w:cs="Times New Roman"/>
                      <w:szCs w:val="21"/>
                      <w:lang w:val="en-US"/>
                    </w:rPr>
                    <w:t>挤出区</w:t>
                  </w:r>
                </w:p>
              </w:tc>
              <w:tc>
                <w:tcPr>
                  <w:tcW w:w="2584" w:type="pct"/>
                  <w:tcBorders>
                    <w:tl2br w:val="nil"/>
                    <w:tr2bl w:val="nil"/>
                  </w:tcBorders>
                  <w:vAlign w:val="center"/>
                </w:tcPr>
                <w:p>
                  <w:pPr>
                    <w:pStyle w:val="47"/>
                    <w:jc w:val="both"/>
                    <w:rPr>
                      <w:b w:val="0"/>
                      <w:bCs w:val="0"/>
                      <w:color w:val="auto"/>
                    </w:rPr>
                  </w:pPr>
                  <w:r>
                    <w:rPr>
                      <w:b w:val="0"/>
                      <w:bCs w:val="0"/>
                      <w:color w:val="auto"/>
                    </w:rPr>
                    <w:t>位于厂房内北部，建筑面积约500</w:t>
                  </w:r>
                  <w:r>
                    <w:rPr>
                      <w:b w:val="0"/>
                      <w:bCs w:val="0"/>
                    </w:rPr>
                    <w:t>m</w:t>
                  </w:r>
                  <w:r>
                    <w:rPr>
                      <w:b w:val="0"/>
                      <w:bCs w:val="0"/>
                      <w:vertAlign w:val="superscript"/>
                    </w:rPr>
                    <w:t>2</w:t>
                  </w:r>
                  <w:r>
                    <w:rPr>
                      <w:b w:val="0"/>
                      <w:bCs w:val="0"/>
                    </w:rPr>
                    <w:t>，主要对原材料进行挤出工序，</w:t>
                  </w:r>
                  <w:r>
                    <w:rPr>
                      <w:b w:val="0"/>
                      <w:bCs w:val="0"/>
                      <w:color w:val="auto"/>
                    </w:rPr>
                    <w:t>主要设备有中空成型挤出机（7台）。</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319" w:type="pct"/>
                  <w:vMerge w:val="continue"/>
                  <w:tcBorders>
                    <w:tl2br w:val="nil"/>
                    <w:tr2bl w:val="nil"/>
                  </w:tcBorders>
                  <w:vAlign w:val="center"/>
                </w:tcPr>
                <w:p>
                  <w:pPr>
                    <w:pStyle w:val="43"/>
                    <w:rPr>
                      <w:rFonts w:cs="Times New Roman"/>
                      <w:szCs w:val="21"/>
                      <w:lang w:val="en-US"/>
                    </w:rPr>
                  </w:pPr>
                </w:p>
              </w:tc>
              <w:tc>
                <w:tcPr>
                  <w:tcW w:w="1291" w:type="pct"/>
                  <w:gridSpan w:val="2"/>
                  <w:tcBorders>
                    <w:tl2br w:val="nil"/>
                    <w:tr2bl w:val="nil"/>
                  </w:tcBorders>
                  <w:vAlign w:val="center"/>
                </w:tcPr>
                <w:p>
                  <w:pPr>
                    <w:pStyle w:val="43"/>
                    <w:rPr>
                      <w:rFonts w:cs="Times New Roman"/>
                      <w:szCs w:val="21"/>
                      <w:lang w:val="en-US"/>
                    </w:rPr>
                  </w:pPr>
                  <w:r>
                    <w:rPr>
                      <w:rFonts w:cs="Times New Roman"/>
                      <w:szCs w:val="21"/>
                      <w:lang w:val="en-US"/>
                    </w:rPr>
                    <w:t>注塑区</w:t>
                  </w:r>
                </w:p>
              </w:tc>
              <w:tc>
                <w:tcPr>
                  <w:tcW w:w="2584" w:type="pct"/>
                  <w:tcBorders>
                    <w:tl2br w:val="nil"/>
                    <w:tr2bl w:val="nil"/>
                  </w:tcBorders>
                  <w:vAlign w:val="center"/>
                </w:tcPr>
                <w:p>
                  <w:pPr>
                    <w:pStyle w:val="47"/>
                    <w:jc w:val="both"/>
                    <w:rPr>
                      <w:b w:val="0"/>
                      <w:bCs w:val="0"/>
                      <w:color w:val="auto"/>
                    </w:rPr>
                  </w:pPr>
                  <w:r>
                    <w:rPr>
                      <w:b w:val="0"/>
                      <w:bCs w:val="0"/>
                      <w:color w:val="auto"/>
                    </w:rPr>
                    <w:t>位于厂房内南部，建筑面积约534</w:t>
                  </w:r>
                  <w:r>
                    <w:rPr>
                      <w:b w:val="0"/>
                      <w:bCs w:val="0"/>
                    </w:rPr>
                    <w:t>m</w:t>
                  </w:r>
                  <w:r>
                    <w:rPr>
                      <w:b w:val="0"/>
                      <w:bCs w:val="0"/>
                      <w:vertAlign w:val="superscript"/>
                    </w:rPr>
                    <w:t>2</w:t>
                  </w:r>
                  <w:r>
                    <w:rPr>
                      <w:b w:val="0"/>
                      <w:bCs w:val="0"/>
                    </w:rPr>
                    <w:t>，主要对原材料进行注塑工序，</w:t>
                  </w:r>
                  <w:r>
                    <w:rPr>
                      <w:b w:val="0"/>
                      <w:bCs w:val="0"/>
                      <w:color w:val="auto"/>
                    </w:rPr>
                    <w:t>主要设备有注塑机（4台）。</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387" w:type="pct"/>
                  <w:vMerge w:val="continue"/>
                  <w:tcBorders>
                    <w:tl2br w:val="nil"/>
                    <w:tr2bl w:val="nil"/>
                  </w:tcBorders>
                  <w:vAlign w:val="center"/>
                </w:tcPr>
                <w:p>
                  <w:pPr>
                    <w:pStyle w:val="47"/>
                    <w:rPr>
                      <w:b w:val="0"/>
                      <w:bCs w:val="0"/>
                      <w:color w:val="auto"/>
                    </w:rPr>
                  </w:pPr>
                </w:p>
              </w:tc>
              <w:tc>
                <w:tcPr>
                  <w:tcW w:w="319" w:type="pct"/>
                  <w:vMerge w:val="continue"/>
                  <w:tcBorders>
                    <w:tl2br w:val="nil"/>
                    <w:tr2bl w:val="nil"/>
                  </w:tcBorders>
                  <w:vAlign w:val="center"/>
                </w:tcPr>
                <w:p>
                  <w:pPr>
                    <w:pStyle w:val="43"/>
                    <w:rPr>
                      <w:rFonts w:cs="Times New Roman"/>
                      <w:szCs w:val="21"/>
                    </w:rPr>
                  </w:pPr>
                </w:p>
              </w:tc>
              <w:tc>
                <w:tcPr>
                  <w:tcW w:w="1291" w:type="pct"/>
                  <w:gridSpan w:val="2"/>
                  <w:tcBorders>
                    <w:tl2br w:val="nil"/>
                    <w:tr2bl w:val="nil"/>
                  </w:tcBorders>
                  <w:vAlign w:val="center"/>
                </w:tcPr>
                <w:p>
                  <w:pPr>
                    <w:pStyle w:val="43"/>
                    <w:rPr>
                      <w:rFonts w:cs="Times New Roman"/>
                      <w:szCs w:val="21"/>
                      <w:lang w:val="en-US"/>
                    </w:rPr>
                  </w:pPr>
                  <w:r>
                    <w:rPr>
                      <w:rFonts w:cs="Times New Roman"/>
                      <w:szCs w:val="21"/>
                      <w:lang w:val="en-US"/>
                    </w:rPr>
                    <w:t>破碎区</w:t>
                  </w:r>
                </w:p>
              </w:tc>
              <w:tc>
                <w:tcPr>
                  <w:tcW w:w="2584" w:type="pct"/>
                  <w:tcBorders>
                    <w:tl2br w:val="nil"/>
                    <w:tr2bl w:val="nil"/>
                  </w:tcBorders>
                  <w:vAlign w:val="center"/>
                </w:tcPr>
                <w:p>
                  <w:pPr>
                    <w:pStyle w:val="47"/>
                    <w:jc w:val="both"/>
                    <w:rPr>
                      <w:b w:val="0"/>
                      <w:bCs w:val="0"/>
                      <w:color w:val="auto"/>
                    </w:rPr>
                  </w:pPr>
                  <w:r>
                    <w:rPr>
                      <w:b w:val="0"/>
                      <w:bCs w:val="0"/>
                      <w:color w:val="auto"/>
                    </w:rPr>
                    <w:t>位于厂房内东北部，建筑面积约400</w:t>
                  </w:r>
                  <w:r>
                    <w:rPr>
                      <w:b w:val="0"/>
                      <w:bCs w:val="0"/>
                    </w:rPr>
                    <w:t>m</w:t>
                  </w:r>
                  <w:r>
                    <w:rPr>
                      <w:b w:val="0"/>
                      <w:bCs w:val="0"/>
                      <w:vertAlign w:val="superscript"/>
                    </w:rPr>
                    <w:t>2</w:t>
                  </w:r>
                  <w:r>
                    <w:rPr>
                      <w:b w:val="0"/>
                      <w:bCs w:val="0"/>
                    </w:rPr>
                    <w:t>，主要对</w:t>
                  </w:r>
                  <w:r>
                    <w:rPr>
                      <w:b w:val="0"/>
                      <w:bCs w:val="0"/>
                      <w:color w:val="auto"/>
                    </w:rPr>
                    <w:t>4条食品用塑料包装容器挤出生产线，1条食品用塑料包装容器注塑生产线不合格产品进行破碎工序，主要设备有破碎机（3台）。</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87" w:type="pct"/>
                  <w:vMerge w:val="continue"/>
                  <w:tcBorders>
                    <w:tl2br w:val="nil"/>
                    <w:tr2bl w:val="nil"/>
                  </w:tcBorders>
                  <w:vAlign w:val="center"/>
                </w:tcPr>
                <w:p>
                  <w:pPr>
                    <w:pStyle w:val="47"/>
                    <w:rPr>
                      <w:b w:val="0"/>
                      <w:bCs w:val="0"/>
                      <w:color w:val="auto"/>
                    </w:rPr>
                  </w:pPr>
                </w:p>
              </w:tc>
              <w:tc>
                <w:tcPr>
                  <w:tcW w:w="319" w:type="pct"/>
                  <w:vMerge w:val="continue"/>
                  <w:tcBorders>
                    <w:tl2br w:val="nil"/>
                    <w:tr2bl w:val="nil"/>
                  </w:tcBorders>
                  <w:vAlign w:val="center"/>
                </w:tcPr>
                <w:p>
                  <w:pPr>
                    <w:pStyle w:val="43"/>
                    <w:rPr>
                      <w:rFonts w:cs="Times New Roman"/>
                      <w:szCs w:val="21"/>
                      <w:lang w:val="en-US"/>
                    </w:rPr>
                  </w:pPr>
                </w:p>
              </w:tc>
              <w:tc>
                <w:tcPr>
                  <w:tcW w:w="1291" w:type="pct"/>
                  <w:gridSpan w:val="2"/>
                  <w:tcBorders>
                    <w:tl2br w:val="nil"/>
                    <w:tr2bl w:val="nil"/>
                  </w:tcBorders>
                  <w:vAlign w:val="center"/>
                </w:tcPr>
                <w:p>
                  <w:pPr>
                    <w:pStyle w:val="43"/>
                    <w:rPr>
                      <w:rFonts w:cs="Times New Roman"/>
                      <w:szCs w:val="21"/>
                      <w:lang w:val="en-US"/>
                    </w:rPr>
                  </w:pPr>
                  <w:r>
                    <w:rPr>
                      <w:rFonts w:cs="Times New Roman"/>
                      <w:szCs w:val="21"/>
                      <w:lang w:val="en-US"/>
                    </w:rPr>
                    <w:t>模具放置区</w:t>
                  </w:r>
                </w:p>
              </w:tc>
              <w:tc>
                <w:tcPr>
                  <w:tcW w:w="2584" w:type="pct"/>
                  <w:tcBorders>
                    <w:tl2br w:val="nil"/>
                    <w:tr2bl w:val="nil"/>
                  </w:tcBorders>
                  <w:vAlign w:val="center"/>
                </w:tcPr>
                <w:p>
                  <w:pPr>
                    <w:pStyle w:val="47"/>
                    <w:jc w:val="both"/>
                    <w:rPr>
                      <w:b w:val="0"/>
                      <w:bCs w:val="0"/>
                      <w:color w:val="auto"/>
                    </w:rPr>
                  </w:pPr>
                  <w:r>
                    <w:rPr>
                      <w:b w:val="0"/>
                      <w:bCs w:val="0"/>
                      <w:color w:val="auto"/>
                    </w:rPr>
                    <w:t>位于厂房内西北部，建筑面积约40</w:t>
                  </w:r>
                  <w:r>
                    <w:rPr>
                      <w:b w:val="0"/>
                      <w:bCs w:val="0"/>
                    </w:rPr>
                    <w:t>m</w:t>
                  </w:r>
                  <w:r>
                    <w:rPr>
                      <w:b w:val="0"/>
                      <w:bCs w:val="0"/>
                      <w:vertAlign w:val="superscript"/>
                    </w:rPr>
                    <w:t>2</w:t>
                  </w:r>
                  <w:r>
                    <w:rPr>
                      <w:b w:val="0"/>
                      <w:bCs w:val="0"/>
                    </w:rPr>
                    <w:t>，主要是放置挤出及注塑模具</w:t>
                  </w:r>
                  <w:r>
                    <w:rPr>
                      <w:b w:val="0"/>
                      <w:bCs w:val="0"/>
                      <w:color w:val="auto"/>
                    </w:rPr>
                    <w:t>。</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87" w:type="pct"/>
                  <w:vMerge w:val="restart"/>
                  <w:tcBorders>
                    <w:tl2br w:val="nil"/>
                    <w:tr2bl w:val="nil"/>
                  </w:tcBorders>
                  <w:vAlign w:val="center"/>
                </w:tcPr>
                <w:p>
                  <w:pPr>
                    <w:pStyle w:val="47"/>
                    <w:rPr>
                      <w:b w:val="0"/>
                      <w:bCs w:val="0"/>
                      <w:color w:val="auto"/>
                    </w:rPr>
                  </w:pPr>
                  <w:r>
                    <w:rPr>
                      <w:b w:val="0"/>
                      <w:bCs w:val="0"/>
                      <w:color w:val="auto"/>
                    </w:rPr>
                    <w:t>辅助工程</w:t>
                  </w:r>
                </w:p>
              </w:tc>
              <w:tc>
                <w:tcPr>
                  <w:tcW w:w="1610" w:type="pct"/>
                  <w:gridSpan w:val="3"/>
                  <w:tcBorders>
                    <w:tl2br w:val="nil"/>
                    <w:tr2bl w:val="nil"/>
                  </w:tcBorders>
                  <w:vAlign w:val="center"/>
                </w:tcPr>
                <w:p>
                  <w:pPr>
                    <w:pStyle w:val="43"/>
                    <w:rPr>
                      <w:rFonts w:cs="Times New Roman"/>
                      <w:szCs w:val="21"/>
                      <w:lang w:val="en-US"/>
                    </w:rPr>
                  </w:pPr>
                  <w:r>
                    <w:rPr>
                      <w:rFonts w:cs="Times New Roman"/>
                      <w:szCs w:val="21"/>
                      <w:lang w:val="en-US"/>
                    </w:rPr>
                    <w:t>办公区</w:t>
                  </w:r>
                </w:p>
              </w:tc>
              <w:tc>
                <w:tcPr>
                  <w:tcW w:w="2584" w:type="pct"/>
                  <w:tcBorders>
                    <w:tl2br w:val="nil"/>
                    <w:tr2bl w:val="nil"/>
                  </w:tcBorders>
                  <w:vAlign w:val="center"/>
                </w:tcPr>
                <w:p>
                  <w:pPr>
                    <w:pStyle w:val="47"/>
                    <w:jc w:val="both"/>
                    <w:rPr>
                      <w:b w:val="0"/>
                      <w:bCs w:val="0"/>
                      <w:color w:val="auto"/>
                    </w:rPr>
                  </w:pPr>
                  <w:r>
                    <w:rPr>
                      <w:b w:val="0"/>
                      <w:bCs w:val="0"/>
                      <w:color w:val="auto"/>
                    </w:rPr>
                    <w:t>建筑面积约60</w:t>
                  </w:r>
                  <w:r>
                    <w:rPr>
                      <w:b w:val="0"/>
                      <w:bCs w:val="0"/>
                    </w:rPr>
                    <w:t>m</w:t>
                  </w:r>
                  <w:r>
                    <w:rPr>
                      <w:b w:val="0"/>
                      <w:bCs w:val="0"/>
                      <w:vertAlign w:val="superscript"/>
                    </w:rPr>
                    <w:t>2</w:t>
                  </w:r>
                  <w:r>
                    <w:rPr>
                      <w:b w:val="0"/>
                      <w:bCs w:val="0"/>
                    </w:rPr>
                    <w:t>，</w:t>
                  </w:r>
                  <w:r>
                    <w:rPr>
                      <w:b w:val="0"/>
                      <w:bCs w:val="0"/>
                      <w:snapToGrid w:val="0"/>
                      <w:color w:val="auto"/>
                    </w:rPr>
                    <w:t>位于</w:t>
                  </w:r>
                  <w:r>
                    <w:rPr>
                      <w:rFonts w:hint="eastAsia"/>
                      <w:b w:val="0"/>
                      <w:bCs w:val="0"/>
                      <w:snapToGrid w:val="0"/>
                      <w:color w:val="auto"/>
                    </w:rPr>
                    <w:t>生产</w:t>
                  </w:r>
                  <w:r>
                    <w:rPr>
                      <w:b w:val="0"/>
                      <w:bCs w:val="0"/>
                      <w:color w:val="auto"/>
                    </w:rPr>
                    <w:t>厂房内西</w:t>
                  </w:r>
                  <w:r>
                    <w:rPr>
                      <w:b w:val="0"/>
                      <w:bCs w:val="0"/>
                      <w:snapToGrid w:val="0"/>
                      <w:color w:val="auto"/>
                    </w:rPr>
                    <w:t>北角，主要用于厂内员工办公</w:t>
                  </w:r>
                  <w:r>
                    <w:rPr>
                      <w:b w:val="0"/>
                      <w:bCs w:val="0"/>
                    </w:rPr>
                    <w:t>。</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3"/>
                  <w:tcBorders>
                    <w:tl2br w:val="nil"/>
                    <w:tr2bl w:val="nil"/>
                  </w:tcBorders>
                  <w:vAlign w:val="center"/>
                </w:tcPr>
                <w:p>
                  <w:pPr>
                    <w:pStyle w:val="43"/>
                    <w:rPr>
                      <w:rFonts w:cs="Times New Roman"/>
                      <w:szCs w:val="21"/>
                      <w:lang w:val="en-US"/>
                    </w:rPr>
                  </w:pPr>
                  <w:r>
                    <w:rPr>
                      <w:rFonts w:cs="Times New Roman"/>
                      <w:szCs w:val="21"/>
                      <w:lang w:val="en-US"/>
                    </w:rPr>
                    <w:t>变电房</w:t>
                  </w:r>
                </w:p>
              </w:tc>
              <w:tc>
                <w:tcPr>
                  <w:tcW w:w="2584" w:type="pct"/>
                  <w:tcBorders>
                    <w:tl2br w:val="nil"/>
                    <w:tr2bl w:val="nil"/>
                  </w:tcBorders>
                  <w:vAlign w:val="center"/>
                </w:tcPr>
                <w:p>
                  <w:pPr>
                    <w:pStyle w:val="47"/>
                    <w:jc w:val="both"/>
                    <w:rPr>
                      <w:b w:val="0"/>
                      <w:bCs w:val="0"/>
                      <w:color w:val="auto"/>
                    </w:rPr>
                  </w:pPr>
                  <w:r>
                    <w:rPr>
                      <w:b w:val="0"/>
                      <w:bCs w:val="0"/>
                      <w:color w:val="auto"/>
                    </w:rPr>
                    <w:t>建筑面积约20m</w:t>
                  </w:r>
                  <w:r>
                    <w:rPr>
                      <w:b w:val="0"/>
                      <w:bCs w:val="0"/>
                      <w:color w:val="auto"/>
                      <w:vertAlign w:val="superscript"/>
                    </w:rPr>
                    <w:t>2</w:t>
                  </w:r>
                  <w:r>
                    <w:rPr>
                      <w:b w:val="0"/>
                      <w:bCs w:val="0"/>
                      <w:color w:val="auto"/>
                    </w:rPr>
                    <w:t>，</w:t>
                  </w:r>
                  <w:r>
                    <w:rPr>
                      <w:b w:val="0"/>
                      <w:bCs w:val="0"/>
                      <w:snapToGrid w:val="0"/>
                      <w:color w:val="auto"/>
                    </w:rPr>
                    <w:t>位于</w:t>
                  </w:r>
                  <w:r>
                    <w:rPr>
                      <w:b w:val="0"/>
                      <w:bCs w:val="0"/>
                      <w:color w:val="auto"/>
                    </w:rPr>
                    <w:t>厂区</w:t>
                  </w:r>
                  <w:r>
                    <w:rPr>
                      <w:b w:val="0"/>
                      <w:bCs w:val="0"/>
                      <w:snapToGrid w:val="0"/>
                      <w:color w:val="auto"/>
                    </w:rPr>
                    <w:t>东侧。</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restart"/>
                  <w:tcBorders>
                    <w:tl2br w:val="nil"/>
                    <w:tr2bl w:val="nil"/>
                  </w:tcBorders>
                  <w:vAlign w:val="center"/>
                </w:tcPr>
                <w:p>
                  <w:pPr>
                    <w:pStyle w:val="47"/>
                    <w:rPr>
                      <w:b w:val="0"/>
                      <w:bCs w:val="0"/>
                      <w:color w:val="auto"/>
                    </w:rPr>
                  </w:pPr>
                  <w:r>
                    <w:rPr>
                      <w:b w:val="0"/>
                      <w:bCs w:val="0"/>
                      <w:color w:val="auto"/>
                    </w:rPr>
                    <w:t>公用工程</w:t>
                  </w:r>
                </w:p>
              </w:tc>
              <w:tc>
                <w:tcPr>
                  <w:tcW w:w="1610" w:type="pct"/>
                  <w:gridSpan w:val="3"/>
                  <w:tcBorders>
                    <w:tl2br w:val="nil"/>
                    <w:tr2bl w:val="nil"/>
                  </w:tcBorders>
                  <w:vAlign w:val="center"/>
                </w:tcPr>
                <w:p>
                  <w:pPr>
                    <w:pStyle w:val="47"/>
                    <w:rPr>
                      <w:b w:val="0"/>
                      <w:bCs w:val="0"/>
                      <w:color w:val="auto"/>
                    </w:rPr>
                  </w:pPr>
                  <w:r>
                    <w:rPr>
                      <w:b w:val="0"/>
                      <w:bCs w:val="0"/>
                      <w:color w:val="auto"/>
                    </w:rPr>
                    <w:t>给水</w:t>
                  </w:r>
                </w:p>
              </w:tc>
              <w:tc>
                <w:tcPr>
                  <w:tcW w:w="2584" w:type="pct"/>
                  <w:tcBorders>
                    <w:tl2br w:val="nil"/>
                    <w:tr2bl w:val="nil"/>
                  </w:tcBorders>
                  <w:vAlign w:val="center"/>
                </w:tcPr>
                <w:p>
                  <w:pPr>
                    <w:pStyle w:val="47"/>
                    <w:jc w:val="both"/>
                    <w:rPr>
                      <w:b w:val="0"/>
                      <w:bCs w:val="0"/>
                      <w:color w:val="auto"/>
                    </w:rPr>
                  </w:pPr>
                  <w:r>
                    <w:rPr>
                      <w:b w:val="0"/>
                      <w:bCs w:val="0"/>
                      <w:color w:val="auto"/>
                    </w:rPr>
                    <w:t>市政供水管网供给。</w:t>
                  </w:r>
                </w:p>
              </w:tc>
              <w:tc>
                <w:tcPr>
                  <w:tcW w:w="417" w:type="pct"/>
                  <w:tcBorders>
                    <w:tl2br w:val="nil"/>
                    <w:tr2bl w:val="nil"/>
                  </w:tcBorders>
                  <w:vAlign w:val="center"/>
                </w:tcPr>
                <w:p>
                  <w:pPr>
                    <w:pStyle w:val="47"/>
                    <w:rPr>
                      <w:b w:val="0"/>
                      <w:bCs w:val="0"/>
                      <w:color w:val="auto"/>
                    </w:rPr>
                  </w:pPr>
                  <w:r>
                    <w:rPr>
                      <w:b w:val="0"/>
                      <w:bCs w:val="0"/>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3"/>
                  <w:tcBorders>
                    <w:tl2br w:val="nil"/>
                    <w:tr2bl w:val="nil"/>
                  </w:tcBorders>
                  <w:vAlign w:val="center"/>
                </w:tcPr>
                <w:p>
                  <w:pPr>
                    <w:pStyle w:val="47"/>
                    <w:rPr>
                      <w:b w:val="0"/>
                      <w:bCs w:val="0"/>
                      <w:color w:val="auto"/>
                    </w:rPr>
                  </w:pPr>
                  <w:r>
                    <w:rPr>
                      <w:b w:val="0"/>
                      <w:bCs w:val="0"/>
                      <w:color w:val="auto"/>
                    </w:rPr>
                    <w:t>排水</w:t>
                  </w:r>
                </w:p>
              </w:tc>
              <w:tc>
                <w:tcPr>
                  <w:tcW w:w="2584" w:type="pct"/>
                  <w:tcBorders>
                    <w:tl2br w:val="nil"/>
                    <w:tr2bl w:val="nil"/>
                  </w:tcBorders>
                  <w:vAlign w:val="center"/>
                </w:tcPr>
                <w:p>
                  <w:pPr>
                    <w:snapToGrid w:val="0"/>
                    <w:spacing w:line="240" w:lineRule="atLeast"/>
                    <w:contextualSpacing/>
                    <w:rPr>
                      <w:rFonts w:ascii="Times New Roman" w:hAnsi="Times New Roman" w:cs="Times New Roman"/>
                      <w:color w:val="000000"/>
                      <w:sz w:val="21"/>
                      <w:szCs w:val="21"/>
                    </w:rPr>
                  </w:pPr>
                  <w:r>
                    <w:rPr>
                      <w:rFonts w:ascii="Times New Roman" w:hAnsi="Times New Roman" w:cs="Times New Roman"/>
                      <w:color w:val="000000"/>
                      <w:sz w:val="21"/>
                      <w:szCs w:val="21"/>
                    </w:rPr>
                    <w:t>严格实施雨污分流体制。</w:t>
                  </w:r>
                </w:p>
                <w:p>
                  <w:pPr>
                    <w:snapToGrid w:val="0"/>
                    <w:spacing w:line="240" w:lineRule="atLeast"/>
                    <w:contextualSpacing/>
                    <w:rPr>
                      <w:rFonts w:ascii="Times New Roman" w:hAnsi="Times New Roman" w:cs="Times New Roman"/>
                      <w:color w:val="000000"/>
                      <w:sz w:val="21"/>
                      <w:szCs w:val="21"/>
                    </w:rPr>
                  </w:pPr>
                  <w:r>
                    <w:rPr>
                      <w:rFonts w:ascii="Times New Roman" w:hAnsi="Times New Roman" w:cs="Times New Roman"/>
                      <w:color w:val="000000"/>
                      <w:sz w:val="21"/>
                      <w:szCs w:val="21"/>
                    </w:rPr>
                    <w:t>雨水：项目区产生的雨水通过项目区的雨水沟排入园区雨水管网。</w:t>
                  </w:r>
                </w:p>
                <w:p>
                  <w:pPr>
                    <w:pStyle w:val="47"/>
                    <w:jc w:val="both"/>
                    <w:rPr>
                      <w:b w:val="0"/>
                      <w:bCs w:val="0"/>
                      <w:color w:val="auto"/>
                    </w:rPr>
                  </w:pPr>
                  <w:r>
                    <w:rPr>
                      <w:b w:val="0"/>
                      <w:bCs w:val="0"/>
                    </w:rPr>
                    <w:t>污水：项目无生产废水产生，冷却水循环使用不外排，本项目生活废水依托云南俊腾达房地产开发有限公司化粪池处理后，</w:t>
                  </w:r>
                  <w:r>
                    <w:rPr>
                      <w:b w:val="0"/>
                      <w:bCs w:val="0"/>
                      <w:szCs w:val="28"/>
                    </w:rPr>
                    <w:t>排入</w:t>
                  </w:r>
                  <w:r>
                    <w:rPr>
                      <w:b w:val="0"/>
                      <w:bCs w:val="0"/>
                    </w:rPr>
                    <w:t>云南俊腾达房地产开发有限公司</w:t>
                  </w:r>
                  <w:r>
                    <w:rPr>
                      <w:b w:val="0"/>
                      <w:bCs w:val="0"/>
                      <w:szCs w:val="28"/>
                    </w:rPr>
                    <w:t>自建的150m</w:t>
                  </w:r>
                  <w:r>
                    <w:rPr>
                      <w:b w:val="0"/>
                      <w:bCs w:val="0"/>
                      <w:szCs w:val="28"/>
                      <w:vertAlign w:val="superscript"/>
                    </w:rPr>
                    <w:t>3</w:t>
                  </w:r>
                  <w:r>
                    <w:rPr>
                      <w:b w:val="0"/>
                      <w:bCs w:val="0"/>
                      <w:szCs w:val="28"/>
                    </w:rPr>
                    <w:t>/d的</w:t>
                  </w:r>
                  <w:r>
                    <w:rPr>
                      <w:rFonts w:hint="eastAsia"/>
                      <w:b w:val="0"/>
                      <w:bCs w:val="0"/>
                      <w:szCs w:val="28"/>
                      <w:lang w:val="en-US" w:eastAsia="zh-CN"/>
                    </w:rPr>
                    <w:t>中水处理</w:t>
                  </w:r>
                  <w:r>
                    <w:rPr>
                      <w:b w:val="0"/>
                      <w:bCs w:val="0"/>
                      <w:szCs w:val="28"/>
                    </w:rPr>
                    <w:t>站进行处理，</w:t>
                  </w:r>
                  <w:r>
                    <w:rPr>
                      <w:rFonts w:hint="eastAsia"/>
                      <w:b w:val="0"/>
                      <w:bCs w:val="0"/>
                      <w:szCs w:val="28"/>
                    </w:rPr>
                    <w:t>优先</w:t>
                  </w:r>
                  <w:r>
                    <w:rPr>
                      <w:b w:val="0"/>
                      <w:bCs w:val="0"/>
                      <w:szCs w:val="28"/>
                    </w:rPr>
                    <w:t>回用于</w:t>
                  </w:r>
                  <w:r>
                    <w:rPr>
                      <w:b w:val="0"/>
                      <w:bCs w:val="0"/>
                    </w:rPr>
                    <w:t>云南俊腾达房地产开发有限公司厂区内道路浇水及绿化</w:t>
                  </w:r>
                  <w:r>
                    <w:rPr>
                      <w:rFonts w:hint="eastAsia"/>
                      <w:b w:val="0"/>
                      <w:bCs w:val="0"/>
                    </w:rPr>
                    <w:t>，不能回用部分</w:t>
                  </w:r>
                  <w:r>
                    <w:rPr>
                      <w:rFonts w:hint="eastAsia"/>
                      <w:b w:val="0"/>
                      <w:color w:val="000000" w:themeColor="text1"/>
                      <w:spacing w:val="-6"/>
                      <w14:textFill>
                        <w14:solidFill>
                          <w14:schemeClr w14:val="tx1"/>
                        </w14:solidFill>
                      </w14:textFill>
                    </w:rPr>
                    <w:t>，排入园区污水管网，最终进入淤泥河水质净化厂处理</w:t>
                  </w:r>
                  <w:r>
                    <w:rPr>
                      <w:b w:val="0"/>
                    </w:rPr>
                    <w:t>。</w:t>
                  </w:r>
                </w:p>
              </w:tc>
              <w:tc>
                <w:tcPr>
                  <w:tcW w:w="417" w:type="pct"/>
                  <w:tcBorders>
                    <w:tl2br w:val="nil"/>
                    <w:tr2bl w:val="nil"/>
                  </w:tcBorders>
                  <w:vAlign w:val="center"/>
                </w:tcPr>
                <w:p>
                  <w:pPr>
                    <w:pStyle w:val="47"/>
                    <w:rPr>
                      <w:b w:val="0"/>
                      <w:bCs w:val="0"/>
                      <w:color w:val="auto"/>
                    </w:rPr>
                  </w:pPr>
                  <w:r>
                    <w:rPr>
                      <w:b w:val="0"/>
                      <w:bCs w:val="0"/>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3"/>
                  <w:tcBorders>
                    <w:tl2br w:val="nil"/>
                    <w:tr2bl w:val="nil"/>
                  </w:tcBorders>
                  <w:vAlign w:val="center"/>
                </w:tcPr>
                <w:p>
                  <w:pPr>
                    <w:pStyle w:val="47"/>
                    <w:rPr>
                      <w:b w:val="0"/>
                      <w:bCs w:val="0"/>
                      <w:color w:val="auto"/>
                    </w:rPr>
                  </w:pPr>
                  <w:r>
                    <w:rPr>
                      <w:b w:val="0"/>
                      <w:bCs w:val="0"/>
                      <w:color w:val="auto"/>
                    </w:rPr>
                    <w:t>供电</w:t>
                  </w:r>
                </w:p>
              </w:tc>
              <w:tc>
                <w:tcPr>
                  <w:tcW w:w="2584" w:type="pct"/>
                  <w:tcBorders>
                    <w:tl2br w:val="nil"/>
                    <w:tr2bl w:val="nil"/>
                  </w:tcBorders>
                  <w:vAlign w:val="center"/>
                </w:tcPr>
                <w:p>
                  <w:pPr>
                    <w:pStyle w:val="47"/>
                    <w:jc w:val="both"/>
                    <w:rPr>
                      <w:b w:val="0"/>
                      <w:bCs w:val="0"/>
                      <w:color w:val="auto"/>
                    </w:rPr>
                  </w:pPr>
                  <w:r>
                    <w:rPr>
                      <w:b w:val="0"/>
                      <w:bCs w:val="0"/>
                      <w:color w:val="auto"/>
                    </w:rPr>
                    <w:t>市政供电。</w:t>
                  </w:r>
                </w:p>
              </w:tc>
              <w:tc>
                <w:tcPr>
                  <w:tcW w:w="417" w:type="pct"/>
                  <w:tcBorders>
                    <w:tl2br w:val="nil"/>
                    <w:tr2bl w:val="nil"/>
                  </w:tcBorders>
                  <w:vAlign w:val="center"/>
                </w:tcPr>
                <w:p>
                  <w:pPr>
                    <w:pStyle w:val="47"/>
                    <w:rPr>
                      <w:b w:val="0"/>
                      <w:bCs w:val="0"/>
                      <w:color w:val="auto"/>
                    </w:rPr>
                  </w:pPr>
                  <w:r>
                    <w:rPr>
                      <w:b w:val="0"/>
                      <w:bCs w:val="0"/>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restart"/>
                  <w:tcBorders>
                    <w:tl2br w:val="nil"/>
                    <w:tr2bl w:val="nil"/>
                  </w:tcBorders>
                  <w:vAlign w:val="center"/>
                </w:tcPr>
                <w:p>
                  <w:pPr>
                    <w:pStyle w:val="47"/>
                    <w:rPr>
                      <w:b w:val="0"/>
                      <w:bCs w:val="0"/>
                      <w:color w:val="auto"/>
                    </w:rPr>
                  </w:pPr>
                  <w:r>
                    <w:rPr>
                      <w:b w:val="0"/>
                      <w:bCs w:val="0"/>
                      <w:color w:val="auto"/>
                    </w:rPr>
                    <w:t>环保工程</w:t>
                  </w:r>
                </w:p>
              </w:tc>
              <w:tc>
                <w:tcPr>
                  <w:tcW w:w="815" w:type="pct"/>
                  <w:gridSpan w:val="2"/>
                  <w:vMerge w:val="restart"/>
                  <w:tcBorders>
                    <w:tl2br w:val="nil"/>
                    <w:tr2bl w:val="nil"/>
                  </w:tcBorders>
                  <w:vAlign w:val="center"/>
                </w:tcPr>
                <w:p>
                  <w:pPr>
                    <w:pStyle w:val="43"/>
                    <w:rPr>
                      <w:rFonts w:cs="Times New Roman"/>
                      <w:szCs w:val="21"/>
                      <w:lang w:val="en-US"/>
                    </w:rPr>
                  </w:pPr>
                  <w:r>
                    <w:rPr>
                      <w:rFonts w:cs="Times New Roman"/>
                      <w:szCs w:val="21"/>
                      <w:lang w:val="en-US"/>
                    </w:rPr>
                    <w:t>废水</w:t>
                  </w:r>
                </w:p>
              </w:tc>
              <w:tc>
                <w:tcPr>
                  <w:tcW w:w="795" w:type="pct"/>
                  <w:tcBorders>
                    <w:tl2br w:val="nil"/>
                    <w:tr2bl w:val="nil"/>
                  </w:tcBorders>
                  <w:vAlign w:val="center"/>
                </w:tcPr>
                <w:p>
                  <w:pPr>
                    <w:pStyle w:val="43"/>
                    <w:rPr>
                      <w:rFonts w:cs="Times New Roman"/>
                      <w:szCs w:val="21"/>
                    </w:rPr>
                  </w:pPr>
                  <w:r>
                    <w:rPr>
                      <w:rFonts w:cs="Times New Roman"/>
                      <w:szCs w:val="21"/>
                    </w:rPr>
                    <w:t>化粪池</w:t>
                  </w:r>
                </w:p>
              </w:tc>
              <w:tc>
                <w:tcPr>
                  <w:tcW w:w="2584" w:type="pct"/>
                  <w:tcBorders>
                    <w:tl2br w:val="nil"/>
                    <w:tr2bl w:val="nil"/>
                  </w:tcBorders>
                  <w:vAlign w:val="center"/>
                </w:tcPr>
                <w:p>
                  <w:pPr>
                    <w:pStyle w:val="47"/>
                    <w:jc w:val="both"/>
                    <w:rPr>
                      <w:b w:val="0"/>
                      <w:bCs w:val="0"/>
                      <w:color w:val="auto"/>
                    </w:rPr>
                  </w:pPr>
                  <w:r>
                    <w:rPr>
                      <w:b w:val="0"/>
                      <w:bCs w:val="0"/>
                      <w:color w:val="auto"/>
                    </w:rPr>
                    <w:t>本项目依</w:t>
                  </w:r>
                  <w:r>
                    <w:rPr>
                      <w:b w:val="0"/>
                      <w:bCs w:val="0"/>
                      <w:color w:val="000000" w:themeColor="text1"/>
                      <w14:textFill>
                        <w14:solidFill>
                          <w14:schemeClr w14:val="tx1"/>
                        </w14:solidFill>
                      </w14:textFill>
                    </w:rPr>
                    <w:t>托云南俊腾达房地产开发有限公司化粪池，容积约为50m</w:t>
                  </w:r>
                  <w:r>
                    <w:rPr>
                      <w:b w:val="0"/>
                      <w:bCs w:val="0"/>
                      <w:color w:val="000000" w:themeColor="text1"/>
                      <w:vertAlign w:val="superscript"/>
                      <w14:textFill>
                        <w14:solidFill>
                          <w14:schemeClr w14:val="tx1"/>
                        </w14:solidFill>
                      </w14:textFill>
                    </w:rPr>
                    <w:t>3</w:t>
                  </w:r>
                  <w:r>
                    <w:rPr>
                      <w:b w:val="0"/>
                      <w:bCs w:val="0"/>
                      <w:color w:val="000000" w:themeColor="text1"/>
                      <w14:textFill>
                        <w14:solidFill>
                          <w14:schemeClr w14:val="tx1"/>
                        </w14:solidFill>
                      </w14:textFill>
                    </w:rPr>
                    <w:t>，位于项目区南侧。</w:t>
                  </w:r>
                </w:p>
              </w:tc>
              <w:tc>
                <w:tcPr>
                  <w:tcW w:w="417" w:type="pct"/>
                  <w:tcBorders>
                    <w:tl2br w:val="nil"/>
                    <w:tr2bl w:val="nil"/>
                  </w:tcBorders>
                  <w:vAlign w:val="center"/>
                </w:tcPr>
                <w:p>
                  <w:pPr>
                    <w:pStyle w:val="47"/>
                    <w:rPr>
                      <w:b w:val="0"/>
                      <w:bCs w:val="0"/>
                      <w:color w:val="auto"/>
                    </w:rPr>
                  </w:pPr>
                  <w:r>
                    <w:rPr>
                      <w:b w:val="0"/>
                      <w:bCs w:val="0"/>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2"/>
                  <w:vMerge w:val="continue"/>
                  <w:tcBorders>
                    <w:tl2br w:val="nil"/>
                    <w:tr2bl w:val="nil"/>
                  </w:tcBorders>
                  <w:vAlign w:val="center"/>
                </w:tcPr>
                <w:p>
                  <w:pPr>
                    <w:pStyle w:val="43"/>
                    <w:rPr>
                      <w:rFonts w:cs="Times New Roman"/>
                      <w:szCs w:val="21"/>
                    </w:rPr>
                  </w:pPr>
                </w:p>
              </w:tc>
              <w:tc>
                <w:tcPr>
                  <w:tcW w:w="795" w:type="pct"/>
                  <w:tcBorders>
                    <w:tl2br w:val="nil"/>
                    <w:tr2bl w:val="nil"/>
                  </w:tcBorders>
                  <w:vAlign w:val="center"/>
                </w:tcPr>
                <w:p>
                  <w:pPr>
                    <w:pStyle w:val="43"/>
                    <w:rPr>
                      <w:rFonts w:hint="eastAsia" w:eastAsia="宋体" w:cs="Times New Roman"/>
                      <w:szCs w:val="21"/>
                      <w:lang w:val="en-US" w:eastAsia="zh-CN"/>
                    </w:rPr>
                  </w:pPr>
                  <w:r>
                    <w:rPr>
                      <w:rFonts w:cs="Times New Roman"/>
                      <w:szCs w:val="21"/>
                    </w:rPr>
                    <w:t>冷却循环水</w:t>
                  </w:r>
                </w:p>
              </w:tc>
              <w:tc>
                <w:tcPr>
                  <w:tcW w:w="2584" w:type="pct"/>
                  <w:tcBorders>
                    <w:tl2br w:val="nil"/>
                    <w:tr2bl w:val="nil"/>
                  </w:tcBorders>
                  <w:vAlign w:val="center"/>
                </w:tcPr>
                <w:p>
                  <w:pPr>
                    <w:pStyle w:val="47"/>
                    <w:jc w:val="both"/>
                    <w:rPr>
                      <w:b w:val="0"/>
                      <w:bCs w:val="0"/>
                      <w:color w:val="auto"/>
                    </w:rPr>
                  </w:pPr>
                  <w:r>
                    <w:rPr>
                      <w:b w:val="0"/>
                      <w:bCs w:val="0"/>
                      <w:color w:val="auto"/>
                    </w:rPr>
                    <w:t>厂区设置1个循环水池，位于厂房外侧的北部，容积约29m</w:t>
                  </w:r>
                  <w:r>
                    <w:rPr>
                      <w:b w:val="0"/>
                      <w:bCs w:val="0"/>
                      <w:color w:val="auto"/>
                      <w:vertAlign w:val="superscript"/>
                    </w:rPr>
                    <w:t>3</w:t>
                  </w:r>
                  <w:r>
                    <w:rPr>
                      <w:b w:val="0"/>
                      <w:bCs w:val="0"/>
                      <w:color w:val="auto"/>
                    </w:rPr>
                    <w:t>，冷却水用于食品用包装容器注塑工段</w:t>
                  </w:r>
                  <w:r>
                    <w:rPr>
                      <w:rFonts w:hint="eastAsia"/>
                      <w:b w:val="0"/>
                      <w:bCs w:val="0"/>
                      <w:color w:val="auto"/>
                    </w:rPr>
                    <w:t>及</w:t>
                  </w:r>
                  <w:r>
                    <w:rPr>
                      <w:b w:val="0"/>
                      <w:bCs w:val="0"/>
                      <w:color w:val="auto"/>
                    </w:rPr>
                    <w:t>食品用包装容器挤出线</w:t>
                  </w:r>
                  <w:r>
                    <w:rPr>
                      <w:rFonts w:hint="eastAsia"/>
                      <w:b w:val="0"/>
                      <w:bCs w:val="0"/>
                      <w:color w:val="auto"/>
                    </w:rPr>
                    <w:t>挤出</w:t>
                  </w:r>
                  <w:r>
                    <w:rPr>
                      <w:b w:val="0"/>
                      <w:bCs w:val="0"/>
                      <w:color w:val="auto"/>
                    </w:rPr>
                    <w:t>工段。</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2"/>
                  <w:vMerge w:val="continue"/>
                  <w:tcBorders>
                    <w:tl2br w:val="nil"/>
                    <w:tr2bl w:val="nil"/>
                  </w:tcBorders>
                  <w:vAlign w:val="center"/>
                </w:tcPr>
                <w:p>
                  <w:pPr>
                    <w:pStyle w:val="43"/>
                    <w:rPr>
                      <w:rFonts w:cs="Times New Roman"/>
                      <w:szCs w:val="21"/>
                    </w:rPr>
                  </w:pPr>
                </w:p>
              </w:tc>
              <w:tc>
                <w:tcPr>
                  <w:tcW w:w="795" w:type="pct"/>
                  <w:tcBorders>
                    <w:tl2br w:val="nil"/>
                    <w:tr2bl w:val="nil"/>
                  </w:tcBorders>
                  <w:vAlign w:val="center"/>
                </w:tcPr>
                <w:p>
                  <w:pPr>
                    <w:pStyle w:val="43"/>
                    <w:rPr>
                      <w:rFonts w:cs="Times New Roman"/>
                      <w:szCs w:val="21"/>
                      <w:lang w:val="en-US"/>
                    </w:rPr>
                  </w:pPr>
                  <w:r>
                    <w:rPr>
                      <w:rFonts w:cs="Times New Roman"/>
                      <w:szCs w:val="21"/>
                      <w:lang w:val="en-US"/>
                    </w:rPr>
                    <w:t>智能冷水机</w:t>
                  </w:r>
                </w:p>
              </w:tc>
              <w:tc>
                <w:tcPr>
                  <w:tcW w:w="2584" w:type="pct"/>
                  <w:tcBorders>
                    <w:tl2br w:val="nil"/>
                    <w:tr2bl w:val="nil"/>
                  </w:tcBorders>
                  <w:vAlign w:val="center"/>
                </w:tcPr>
                <w:p>
                  <w:pPr>
                    <w:pStyle w:val="47"/>
                    <w:jc w:val="both"/>
                    <w:rPr>
                      <w:b w:val="0"/>
                      <w:bCs w:val="0"/>
                      <w:color w:val="auto"/>
                    </w:rPr>
                  </w:pPr>
                  <w:r>
                    <w:rPr>
                      <w:b w:val="0"/>
                      <w:bCs w:val="0"/>
                      <w:color w:val="auto"/>
                    </w:rPr>
                    <w:t>厂区内设置7个智能冷水机，位于厂房内北部，1个容积约为0.13m</w:t>
                  </w:r>
                  <w:r>
                    <w:rPr>
                      <w:b w:val="0"/>
                      <w:bCs w:val="0"/>
                      <w:color w:val="auto"/>
                      <w:vertAlign w:val="superscript"/>
                    </w:rPr>
                    <w:t>3</w:t>
                  </w:r>
                  <w:r>
                    <w:rPr>
                      <w:b w:val="0"/>
                      <w:bCs w:val="0"/>
                      <w:color w:val="auto"/>
                    </w:rPr>
                    <w:t>，智能冷水机主要用于冷却食品用包装容器</w:t>
                  </w:r>
                  <w:r>
                    <w:rPr>
                      <w:rFonts w:hint="eastAsia"/>
                      <w:b w:val="0"/>
                      <w:bCs w:val="0"/>
                      <w:color w:val="auto"/>
                    </w:rPr>
                    <w:t>冷却定型工序</w:t>
                  </w:r>
                  <w:r>
                    <w:rPr>
                      <w:b w:val="0"/>
                      <w:bCs w:val="0"/>
                      <w:color w:val="auto"/>
                    </w:rPr>
                    <w:t>。</w:t>
                  </w:r>
                </w:p>
              </w:tc>
              <w:tc>
                <w:tcPr>
                  <w:tcW w:w="417" w:type="pct"/>
                  <w:tcBorders>
                    <w:tl2br w:val="nil"/>
                    <w:tr2bl w:val="nil"/>
                  </w:tcBorders>
                  <w:vAlign w:val="center"/>
                </w:tcPr>
                <w:p>
                  <w:pPr>
                    <w:pStyle w:val="47"/>
                    <w:rPr>
                      <w:rFonts w:hint="eastAsia" w:eastAsia="宋体"/>
                      <w:b w:val="0"/>
                      <w:bCs w:val="0"/>
                      <w:color w:val="auto"/>
                      <w:lang w:val="en-US" w:eastAsia="zh-CN"/>
                    </w:rPr>
                  </w:pPr>
                  <w:r>
                    <w:rPr>
                      <w:rFonts w:hint="eastAsia"/>
                      <w:b w:val="0"/>
                      <w:bCs w:val="0"/>
                      <w:color w:val="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387" w:type="pct"/>
                  <w:vMerge w:val="continue"/>
                  <w:tcBorders>
                    <w:tl2br w:val="nil"/>
                    <w:tr2bl w:val="nil"/>
                  </w:tcBorders>
                  <w:vAlign w:val="center"/>
                </w:tcPr>
                <w:p>
                  <w:pPr>
                    <w:pStyle w:val="47"/>
                    <w:rPr>
                      <w:b w:val="0"/>
                      <w:bCs w:val="0"/>
                      <w:color w:val="auto"/>
                    </w:rPr>
                  </w:pPr>
                </w:p>
              </w:tc>
              <w:tc>
                <w:tcPr>
                  <w:tcW w:w="815" w:type="pct"/>
                  <w:gridSpan w:val="2"/>
                  <w:vMerge w:val="restart"/>
                  <w:tcBorders>
                    <w:tl2br w:val="nil"/>
                    <w:tr2bl w:val="nil"/>
                  </w:tcBorders>
                  <w:vAlign w:val="center"/>
                </w:tcPr>
                <w:p>
                  <w:pPr>
                    <w:pStyle w:val="43"/>
                    <w:rPr>
                      <w:rFonts w:cs="Times New Roman"/>
                      <w:szCs w:val="21"/>
                      <w:lang w:val="en-US"/>
                    </w:rPr>
                  </w:pPr>
                  <w:r>
                    <w:rPr>
                      <w:rFonts w:cs="Times New Roman"/>
                      <w:szCs w:val="21"/>
                      <w:lang w:val="en-US"/>
                    </w:rPr>
                    <w:t>废气</w:t>
                  </w:r>
                </w:p>
              </w:tc>
              <w:tc>
                <w:tcPr>
                  <w:tcW w:w="795" w:type="pct"/>
                  <w:tcBorders>
                    <w:tl2br w:val="nil"/>
                    <w:tr2bl w:val="nil"/>
                  </w:tcBorders>
                  <w:vAlign w:val="center"/>
                </w:tcPr>
                <w:p>
                  <w:pPr>
                    <w:pStyle w:val="43"/>
                    <w:rPr>
                      <w:rFonts w:cs="Times New Roman"/>
                      <w:szCs w:val="21"/>
                      <w:lang w:val="en-US"/>
                    </w:rPr>
                  </w:pPr>
                  <w:r>
                    <w:rPr>
                      <w:rFonts w:cs="Times New Roman"/>
                      <w:lang w:val="en-US"/>
                    </w:rPr>
                    <w:t>食品用包装容器挤出废气</w:t>
                  </w:r>
                </w:p>
              </w:tc>
              <w:tc>
                <w:tcPr>
                  <w:tcW w:w="2587" w:type="pct"/>
                  <w:tcBorders>
                    <w:tl2br w:val="nil"/>
                    <w:tr2bl w:val="nil"/>
                  </w:tcBorders>
                  <w:vAlign w:val="center"/>
                </w:tcPr>
                <w:p>
                  <w:pPr>
                    <w:pStyle w:val="47"/>
                    <w:jc w:val="both"/>
                    <w:rPr>
                      <w:b w:val="0"/>
                      <w:bCs w:val="0"/>
                      <w:color w:val="auto"/>
                    </w:rPr>
                  </w:pPr>
                  <w:r>
                    <w:rPr>
                      <w:b w:val="0"/>
                    </w:rPr>
                    <w:t>本项目建设7条</w:t>
                  </w:r>
                  <w:r>
                    <w:rPr>
                      <w:b w:val="0"/>
                      <w:bCs w:val="0"/>
                      <w:color w:val="auto"/>
                    </w:rPr>
                    <w:t>食品用包装容器挤出</w:t>
                  </w:r>
                  <w:r>
                    <w:rPr>
                      <w:b w:val="0"/>
                    </w:rPr>
                    <w:t>生产线，拟在</w:t>
                  </w:r>
                  <w:r>
                    <w:rPr>
                      <w:b w:val="0"/>
                      <w:bCs w:val="0"/>
                      <w:color w:val="auto"/>
                    </w:rPr>
                    <w:t>食品用包装容器</w:t>
                  </w:r>
                  <w:r>
                    <w:rPr>
                      <w:b w:val="0"/>
                    </w:rPr>
                    <w:t>挤出区上方各设置1套集气罩收集后经一套“UV光氧</w:t>
                  </w:r>
                  <w:r>
                    <w:rPr>
                      <w:rFonts w:hint="eastAsia"/>
                      <w:b w:val="0"/>
                      <w:lang w:val="en-US" w:eastAsia="zh-CN"/>
                    </w:rPr>
                    <w:t>催化</w:t>
                  </w:r>
                  <w:r>
                    <w:rPr>
                      <w:b w:val="0"/>
                    </w:rPr>
                    <w:t>+活性炭吸附装置”处理后通过30m（1#）排气筒排放；</w:t>
                  </w:r>
                </w:p>
              </w:tc>
              <w:tc>
                <w:tcPr>
                  <w:tcW w:w="414" w:type="pct"/>
                  <w:vMerge w:val="restar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387" w:type="pct"/>
                  <w:vMerge w:val="continue"/>
                  <w:tcBorders>
                    <w:tl2br w:val="nil"/>
                    <w:tr2bl w:val="nil"/>
                  </w:tcBorders>
                  <w:vAlign w:val="center"/>
                </w:tcPr>
                <w:p>
                  <w:pPr>
                    <w:pStyle w:val="47"/>
                    <w:rPr>
                      <w:b w:val="0"/>
                      <w:bCs w:val="0"/>
                      <w:color w:val="auto"/>
                    </w:rPr>
                  </w:pPr>
                </w:p>
              </w:tc>
              <w:tc>
                <w:tcPr>
                  <w:tcW w:w="815" w:type="pct"/>
                  <w:gridSpan w:val="2"/>
                  <w:vMerge w:val="continue"/>
                  <w:tcBorders>
                    <w:tl2br w:val="nil"/>
                    <w:tr2bl w:val="nil"/>
                  </w:tcBorders>
                  <w:vAlign w:val="center"/>
                </w:tcPr>
                <w:p>
                  <w:pPr>
                    <w:pStyle w:val="43"/>
                    <w:rPr>
                      <w:rFonts w:cs="Times New Roman"/>
                      <w:szCs w:val="21"/>
                      <w:lang w:val="en-US"/>
                    </w:rPr>
                  </w:pPr>
                </w:p>
              </w:tc>
              <w:tc>
                <w:tcPr>
                  <w:tcW w:w="795" w:type="pct"/>
                  <w:tcBorders>
                    <w:tl2br w:val="nil"/>
                    <w:tr2bl w:val="nil"/>
                  </w:tcBorders>
                  <w:vAlign w:val="center"/>
                </w:tcPr>
                <w:p>
                  <w:pPr>
                    <w:pStyle w:val="43"/>
                    <w:rPr>
                      <w:rFonts w:cs="Times New Roman"/>
                      <w:szCs w:val="21"/>
                    </w:rPr>
                  </w:pPr>
                  <w:r>
                    <w:rPr>
                      <w:rFonts w:cs="Times New Roman"/>
                      <w:lang w:val="en-US"/>
                    </w:rPr>
                    <w:t>食品用包装容器注塑废气</w:t>
                  </w:r>
                </w:p>
              </w:tc>
              <w:tc>
                <w:tcPr>
                  <w:tcW w:w="2587" w:type="pct"/>
                  <w:tcBorders>
                    <w:tl2br w:val="nil"/>
                    <w:tr2bl w:val="nil"/>
                  </w:tcBorders>
                  <w:vAlign w:val="center"/>
                </w:tcPr>
                <w:p>
                  <w:pPr>
                    <w:pStyle w:val="47"/>
                    <w:jc w:val="both"/>
                    <w:rPr>
                      <w:b w:val="0"/>
                      <w:bCs w:val="0"/>
                      <w:color w:val="auto"/>
                    </w:rPr>
                  </w:pPr>
                  <w:r>
                    <w:rPr>
                      <w:b w:val="0"/>
                    </w:rPr>
                    <w:t>本项目建设4条</w:t>
                  </w:r>
                  <w:r>
                    <w:rPr>
                      <w:b w:val="0"/>
                      <w:bCs w:val="0"/>
                      <w:color w:val="auto"/>
                    </w:rPr>
                    <w:t>食品用包装容器注塑</w:t>
                  </w:r>
                  <w:r>
                    <w:rPr>
                      <w:b w:val="0"/>
                    </w:rPr>
                    <w:t>生产线，拟在</w:t>
                  </w:r>
                  <w:r>
                    <w:rPr>
                      <w:b w:val="0"/>
                      <w:bCs w:val="0"/>
                      <w:color w:val="auto"/>
                    </w:rPr>
                    <w:t>食品用包装容器</w:t>
                  </w:r>
                  <w:r>
                    <w:rPr>
                      <w:b w:val="0"/>
                    </w:rPr>
                    <w:t>注塑机上方各设置1套集气罩收集后经一套“UV光氧</w:t>
                  </w:r>
                  <w:r>
                    <w:rPr>
                      <w:rFonts w:hint="eastAsia"/>
                      <w:b w:val="0"/>
                      <w:lang w:val="en-US" w:eastAsia="zh-CN"/>
                    </w:rPr>
                    <w:t>催化</w:t>
                  </w:r>
                  <w:r>
                    <w:rPr>
                      <w:b w:val="0"/>
                    </w:rPr>
                    <w:t>+活性炭吸附装置”处理后通过30m（2#）排气筒排放；</w:t>
                  </w: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2"/>
                  <w:vMerge w:val="continue"/>
                  <w:tcBorders>
                    <w:tl2br w:val="nil"/>
                    <w:tr2bl w:val="nil"/>
                  </w:tcBorders>
                  <w:vAlign w:val="center"/>
                </w:tcPr>
                <w:p>
                  <w:pPr>
                    <w:pStyle w:val="43"/>
                    <w:rPr>
                      <w:rFonts w:cs="Times New Roman"/>
                      <w:szCs w:val="21"/>
                    </w:rPr>
                  </w:pPr>
                </w:p>
              </w:tc>
              <w:tc>
                <w:tcPr>
                  <w:tcW w:w="795" w:type="pct"/>
                  <w:tcBorders>
                    <w:tl2br w:val="nil"/>
                    <w:tr2bl w:val="nil"/>
                  </w:tcBorders>
                  <w:vAlign w:val="center"/>
                </w:tcPr>
                <w:p>
                  <w:pPr>
                    <w:pStyle w:val="43"/>
                    <w:rPr>
                      <w:rFonts w:cs="Times New Roman"/>
                      <w:szCs w:val="21"/>
                      <w:lang w:val="en-US"/>
                    </w:rPr>
                  </w:pPr>
                  <w:r>
                    <w:rPr>
                      <w:rFonts w:cs="Times New Roman"/>
                      <w:szCs w:val="21"/>
                      <w:lang w:val="en-US"/>
                    </w:rPr>
                    <w:t>破碎粉尘</w:t>
                  </w:r>
                </w:p>
              </w:tc>
              <w:tc>
                <w:tcPr>
                  <w:tcW w:w="2587" w:type="pct"/>
                  <w:tcBorders>
                    <w:tl2br w:val="nil"/>
                    <w:tr2bl w:val="nil"/>
                  </w:tcBorders>
                  <w:vAlign w:val="center"/>
                </w:tcPr>
                <w:p>
                  <w:pPr>
                    <w:pStyle w:val="47"/>
                    <w:jc w:val="both"/>
                    <w:rPr>
                      <w:b w:val="0"/>
                      <w:bCs w:val="0"/>
                      <w:color w:val="auto"/>
                    </w:rPr>
                  </w:pPr>
                  <w:r>
                    <w:rPr>
                      <w:b w:val="0"/>
                    </w:rPr>
                    <w:t>项目7条</w:t>
                  </w:r>
                  <w:r>
                    <w:rPr>
                      <w:b w:val="0"/>
                      <w:bCs w:val="0"/>
                      <w:color w:val="auto"/>
                    </w:rPr>
                    <w:t>食品用包装容器挤出</w:t>
                  </w:r>
                  <w:r>
                    <w:rPr>
                      <w:b w:val="0"/>
                    </w:rPr>
                    <w:t>生产线4条</w:t>
                  </w:r>
                  <w:r>
                    <w:rPr>
                      <w:b w:val="0"/>
                      <w:bCs w:val="0"/>
                      <w:color w:val="auto"/>
                    </w:rPr>
                    <w:t>食品用包装容器注塑</w:t>
                  </w:r>
                  <w:r>
                    <w:rPr>
                      <w:b w:val="0"/>
                    </w:rPr>
                    <w:t>生产线</w:t>
                  </w:r>
                  <w:r>
                    <w:rPr>
                      <w:b w:val="0"/>
                      <w:bCs w:val="0"/>
                      <w:color w:val="auto"/>
                    </w:rPr>
                    <w:t>不合格产品及边角料需进行破碎处理后</w:t>
                  </w:r>
                  <w:r>
                    <w:rPr>
                      <w:rStyle w:val="37"/>
                      <w:rFonts w:hint="eastAsia"/>
                      <w:b w:val="0"/>
                      <w:bCs w:val="0"/>
                      <w:color w:val="auto"/>
                      <w:szCs w:val="20"/>
                      <w:lang w:bidi="zh-CN"/>
                    </w:rPr>
                    <w:t>收集</w:t>
                  </w:r>
                  <w:r>
                    <w:rPr>
                      <w:rFonts w:hint="eastAsia"/>
                      <w:b w:val="0"/>
                      <w:bCs w:val="0"/>
                      <w:color w:val="auto"/>
                    </w:rPr>
                    <w:t>存放于一般固废暂存间，由原辅料厂家进行回收</w:t>
                  </w:r>
                  <w:r>
                    <w:rPr>
                      <w:b w:val="0"/>
                      <w:bCs w:val="0"/>
                    </w:rPr>
                    <w:t>，拟在破碎区上方设置1套集气罩收集后经一套“布袋除尘”处理</w:t>
                  </w:r>
                  <w:r>
                    <w:rPr>
                      <w:b w:val="0"/>
                    </w:rPr>
                    <w:t>后通过30m（3#）排气筒排放；</w:t>
                  </w: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2"/>
                  <w:vMerge w:val="restart"/>
                  <w:tcBorders>
                    <w:tl2br w:val="nil"/>
                    <w:tr2bl w:val="nil"/>
                  </w:tcBorders>
                  <w:vAlign w:val="center"/>
                </w:tcPr>
                <w:p>
                  <w:pPr>
                    <w:pStyle w:val="43"/>
                    <w:rPr>
                      <w:rFonts w:cs="Times New Roman"/>
                      <w:szCs w:val="21"/>
                    </w:rPr>
                  </w:pPr>
                  <w:r>
                    <w:rPr>
                      <w:rFonts w:cs="Times New Roman"/>
                      <w:szCs w:val="21"/>
                    </w:rPr>
                    <w:t>固废</w:t>
                  </w:r>
                </w:p>
              </w:tc>
              <w:tc>
                <w:tcPr>
                  <w:tcW w:w="795" w:type="pct"/>
                  <w:tcBorders>
                    <w:tl2br w:val="nil"/>
                    <w:tr2bl w:val="nil"/>
                  </w:tcBorders>
                  <w:vAlign w:val="center"/>
                </w:tcPr>
                <w:p>
                  <w:pPr>
                    <w:pStyle w:val="43"/>
                    <w:rPr>
                      <w:rFonts w:cs="Times New Roman"/>
                      <w:szCs w:val="21"/>
                    </w:rPr>
                  </w:pPr>
                  <w:r>
                    <w:rPr>
                      <w:rFonts w:cs="Times New Roman"/>
                      <w:szCs w:val="21"/>
                    </w:rPr>
                    <w:t>一般固废收集间</w:t>
                  </w:r>
                </w:p>
              </w:tc>
              <w:tc>
                <w:tcPr>
                  <w:tcW w:w="2584" w:type="pct"/>
                  <w:tcBorders>
                    <w:tl2br w:val="nil"/>
                    <w:tr2bl w:val="nil"/>
                  </w:tcBorders>
                  <w:vAlign w:val="center"/>
                </w:tcPr>
                <w:p>
                  <w:pPr>
                    <w:pStyle w:val="47"/>
                    <w:jc w:val="both"/>
                    <w:rPr>
                      <w:b w:val="0"/>
                      <w:bCs w:val="0"/>
                      <w:color w:val="0000FF"/>
                    </w:rPr>
                  </w:pPr>
                  <w:r>
                    <w:rPr>
                      <w:b w:val="0"/>
                      <w:bCs w:val="0"/>
                      <w:color w:val="000000" w:themeColor="text1"/>
                      <w14:textFill>
                        <w14:solidFill>
                          <w14:schemeClr w14:val="tx1"/>
                        </w14:solidFill>
                      </w14:textFill>
                    </w:rPr>
                    <w:t>在原料库旁设置1间一般固废收集间，建筑面积50m</w:t>
                  </w:r>
                  <w:r>
                    <w:rPr>
                      <w:b w:val="0"/>
                      <w:bCs w:val="0"/>
                      <w:color w:val="000000" w:themeColor="text1"/>
                      <w:vertAlign w:val="superscript"/>
                      <w14:textFill>
                        <w14:solidFill>
                          <w14:schemeClr w14:val="tx1"/>
                        </w14:solidFill>
                      </w14:textFill>
                    </w:rPr>
                    <w:t>2</w:t>
                  </w:r>
                  <w:r>
                    <w:rPr>
                      <w:b w:val="0"/>
                      <w:bCs w:val="0"/>
                      <w:color w:val="000000" w:themeColor="text1"/>
                      <w14:textFill>
                        <w14:solidFill>
                          <w14:schemeClr w14:val="tx1"/>
                        </w14:solidFill>
                      </w14:textFill>
                    </w:rPr>
                    <w:t>，用于暂存破碎后的不合格产品。</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2"/>
                  <w:vMerge w:val="continue"/>
                  <w:tcBorders>
                    <w:tl2br w:val="nil"/>
                    <w:tr2bl w:val="nil"/>
                  </w:tcBorders>
                  <w:vAlign w:val="center"/>
                </w:tcPr>
                <w:p>
                  <w:pPr>
                    <w:pStyle w:val="43"/>
                    <w:rPr>
                      <w:rFonts w:cs="Times New Roman"/>
                      <w:szCs w:val="21"/>
                    </w:rPr>
                  </w:pPr>
                </w:p>
              </w:tc>
              <w:tc>
                <w:tcPr>
                  <w:tcW w:w="795" w:type="pct"/>
                  <w:tcBorders>
                    <w:tl2br w:val="nil"/>
                    <w:tr2bl w:val="nil"/>
                  </w:tcBorders>
                  <w:vAlign w:val="center"/>
                </w:tcPr>
                <w:p>
                  <w:pPr>
                    <w:pStyle w:val="43"/>
                    <w:rPr>
                      <w:rFonts w:cs="Times New Roman"/>
                      <w:szCs w:val="21"/>
                    </w:rPr>
                  </w:pPr>
                  <w:r>
                    <w:rPr>
                      <w:rFonts w:cs="Times New Roman"/>
                      <w:szCs w:val="21"/>
                    </w:rPr>
                    <w:t>生活垃圾收集设施</w:t>
                  </w:r>
                </w:p>
              </w:tc>
              <w:tc>
                <w:tcPr>
                  <w:tcW w:w="2584" w:type="pct"/>
                  <w:tcBorders>
                    <w:tl2br w:val="nil"/>
                    <w:tr2bl w:val="nil"/>
                  </w:tcBorders>
                  <w:vAlign w:val="center"/>
                </w:tcPr>
                <w:p>
                  <w:pPr>
                    <w:pStyle w:val="47"/>
                    <w:jc w:val="both"/>
                    <w:rPr>
                      <w:b w:val="0"/>
                      <w:bCs w:val="0"/>
                      <w:color w:val="auto"/>
                    </w:rPr>
                  </w:pPr>
                  <w:r>
                    <w:rPr>
                      <w:b w:val="0"/>
                      <w:bCs w:val="0"/>
                      <w:color w:val="auto"/>
                    </w:rPr>
                    <w:t>厂区设置带盖垃圾桶7个，用于收集生活垃圾。</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2"/>
                  <w:vMerge w:val="continue"/>
                  <w:tcBorders>
                    <w:tl2br w:val="nil"/>
                    <w:tr2bl w:val="nil"/>
                  </w:tcBorders>
                  <w:vAlign w:val="center"/>
                </w:tcPr>
                <w:p>
                  <w:pPr>
                    <w:pStyle w:val="43"/>
                    <w:rPr>
                      <w:rFonts w:cs="Times New Roman"/>
                      <w:szCs w:val="21"/>
                    </w:rPr>
                  </w:pPr>
                </w:p>
              </w:tc>
              <w:tc>
                <w:tcPr>
                  <w:tcW w:w="795" w:type="pct"/>
                  <w:tcBorders>
                    <w:tl2br w:val="nil"/>
                    <w:tr2bl w:val="nil"/>
                  </w:tcBorders>
                  <w:vAlign w:val="center"/>
                </w:tcPr>
                <w:p>
                  <w:pPr>
                    <w:pStyle w:val="43"/>
                    <w:rPr>
                      <w:rFonts w:cs="Times New Roman"/>
                      <w:szCs w:val="21"/>
                    </w:rPr>
                  </w:pPr>
                  <w:r>
                    <w:rPr>
                      <w:rFonts w:cs="Times New Roman"/>
                      <w:szCs w:val="21"/>
                    </w:rPr>
                    <w:t>危废暂存间</w:t>
                  </w:r>
                </w:p>
              </w:tc>
              <w:tc>
                <w:tcPr>
                  <w:tcW w:w="2584" w:type="pct"/>
                  <w:tcBorders>
                    <w:tl2br w:val="nil"/>
                    <w:tr2bl w:val="nil"/>
                  </w:tcBorders>
                  <w:vAlign w:val="center"/>
                </w:tcPr>
                <w:p>
                  <w:pPr>
                    <w:pStyle w:val="47"/>
                    <w:jc w:val="both"/>
                    <w:rPr>
                      <w:b w:val="0"/>
                      <w:bCs w:val="0"/>
                      <w:color w:val="auto"/>
                    </w:rPr>
                  </w:pPr>
                  <w:r>
                    <w:rPr>
                      <w:b w:val="0"/>
                      <w:bCs w:val="0"/>
                      <w:color w:val="auto"/>
                    </w:rPr>
                    <w:t>设置于厂区东南角，建筑面积5m</w:t>
                  </w:r>
                  <w:r>
                    <w:rPr>
                      <w:b w:val="0"/>
                      <w:bCs w:val="0"/>
                      <w:color w:val="auto"/>
                      <w:vertAlign w:val="superscript"/>
                    </w:rPr>
                    <w:t>2</w:t>
                  </w:r>
                  <w:r>
                    <w:rPr>
                      <w:b w:val="0"/>
                      <w:bCs w:val="0"/>
                      <w:color w:val="auto"/>
                    </w:rPr>
                    <w:t>，用于暂存项目区产生的废机油、废活性炭</w:t>
                  </w:r>
                  <w:r>
                    <w:rPr>
                      <w:rStyle w:val="37"/>
                      <w:rFonts w:hint="eastAsia" w:ascii="宋体" w:hAnsi="宋体" w:cs="宋体"/>
                      <w:b w:val="0"/>
                      <w:bCs w:val="0"/>
                      <w:color w:val="auto"/>
                      <w:szCs w:val="20"/>
                      <w:lang w:val="zh-CN" w:bidi="zh-CN"/>
                    </w:rPr>
                    <w:t>、</w:t>
                  </w:r>
                  <w:r>
                    <w:rPr>
                      <w:rStyle w:val="37"/>
                      <w:rFonts w:hint="eastAsia" w:ascii="宋体" w:hAnsi="宋体" w:cs="宋体"/>
                      <w:b w:val="0"/>
                      <w:bCs w:val="0"/>
                      <w:color w:val="auto"/>
                      <w:szCs w:val="20"/>
                      <w:lang w:bidi="zh-CN"/>
                    </w:rPr>
                    <w:t>废UV灯管</w:t>
                  </w:r>
                  <w:r>
                    <w:rPr>
                      <w:b w:val="0"/>
                      <w:bCs w:val="0"/>
                      <w:color w:val="auto"/>
                    </w:rPr>
                    <w:t>。</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3"/>
                  <w:tcBorders>
                    <w:tl2br w:val="nil"/>
                    <w:tr2bl w:val="nil"/>
                  </w:tcBorders>
                  <w:vAlign w:val="center"/>
                </w:tcPr>
                <w:p>
                  <w:pPr>
                    <w:pStyle w:val="43"/>
                    <w:rPr>
                      <w:rFonts w:cs="Times New Roman"/>
                      <w:szCs w:val="21"/>
                    </w:rPr>
                  </w:pPr>
                  <w:r>
                    <w:rPr>
                      <w:rFonts w:cs="Times New Roman"/>
                      <w:szCs w:val="21"/>
                    </w:rPr>
                    <w:t>噪声</w:t>
                  </w:r>
                </w:p>
              </w:tc>
              <w:tc>
                <w:tcPr>
                  <w:tcW w:w="2584" w:type="pct"/>
                  <w:tcBorders>
                    <w:tl2br w:val="nil"/>
                    <w:tr2bl w:val="nil"/>
                  </w:tcBorders>
                  <w:vAlign w:val="center"/>
                </w:tcPr>
                <w:p>
                  <w:pPr>
                    <w:pStyle w:val="47"/>
                    <w:jc w:val="both"/>
                    <w:rPr>
                      <w:b w:val="0"/>
                      <w:bCs w:val="0"/>
                      <w:color w:val="auto"/>
                    </w:rPr>
                  </w:pPr>
                  <w:r>
                    <w:rPr>
                      <w:b w:val="0"/>
                      <w:bCs w:val="0"/>
                      <w:spacing w:val="-7"/>
                    </w:rPr>
                    <w:t>生产设备选用低噪声设备，合理布局，置于封闭生产车间内，基础</w:t>
                  </w:r>
                  <w:r>
                    <w:rPr>
                      <w:b w:val="0"/>
                      <w:bCs w:val="0"/>
                      <w:spacing w:val="-5"/>
                    </w:rPr>
                    <w:t>加装减振垫。</w:t>
                  </w:r>
                </w:p>
              </w:tc>
              <w:tc>
                <w:tcPr>
                  <w:tcW w:w="417" w:type="pc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387" w:type="pct"/>
                  <w:tcBorders>
                    <w:tl2br w:val="nil"/>
                    <w:tr2bl w:val="nil"/>
                  </w:tcBorders>
                  <w:vAlign w:val="center"/>
                </w:tcPr>
                <w:p>
                  <w:pPr>
                    <w:pStyle w:val="47"/>
                    <w:adjustRightInd/>
                    <w:spacing w:line="240" w:lineRule="atLeast"/>
                    <w:rPr>
                      <w:b w:val="0"/>
                      <w:bCs w:val="0"/>
                      <w:color w:val="auto"/>
                    </w:rPr>
                  </w:pPr>
                  <w:r>
                    <w:rPr>
                      <w:b w:val="0"/>
                    </w:rPr>
                    <w:t>储运工程</w:t>
                  </w:r>
                </w:p>
              </w:tc>
              <w:tc>
                <w:tcPr>
                  <w:tcW w:w="1610" w:type="pct"/>
                  <w:gridSpan w:val="3"/>
                  <w:tcBorders>
                    <w:tl2br w:val="nil"/>
                    <w:tr2bl w:val="nil"/>
                  </w:tcBorders>
                  <w:vAlign w:val="center"/>
                </w:tcPr>
                <w:p>
                  <w:pPr>
                    <w:pStyle w:val="47"/>
                    <w:adjustRightInd/>
                    <w:spacing w:line="240" w:lineRule="atLeast"/>
                  </w:pPr>
                  <w:r>
                    <w:rPr>
                      <w:b w:val="0"/>
                      <w:bCs w:val="0"/>
                    </w:rPr>
                    <w:t>原辅料仓库车间</w:t>
                  </w:r>
                </w:p>
              </w:tc>
              <w:tc>
                <w:tcPr>
                  <w:tcW w:w="2584" w:type="pct"/>
                  <w:tcBorders>
                    <w:tl2br w:val="nil"/>
                    <w:tr2bl w:val="nil"/>
                  </w:tcBorders>
                  <w:vAlign w:val="center"/>
                </w:tcPr>
                <w:p>
                  <w:pPr>
                    <w:pStyle w:val="47"/>
                    <w:adjustRightInd/>
                    <w:spacing w:line="240" w:lineRule="atLeast"/>
                    <w:jc w:val="left"/>
                    <w:rPr>
                      <w:b w:val="0"/>
                      <w:bCs w:val="0"/>
                      <w:color w:val="auto"/>
                    </w:rPr>
                  </w:pPr>
                  <w:r>
                    <w:rPr>
                      <w:b w:val="0"/>
                    </w:rPr>
                    <w:t>占地面积为1204.6m</w:t>
                  </w:r>
                  <w:r>
                    <w:rPr>
                      <w:b w:val="0"/>
                      <w:vertAlign w:val="superscript"/>
                    </w:rPr>
                    <w:t>2</w:t>
                  </w:r>
                  <w:r>
                    <w:rPr>
                      <w:b w:val="0"/>
                    </w:rPr>
                    <w:t>，1层框架结构，层高5.8米。主要用于</w:t>
                  </w:r>
                  <w:r>
                    <w:rPr>
                      <w:b w:val="0"/>
                      <w:bCs w:val="0"/>
                      <w:color w:val="auto"/>
                    </w:rPr>
                    <w:t>食品用包装容器</w:t>
                  </w:r>
                  <w:r>
                    <w:rPr>
                      <w:b w:val="0"/>
                    </w:rPr>
                    <w:t>原材料堆放及成品堆放。</w:t>
                  </w:r>
                </w:p>
              </w:tc>
              <w:tc>
                <w:tcPr>
                  <w:tcW w:w="417" w:type="pct"/>
                  <w:tcBorders>
                    <w:tl2br w:val="nil"/>
                    <w:tr2bl w:val="nil"/>
                  </w:tcBorders>
                  <w:vAlign w:val="center"/>
                </w:tcPr>
                <w:p>
                  <w:pPr>
                    <w:pStyle w:val="47"/>
                    <w:adjustRightInd/>
                    <w:spacing w:line="240" w:lineRule="atLeast"/>
                    <w:jc w:val="left"/>
                    <w:rPr>
                      <w:b w:val="0"/>
                      <w:bCs w:val="0"/>
                      <w:color w:val="auto"/>
                    </w:rPr>
                  </w:pPr>
                  <w:r>
                    <w:rPr>
                      <w:b w:val="0"/>
                    </w:rPr>
                    <w:t>新建</w:t>
                  </w:r>
                </w:p>
              </w:tc>
            </w:tr>
          </w:tbl>
          <w:p>
            <w:pPr>
              <w:pStyle w:val="46"/>
              <w:snapToGrid w:val="0"/>
              <w:ind w:firstLine="482" w:firstLineChars="200"/>
              <w:rPr>
                <w:rFonts w:ascii="Times New Roman" w:hAnsi="Times New Roman" w:cs="Times New Roman"/>
                <w:b/>
                <w:bCs/>
              </w:rPr>
            </w:pPr>
            <w:r>
              <w:rPr>
                <w:rFonts w:ascii="Times New Roman" w:hAnsi="Times New Roman" w:cs="Times New Roman"/>
                <w:b/>
                <w:bCs/>
                <w:lang w:val="en-US"/>
              </w:rPr>
              <w:t>3</w:t>
            </w:r>
            <w:r>
              <w:rPr>
                <w:rFonts w:ascii="Times New Roman" w:hAnsi="Times New Roman" w:cs="Times New Roman"/>
                <w:b/>
                <w:bCs/>
              </w:rPr>
              <w:t>、产品方案</w:t>
            </w:r>
          </w:p>
          <w:p>
            <w:pPr>
              <w:pStyle w:val="46"/>
              <w:snapToGrid w:val="0"/>
              <w:spacing w:line="360" w:lineRule="auto"/>
              <w:ind w:firstLine="480" w:firstLineChars="200"/>
              <w:jc w:val="both"/>
              <w:rPr>
                <w:rFonts w:ascii="Times New Roman" w:hAnsi="Times New Roman" w:cs="Times New Roman"/>
              </w:rPr>
            </w:pPr>
            <w:r>
              <w:rPr>
                <w:rFonts w:ascii="Times New Roman" w:hAnsi="Times New Roman" w:cs="Times New Roman"/>
              </w:rPr>
              <w:t>项目产品为</w:t>
            </w:r>
            <w:r>
              <w:rPr>
                <w:rFonts w:ascii="Times New Roman" w:hAnsi="Times New Roman" w:cs="Times New Roman"/>
                <w:lang w:val="en-US"/>
              </w:rPr>
              <w:t>食品用塑料包装容器</w:t>
            </w:r>
            <w:r>
              <w:rPr>
                <w:rFonts w:ascii="Times New Roman" w:hAnsi="Times New Roman" w:cs="Times New Roman"/>
              </w:rPr>
              <w:t xml:space="preserve">，产品方案见表 </w:t>
            </w:r>
            <w:r>
              <w:rPr>
                <w:rFonts w:ascii="Times New Roman" w:hAnsi="Times New Roman" w:eastAsia="Times New Roman" w:cs="Times New Roman"/>
              </w:rPr>
              <w:t>2-2</w:t>
            </w:r>
            <w:r>
              <w:rPr>
                <w:rFonts w:ascii="Times New Roman" w:hAnsi="Times New Roman" w:cs="Times New Roman"/>
              </w:rPr>
              <w:t>。</w:t>
            </w:r>
          </w:p>
          <w:p>
            <w:pPr>
              <w:pStyle w:val="10"/>
            </w:pPr>
            <w:r>
              <w:t>表 2-2 产品方案</w:t>
            </w:r>
          </w:p>
          <w:tbl>
            <w:tblPr>
              <w:tblStyle w:val="26"/>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3401"/>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7" w:type="pct"/>
                  <w:tcBorders>
                    <w:tl2br w:val="nil"/>
                    <w:tr2bl w:val="nil"/>
                  </w:tcBorders>
                  <w:vAlign w:val="center"/>
                </w:tcPr>
                <w:p>
                  <w:pPr>
                    <w:pStyle w:val="48"/>
                    <w:snapToGrid w:val="0"/>
                  </w:pPr>
                  <w:r>
                    <w:t>序号</w:t>
                  </w:r>
                </w:p>
              </w:tc>
              <w:tc>
                <w:tcPr>
                  <w:tcW w:w="2143" w:type="pct"/>
                  <w:tcBorders>
                    <w:tl2br w:val="nil"/>
                    <w:tr2bl w:val="nil"/>
                  </w:tcBorders>
                  <w:vAlign w:val="center"/>
                </w:tcPr>
                <w:p>
                  <w:pPr>
                    <w:pStyle w:val="48"/>
                    <w:snapToGrid w:val="0"/>
                  </w:pPr>
                  <w:r>
                    <w:t>产品名称</w:t>
                  </w:r>
                </w:p>
              </w:tc>
              <w:tc>
                <w:tcPr>
                  <w:tcW w:w="2018" w:type="pct"/>
                  <w:tcBorders>
                    <w:tl2br w:val="nil"/>
                    <w:tr2bl w:val="nil"/>
                  </w:tcBorders>
                  <w:vAlign w:val="center"/>
                </w:tcPr>
                <w:p>
                  <w:pPr>
                    <w:pStyle w:val="48"/>
                    <w:snapToGrid w:val="0"/>
                  </w:pPr>
                  <w:r>
                    <w:t>设计年产规模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37" w:type="pct"/>
                  <w:tcBorders>
                    <w:tl2br w:val="nil"/>
                    <w:tr2bl w:val="nil"/>
                  </w:tcBorders>
                  <w:vAlign w:val="center"/>
                </w:tcPr>
                <w:p>
                  <w:pPr>
                    <w:pStyle w:val="48"/>
                    <w:snapToGrid w:val="0"/>
                  </w:pPr>
                  <w:r>
                    <w:t>1</w:t>
                  </w:r>
                </w:p>
              </w:tc>
              <w:tc>
                <w:tcPr>
                  <w:tcW w:w="2143" w:type="pct"/>
                  <w:tcBorders>
                    <w:tl2br w:val="nil"/>
                    <w:tr2bl w:val="nil"/>
                  </w:tcBorders>
                  <w:vAlign w:val="center"/>
                </w:tcPr>
                <w:p>
                  <w:pPr>
                    <w:pStyle w:val="43"/>
                    <w:rPr>
                      <w:rFonts w:cs="Times New Roman"/>
                    </w:rPr>
                  </w:pPr>
                  <w:r>
                    <w:rPr>
                      <w:rFonts w:cs="Times New Roman"/>
                      <w:lang w:val="en-US"/>
                    </w:rPr>
                    <w:t>食品用塑料包装容器</w:t>
                  </w:r>
                </w:p>
              </w:tc>
              <w:tc>
                <w:tcPr>
                  <w:tcW w:w="2018" w:type="pct"/>
                  <w:tcBorders>
                    <w:tl2br w:val="nil"/>
                    <w:tr2bl w:val="nil"/>
                  </w:tcBorders>
                  <w:vAlign w:val="center"/>
                </w:tcPr>
                <w:p>
                  <w:pPr>
                    <w:pStyle w:val="48"/>
                    <w:snapToGrid w:val="0"/>
                  </w:pPr>
                  <w:r>
                    <w:t>250t/a</w:t>
                  </w:r>
                </w:p>
              </w:tc>
            </w:tr>
          </w:tbl>
          <w:p>
            <w:pPr>
              <w:autoSpaceDE/>
              <w:autoSpaceDN/>
              <w:adjustRightInd w:val="0"/>
              <w:snapToGrid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项目的生产成品见下图。</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3"/>
              <w:gridCol w:w="4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2" w:hRule="atLeast"/>
              </w:trPr>
              <w:tc>
                <w:tcPr>
                  <w:tcW w:w="2405" w:type="pct"/>
                  <w:vAlign w:val="center"/>
                </w:tcPr>
                <w:p>
                  <w:pPr>
                    <w:snapToGrid w:val="0"/>
                    <w:rPr>
                      <w:rFonts w:ascii="Times New Roman" w:hAnsi="Times New Roman" w:cs="Times New Roman"/>
                    </w:rPr>
                  </w:pPr>
                  <w:r>
                    <w:rPr>
                      <w:rFonts w:ascii="Times New Roman" w:hAnsi="Times New Roman" w:cs="Times New Roman"/>
                      <w:lang w:val="en-US" w:bidi="ar-SA"/>
                    </w:rPr>
                    <w:drawing>
                      <wp:inline distT="0" distB="0" distL="114300" distR="114300">
                        <wp:extent cx="2330450" cy="2566670"/>
                        <wp:effectExtent l="0" t="0" r="12700" b="5080"/>
                        <wp:docPr id="1" name="图片 1" descr="c7a26c0665df394ed7c4492c737d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7a26c0665df394ed7c4492c737d27e"/>
                                <pic:cNvPicPr>
                                  <a:picLocks noChangeAspect="1"/>
                                </pic:cNvPicPr>
                              </pic:nvPicPr>
                              <pic:blipFill>
                                <a:blip r:embed="rId13"/>
                                <a:stretch>
                                  <a:fillRect/>
                                </a:stretch>
                              </pic:blipFill>
                              <pic:spPr>
                                <a:xfrm>
                                  <a:off x="0" y="0"/>
                                  <a:ext cx="2330450" cy="2566670"/>
                                </a:xfrm>
                                <a:prstGeom prst="rect">
                                  <a:avLst/>
                                </a:prstGeom>
                              </pic:spPr>
                            </pic:pic>
                          </a:graphicData>
                        </a:graphic>
                      </wp:inline>
                    </w:drawing>
                  </w:r>
                </w:p>
              </w:tc>
              <w:tc>
                <w:tcPr>
                  <w:tcW w:w="2594" w:type="pct"/>
                  <w:vAlign w:val="center"/>
                </w:tcPr>
                <w:p>
                  <w:pPr>
                    <w:snapToGrid w:val="0"/>
                    <w:rPr>
                      <w:rFonts w:ascii="Times New Roman" w:hAnsi="Times New Roman" w:cs="Times New Roman"/>
                    </w:rPr>
                  </w:pPr>
                  <w:r>
                    <w:rPr>
                      <w:rFonts w:ascii="Times New Roman" w:hAnsi="Times New Roman" w:cs="Times New Roman"/>
                      <w:lang w:val="en-US" w:bidi="ar-SA"/>
                    </w:rPr>
                    <w:drawing>
                      <wp:inline distT="0" distB="0" distL="114300" distR="114300">
                        <wp:extent cx="2136775" cy="2799080"/>
                        <wp:effectExtent l="0" t="0" r="15875" b="1270"/>
                        <wp:docPr id="3" name="图片 3" descr="7a3a874da3f23d3e900e0a8dd5e4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a3a874da3f23d3e900e0a8dd5e4f9e"/>
                                <pic:cNvPicPr>
                                  <a:picLocks noChangeAspect="1"/>
                                </pic:cNvPicPr>
                              </pic:nvPicPr>
                              <pic:blipFill>
                                <a:blip r:embed="rId14"/>
                                <a:stretch>
                                  <a:fillRect/>
                                </a:stretch>
                              </pic:blipFill>
                              <pic:spPr>
                                <a:xfrm>
                                  <a:off x="0" y="0"/>
                                  <a:ext cx="2136775" cy="2799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2" w:hRule="atLeast"/>
              </w:trPr>
              <w:tc>
                <w:tcPr>
                  <w:tcW w:w="2405" w:type="pct"/>
                  <w:vAlign w:val="center"/>
                </w:tcPr>
                <w:p>
                  <w:pPr>
                    <w:snapToGrid w:val="0"/>
                    <w:rPr>
                      <w:rFonts w:ascii="Times New Roman" w:hAnsi="Times New Roman" w:cs="Times New Roman"/>
                    </w:rPr>
                  </w:pPr>
                  <w:r>
                    <w:rPr>
                      <w:rFonts w:ascii="Times New Roman" w:hAnsi="Times New Roman" w:cs="Times New Roman"/>
                      <w:lang w:val="en-US" w:bidi="ar-SA"/>
                    </w:rPr>
                    <w:drawing>
                      <wp:inline distT="0" distB="0" distL="114300" distR="114300">
                        <wp:extent cx="3089910" cy="2567305"/>
                        <wp:effectExtent l="0" t="0" r="15240" b="4445"/>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15"/>
                                <a:stretch>
                                  <a:fillRect/>
                                </a:stretch>
                              </pic:blipFill>
                              <pic:spPr>
                                <a:xfrm>
                                  <a:off x="0" y="0"/>
                                  <a:ext cx="3089910" cy="2567305"/>
                                </a:xfrm>
                                <a:prstGeom prst="rect">
                                  <a:avLst/>
                                </a:prstGeom>
                                <a:noFill/>
                                <a:ln w="9525">
                                  <a:noFill/>
                                </a:ln>
                              </pic:spPr>
                            </pic:pic>
                          </a:graphicData>
                        </a:graphic>
                      </wp:inline>
                    </w:drawing>
                  </w:r>
                </w:p>
              </w:tc>
              <w:tc>
                <w:tcPr>
                  <w:tcW w:w="2594" w:type="pct"/>
                  <w:vAlign w:val="center"/>
                </w:tcPr>
                <w:p>
                  <w:pPr>
                    <w:snapToGrid w:val="0"/>
                    <w:rPr>
                      <w:rFonts w:ascii="Times New Roman" w:hAnsi="Times New Roman" w:cs="Times New Roman"/>
                    </w:rPr>
                  </w:pPr>
                  <w:r>
                    <w:rPr>
                      <w:rFonts w:ascii="Times New Roman" w:hAnsi="Times New Roman" w:cs="Times New Roman"/>
                      <w:lang w:val="en-US" w:bidi="ar-SA"/>
                    </w:rPr>
                    <w:drawing>
                      <wp:inline distT="0" distB="0" distL="114300" distR="114300">
                        <wp:extent cx="2892425" cy="2953385"/>
                        <wp:effectExtent l="0" t="0" r="3175" b="18415"/>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6"/>
                                <a:stretch>
                                  <a:fillRect/>
                                </a:stretch>
                              </pic:blipFill>
                              <pic:spPr>
                                <a:xfrm>
                                  <a:off x="0" y="0"/>
                                  <a:ext cx="2892425" cy="2953385"/>
                                </a:xfrm>
                                <a:prstGeom prst="rect">
                                  <a:avLst/>
                                </a:prstGeom>
                                <a:noFill/>
                                <a:ln w="9525">
                                  <a:noFill/>
                                </a:ln>
                              </pic:spPr>
                            </pic:pic>
                          </a:graphicData>
                        </a:graphic>
                      </wp:inline>
                    </w:drawing>
                  </w:r>
                </w:p>
              </w:tc>
            </w:tr>
          </w:tbl>
          <w:p>
            <w:pPr>
              <w:pStyle w:val="46"/>
              <w:snapToGrid w:val="0"/>
              <w:spacing w:line="360" w:lineRule="auto"/>
              <w:ind w:firstLine="482" w:firstLineChars="200"/>
              <w:jc w:val="both"/>
              <w:rPr>
                <w:rFonts w:ascii="Times New Roman" w:hAnsi="Times New Roman" w:eastAsia="Times New Roman" w:cs="Times New Roman"/>
                <w:b/>
                <w:bCs/>
                <w:lang w:val="en-US"/>
              </w:rPr>
            </w:pPr>
            <w:r>
              <w:rPr>
                <w:rFonts w:ascii="Times New Roman" w:hAnsi="Times New Roman" w:cs="Times New Roman"/>
                <w:b/>
                <w:bCs/>
                <w:lang w:val="en-US"/>
              </w:rPr>
              <w:t>4</w:t>
            </w:r>
            <w:r>
              <w:rPr>
                <w:rFonts w:ascii="Times New Roman" w:hAnsi="Times New Roman" w:eastAsia="Times New Roman" w:cs="Times New Roman"/>
                <w:b/>
                <w:bCs/>
                <w:lang w:val="en-US"/>
              </w:rPr>
              <w:t>、原辅材料消耗</w:t>
            </w:r>
          </w:p>
          <w:p>
            <w:pPr>
              <w:pStyle w:val="46"/>
              <w:snapToGrid w:val="0"/>
              <w:spacing w:line="360" w:lineRule="auto"/>
              <w:ind w:firstLine="480" w:firstLineChars="200"/>
              <w:jc w:val="both"/>
              <w:rPr>
                <w:rFonts w:ascii="Times New Roman" w:hAnsi="Times New Roman" w:cs="Times New Roman"/>
              </w:rPr>
            </w:pPr>
            <w:r>
              <w:rPr>
                <w:rFonts w:ascii="Times New Roman" w:hAnsi="Times New Roman" w:cs="Times New Roman"/>
              </w:rPr>
              <w:t xml:space="preserve">根据建设单位提供的资料，项目运营期主要原辅材料及用量见表 </w:t>
            </w:r>
            <w:r>
              <w:rPr>
                <w:rFonts w:ascii="Times New Roman" w:hAnsi="Times New Roman" w:eastAsia="Times New Roman" w:cs="Times New Roman"/>
              </w:rPr>
              <w:t>2-3</w:t>
            </w:r>
            <w:r>
              <w:rPr>
                <w:rFonts w:ascii="Times New Roman" w:hAnsi="Times New Roman" w:cs="Times New Roman"/>
              </w:rPr>
              <w:t>。</w:t>
            </w:r>
          </w:p>
          <w:p>
            <w:pPr>
              <w:pStyle w:val="10"/>
            </w:pPr>
            <w:r>
              <w:t>表 2-3 原辅材料</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687"/>
              <w:gridCol w:w="1687"/>
              <w:gridCol w:w="627"/>
              <w:gridCol w:w="861"/>
              <w:gridCol w:w="657"/>
              <w:gridCol w:w="800"/>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93" w:type="pct"/>
                  <w:tcBorders>
                    <w:tl2br w:val="nil"/>
                    <w:tr2bl w:val="nil"/>
                  </w:tcBorders>
                  <w:vAlign w:val="center"/>
                </w:tcPr>
                <w:p>
                  <w:pPr>
                    <w:pStyle w:val="47"/>
                    <w:rPr>
                      <w:b w:val="0"/>
                      <w:bCs w:val="0"/>
                    </w:rPr>
                  </w:pPr>
                  <w:r>
                    <w:rPr>
                      <w:b w:val="0"/>
                      <w:bCs w:val="0"/>
                    </w:rPr>
                    <w:t>生产产品</w:t>
                  </w:r>
                </w:p>
              </w:tc>
              <w:tc>
                <w:tcPr>
                  <w:tcW w:w="1040" w:type="pct"/>
                  <w:tcBorders>
                    <w:tl2br w:val="nil"/>
                    <w:tr2bl w:val="nil"/>
                  </w:tcBorders>
                  <w:vAlign w:val="center"/>
                </w:tcPr>
                <w:p>
                  <w:pPr>
                    <w:pStyle w:val="47"/>
                    <w:rPr>
                      <w:b w:val="0"/>
                      <w:bCs w:val="0"/>
                    </w:rPr>
                  </w:pPr>
                  <w:r>
                    <w:rPr>
                      <w:b w:val="0"/>
                      <w:bCs w:val="0"/>
                    </w:rPr>
                    <w:t>生产线</w:t>
                  </w:r>
                </w:p>
              </w:tc>
              <w:tc>
                <w:tcPr>
                  <w:tcW w:w="1040" w:type="pct"/>
                  <w:tcBorders>
                    <w:tl2br w:val="nil"/>
                    <w:tr2bl w:val="nil"/>
                  </w:tcBorders>
                  <w:vAlign w:val="center"/>
                </w:tcPr>
                <w:p>
                  <w:pPr>
                    <w:pStyle w:val="47"/>
                    <w:rPr>
                      <w:b w:val="0"/>
                      <w:bCs w:val="0"/>
                    </w:rPr>
                  </w:pPr>
                  <w:r>
                    <w:rPr>
                      <w:b w:val="0"/>
                      <w:bCs w:val="0"/>
                    </w:rPr>
                    <w:t>原辅材料</w:t>
                  </w:r>
                </w:p>
              </w:tc>
              <w:tc>
                <w:tcPr>
                  <w:tcW w:w="387" w:type="pct"/>
                  <w:tcBorders>
                    <w:tl2br w:val="nil"/>
                    <w:tr2bl w:val="nil"/>
                  </w:tcBorders>
                  <w:vAlign w:val="center"/>
                </w:tcPr>
                <w:p>
                  <w:pPr>
                    <w:pStyle w:val="47"/>
                    <w:rPr>
                      <w:b w:val="0"/>
                      <w:bCs w:val="0"/>
                    </w:rPr>
                  </w:pPr>
                  <w:r>
                    <w:rPr>
                      <w:b w:val="0"/>
                      <w:bCs w:val="0"/>
                    </w:rPr>
                    <w:t>型号</w:t>
                  </w:r>
                </w:p>
              </w:tc>
              <w:tc>
                <w:tcPr>
                  <w:tcW w:w="532" w:type="pct"/>
                  <w:tcBorders>
                    <w:tl2br w:val="nil"/>
                    <w:tr2bl w:val="nil"/>
                  </w:tcBorders>
                  <w:vAlign w:val="center"/>
                </w:tcPr>
                <w:p>
                  <w:pPr>
                    <w:pStyle w:val="47"/>
                    <w:rPr>
                      <w:b w:val="0"/>
                      <w:bCs w:val="0"/>
                    </w:rPr>
                  </w:pPr>
                  <w:r>
                    <w:rPr>
                      <w:b w:val="0"/>
                      <w:bCs w:val="0"/>
                    </w:rPr>
                    <w:t>年用量</w:t>
                  </w:r>
                </w:p>
              </w:tc>
              <w:tc>
                <w:tcPr>
                  <w:tcW w:w="406" w:type="pct"/>
                  <w:tcBorders>
                    <w:tl2br w:val="nil"/>
                    <w:tr2bl w:val="nil"/>
                  </w:tcBorders>
                  <w:vAlign w:val="center"/>
                </w:tcPr>
                <w:p>
                  <w:pPr>
                    <w:pStyle w:val="47"/>
                    <w:rPr>
                      <w:b w:val="0"/>
                      <w:bCs w:val="0"/>
                    </w:rPr>
                  </w:pPr>
                  <w:r>
                    <w:rPr>
                      <w:b w:val="0"/>
                      <w:bCs w:val="0"/>
                    </w:rPr>
                    <w:t>最大储存量</w:t>
                  </w:r>
                </w:p>
              </w:tc>
              <w:tc>
                <w:tcPr>
                  <w:tcW w:w="494" w:type="pct"/>
                  <w:tcBorders>
                    <w:tl2br w:val="nil"/>
                    <w:tr2bl w:val="nil"/>
                  </w:tcBorders>
                  <w:vAlign w:val="center"/>
                </w:tcPr>
                <w:p>
                  <w:pPr>
                    <w:pStyle w:val="47"/>
                    <w:rPr>
                      <w:b w:val="0"/>
                      <w:bCs w:val="0"/>
                    </w:rPr>
                  </w:pPr>
                  <w:r>
                    <w:rPr>
                      <w:b w:val="0"/>
                      <w:bCs w:val="0"/>
                    </w:rPr>
                    <w:t>形状</w:t>
                  </w:r>
                </w:p>
              </w:tc>
              <w:tc>
                <w:tcPr>
                  <w:tcW w:w="604" w:type="pct"/>
                  <w:tcBorders>
                    <w:tl2br w:val="nil"/>
                    <w:tr2bl w:val="nil"/>
                  </w:tcBorders>
                  <w:vAlign w:val="center"/>
                </w:tcPr>
                <w:p>
                  <w:pPr>
                    <w:pStyle w:val="47"/>
                    <w:rPr>
                      <w:b w:val="0"/>
                      <w:bCs w:val="0"/>
                    </w:rPr>
                  </w:pPr>
                  <w:r>
                    <w:rPr>
                      <w:b w:val="0"/>
                      <w:bCs w:val="0"/>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restart"/>
                  <w:tcBorders>
                    <w:tl2br w:val="nil"/>
                    <w:tr2bl w:val="nil"/>
                  </w:tcBorders>
                  <w:vAlign w:val="center"/>
                </w:tcPr>
                <w:p>
                  <w:pPr>
                    <w:pStyle w:val="47"/>
                    <w:rPr>
                      <w:b w:val="0"/>
                      <w:bCs w:val="0"/>
                    </w:rPr>
                  </w:pPr>
                  <w:r>
                    <w:rPr>
                      <w:b w:val="0"/>
                      <w:bCs w:val="0"/>
                    </w:rPr>
                    <w:t>食品用塑料包装容器</w:t>
                  </w:r>
                </w:p>
              </w:tc>
              <w:tc>
                <w:tcPr>
                  <w:tcW w:w="1040" w:type="pct"/>
                  <w:tcBorders>
                    <w:tl2br w:val="nil"/>
                    <w:tr2bl w:val="nil"/>
                  </w:tcBorders>
                  <w:vAlign w:val="center"/>
                </w:tcPr>
                <w:p>
                  <w:pPr>
                    <w:pStyle w:val="47"/>
                    <w:rPr>
                      <w:b w:val="0"/>
                      <w:bCs w:val="0"/>
                    </w:rPr>
                  </w:pPr>
                  <w:r>
                    <w:rPr>
                      <w:b w:val="0"/>
                      <w:bCs w:val="0"/>
                    </w:rPr>
                    <w:t>食品用塑料包装容器挤出生产线</w:t>
                  </w:r>
                </w:p>
              </w:tc>
              <w:tc>
                <w:tcPr>
                  <w:tcW w:w="1040" w:type="pct"/>
                  <w:tcBorders>
                    <w:tl2br w:val="nil"/>
                    <w:tr2bl w:val="nil"/>
                  </w:tcBorders>
                  <w:vAlign w:val="center"/>
                </w:tcPr>
                <w:p>
                  <w:pPr>
                    <w:pStyle w:val="47"/>
                    <w:rPr>
                      <w:b w:val="0"/>
                      <w:bCs w:val="0"/>
                    </w:rPr>
                  </w:pPr>
                  <w:r>
                    <w:rPr>
                      <w:b w:val="0"/>
                      <w:bCs w:val="0"/>
                    </w:rPr>
                    <w:t>聚乙烯颗粒</w:t>
                  </w:r>
                </w:p>
              </w:tc>
              <w:tc>
                <w:tcPr>
                  <w:tcW w:w="387" w:type="pct"/>
                  <w:tcBorders>
                    <w:tl2br w:val="nil"/>
                    <w:tr2bl w:val="nil"/>
                  </w:tcBorders>
                  <w:vAlign w:val="center"/>
                </w:tcPr>
                <w:p>
                  <w:pPr>
                    <w:pStyle w:val="47"/>
                    <w:rPr>
                      <w:b w:val="0"/>
                      <w:bCs w:val="0"/>
                    </w:rPr>
                  </w:pPr>
                  <w:r>
                    <w:rPr>
                      <w:b w:val="0"/>
                      <w:bCs w:val="0"/>
                    </w:rPr>
                    <w:t>/</w:t>
                  </w:r>
                </w:p>
              </w:tc>
              <w:tc>
                <w:tcPr>
                  <w:tcW w:w="532" w:type="pct"/>
                  <w:tcBorders>
                    <w:tl2br w:val="nil"/>
                    <w:tr2bl w:val="nil"/>
                  </w:tcBorders>
                  <w:vAlign w:val="center"/>
                </w:tcPr>
                <w:p>
                  <w:pPr>
                    <w:pStyle w:val="47"/>
                    <w:rPr>
                      <w:b w:val="0"/>
                      <w:bCs w:val="0"/>
                    </w:rPr>
                  </w:pPr>
                  <w:r>
                    <w:rPr>
                      <w:b w:val="0"/>
                      <w:bCs w:val="0"/>
                    </w:rPr>
                    <w:t>230吨</w:t>
                  </w:r>
                </w:p>
              </w:tc>
              <w:tc>
                <w:tcPr>
                  <w:tcW w:w="406" w:type="pct"/>
                  <w:tcBorders>
                    <w:tl2br w:val="nil"/>
                    <w:tr2bl w:val="nil"/>
                  </w:tcBorders>
                  <w:vAlign w:val="center"/>
                </w:tcPr>
                <w:p>
                  <w:pPr>
                    <w:pStyle w:val="47"/>
                    <w:rPr>
                      <w:b w:val="0"/>
                      <w:bCs w:val="0"/>
                    </w:rPr>
                  </w:pPr>
                  <w:r>
                    <w:rPr>
                      <w:b w:val="0"/>
                      <w:bCs w:val="0"/>
                    </w:rPr>
                    <w:t>2吨</w:t>
                  </w:r>
                </w:p>
              </w:tc>
              <w:tc>
                <w:tcPr>
                  <w:tcW w:w="494" w:type="pct"/>
                  <w:tcBorders>
                    <w:tl2br w:val="nil"/>
                    <w:tr2bl w:val="nil"/>
                  </w:tcBorders>
                  <w:vAlign w:val="center"/>
                </w:tcPr>
                <w:p>
                  <w:pPr>
                    <w:pStyle w:val="47"/>
                    <w:rPr>
                      <w:b w:val="0"/>
                      <w:bCs w:val="0"/>
                    </w:rPr>
                  </w:pPr>
                  <w:r>
                    <w:rPr>
                      <w:b w:val="0"/>
                      <w:bCs w:val="0"/>
                    </w:rPr>
                    <w:t>颗粒</w:t>
                  </w:r>
                </w:p>
              </w:tc>
              <w:tc>
                <w:tcPr>
                  <w:tcW w:w="604" w:type="pct"/>
                  <w:tcBorders>
                    <w:tl2br w:val="nil"/>
                    <w:tr2bl w:val="nil"/>
                  </w:tcBorders>
                  <w:vAlign w:val="center"/>
                </w:tcPr>
                <w:p>
                  <w:pPr>
                    <w:pStyle w:val="47"/>
                    <w:rPr>
                      <w:b w:val="0"/>
                      <w:bCs w:val="0"/>
                    </w:rPr>
                  </w:pPr>
                  <w:r>
                    <w:rPr>
                      <w:b w:val="0"/>
                      <w:bCs w:val="0"/>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tcBorders>
                    <w:tl2br w:val="nil"/>
                    <w:tr2bl w:val="nil"/>
                  </w:tcBorders>
                  <w:vAlign w:val="center"/>
                </w:tcPr>
                <w:p>
                  <w:pPr>
                    <w:pStyle w:val="47"/>
                    <w:rPr>
                      <w:b w:val="0"/>
                      <w:bCs w:val="0"/>
                    </w:rPr>
                  </w:pPr>
                </w:p>
              </w:tc>
              <w:tc>
                <w:tcPr>
                  <w:tcW w:w="1040" w:type="pct"/>
                  <w:vMerge w:val="restart"/>
                  <w:tcBorders>
                    <w:tl2br w:val="nil"/>
                    <w:tr2bl w:val="nil"/>
                  </w:tcBorders>
                  <w:vAlign w:val="center"/>
                </w:tcPr>
                <w:p>
                  <w:pPr>
                    <w:pStyle w:val="47"/>
                    <w:rPr>
                      <w:b w:val="0"/>
                      <w:bCs w:val="0"/>
                    </w:rPr>
                  </w:pPr>
                  <w:r>
                    <w:rPr>
                      <w:b w:val="0"/>
                      <w:bCs w:val="0"/>
                    </w:rPr>
                    <w:t>食品用塑料包装容器注塑生产线</w:t>
                  </w:r>
                </w:p>
              </w:tc>
              <w:tc>
                <w:tcPr>
                  <w:tcW w:w="1040" w:type="pct"/>
                  <w:tcBorders>
                    <w:tl2br w:val="nil"/>
                    <w:tr2bl w:val="nil"/>
                  </w:tcBorders>
                  <w:vAlign w:val="center"/>
                </w:tcPr>
                <w:p>
                  <w:pPr>
                    <w:pStyle w:val="47"/>
                    <w:rPr>
                      <w:b w:val="0"/>
                      <w:bCs w:val="0"/>
                    </w:rPr>
                  </w:pPr>
                  <w:r>
                    <w:rPr>
                      <w:b w:val="0"/>
                      <w:bCs w:val="0"/>
                    </w:rPr>
                    <w:t>色素</w:t>
                  </w:r>
                </w:p>
              </w:tc>
              <w:tc>
                <w:tcPr>
                  <w:tcW w:w="387" w:type="pct"/>
                  <w:tcBorders>
                    <w:tl2br w:val="nil"/>
                    <w:tr2bl w:val="nil"/>
                  </w:tcBorders>
                  <w:vAlign w:val="center"/>
                </w:tcPr>
                <w:p>
                  <w:pPr>
                    <w:pStyle w:val="47"/>
                    <w:rPr>
                      <w:b w:val="0"/>
                      <w:bCs w:val="0"/>
                    </w:rPr>
                  </w:pPr>
                  <w:r>
                    <w:rPr>
                      <w:b w:val="0"/>
                      <w:bCs w:val="0"/>
                    </w:rPr>
                    <w:t>/</w:t>
                  </w:r>
                </w:p>
              </w:tc>
              <w:tc>
                <w:tcPr>
                  <w:tcW w:w="532" w:type="pct"/>
                  <w:tcBorders>
                    <w:tl2br w:val="nil"/>
                    <w:tr2bl w:val="nil"/>
                  </w:tcBorders>
                  <w:vAlign w:val="center"/>
                </w:tcPr>
                <w:p>
                  <w:pPr>
                    <w:pStyle w:val="47"/>
                    <w:rPr>
                      <w:b w:val="0"/>
                      <w:bCs w:val="0"/>
                    </w:rPr>
                  </w:pPr>
                  <w:r>
                    <w:rPr>
                      <w:b w:val="0"/>
                      <w:bCs w:val="0"/>
                    </w:rPr>
                    <w:t>0.5吨</w:t>
                  </w:r>
                </w:p>
              </w:tc>
              <w:tc>
                <w:tcPr>
                  <w:tcW w:w="406" w:type="pct"/>
                  <w:tcBorders>
                    <w:tl2br w:val="nil"/>
                    <w:tr2bl w:val="nil"/>
                  </w:tcBorders>
                  <w:vAlign w:val="center"/>
                </w:tcPr>
                <w:p>
                  <w:pPr>
                    <w:pStyle w:val="47"/>
                    <w:rPr>
                      <w:b w:val="0"/>
                      <w:bCs w:val="0"/>
                    </w:rPr>
                  </w:pPr>
                  <w:r>
                    <w:rPr>
                      <w:b w:val="0"/>
                      <w:bCs w:val="0"/>
                    </w:rPr>
                    <w:t>0.25吨</w:t>
                  </w:r>
                </w:p>
              </w:tc>
              <w:tc>
                <w:tcPr>
                  <w:tcW w:w="494" w:type="pct"/>
                  <w:tcBorders>
                    <w:tl2br w:val="nil"/>
                    <w:tr2bl w:val="nil"/>
                  </w:tcBorders>
                  <w:vAlign w:val="center"/>
                </w:tcPr>
                <w:p>
                  <w:pPr>
                    <w:pStyle w:val="47"/>
                    <w:rPr>
                      <w:b w:val="0"/>
                      <w:bCs w:val="0"/>
                    </w:rPr>
                  </w:pPr>
                  <w:r>
                    <w:rPr>
                      <w:b w:val="0"/>
                      <w:bCs w:val="0"/>
                    </w:rPr>
                    <w:t>粉末</w:t>
                  </w:r>
                </w:p>
              </w:tc>
              <w:tc>
                <w:tcPr>
                  <w:tcW w:w="604" w:type="pct"/>
                  <w:tcBorders>
                    <w:tl2br w:val="nil"/>
                    <w:tr2bl w:val="nil"/>
                  </w:tcBorders>
                  <w:vAlign w:val="center"/>
                </w:tcPr>
                <w:p>
                  <w:pPr>
                    <w:pStyle w:val="47"/>
                    <w:rPr>
                      <w:b w:val="0"/>
                      <w:bCs w:val="0"/>
                    </w:rPr>
                  </w:pPr>
                  <w:r>
                    <w:rPr>
                      <w:b w:val="0"/>
                      <w:bCs w:val="0"/>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tcBorders>
                    <w:tl2br w:val="nil"/>
                    <w:tr2bl w:val="nil"/>
                  </w:tcBorders>
                  <w:vAlign w:val="center"/>
                </w:tcPr>
                <w:p>
                  <w:pPr>
                    <w:pStyle w:val="47"/>
                    <w:rPr>
                      <w:b w:val="0"/>
                      <w:bCs w:val="0"/>
                    </w:rPr>
                  </w:pPr>
                </w:p>
              </w:tc>
              <w:tc>
                <w:tcPr>
                  <w:tcW w:w="1040" w:type="pct"/>
                  <w:vMerge w:val="continue"/>
                  <w:tcBorders>
                    <w:tl2br w:val="nil"/>
                    <w:tr2bl w:val="nil"/>
                  </w:tcBorders>
                  <w:vAlign w:val="center"/>
                </w:tcPr>
                <w:p>
                  <w:pPr>
                    <w:pStyle w:val="47"/>
                    <w:rPr>
                      <w:b w:val="0"/>
                      <w:bCs w:val="0"/>
                    </w:rPr>
                  </w:pPr>
                </w:p>
              </w:tc>
              <w:tc>
                <w:tcPr>
                  <w:tcW w:w="1040" w:type="pct"/>
                  <w:tcBorders>
                    <w:tl2br w:val="nil"/>
                    <w:tr2bl w:val="nil"/>
                  </w:tcBorders>
                  <w:vAlign w:val="center"/>
                </w:tcPr>
                <w:p>
                  <w:pPr>
                    <w:pStyle w:val="47"/>
                    <w:rPr>
                      <w:b w:val="0"/>
                      <w:bCs w:val="0"/>
                    </w:rPr>
                  </w:pPr>
                  <w:r>
                    <w:rPr>
                      <w:b w:val="0"/>
                      <w:bCs w:val="0"/>
                    </w:rPr>
                    <w:t>聚乙烯颗粒</w:t>
                  </w:r>
                </w:p>
              </w:tc>
              <w:tc>
                <w:tcPr>
                  <w:tcW w:w="387" w:type="pct"/>
                  <w:tcBorders>
                    <w:tl2br w:val="nil"/>
                    <w:tr2bl w:val="nil"/>
                  </w:tcBorders>
                  <w:vAlign w:val="center"/>
                </w:tcPr>
                <w:p>
                  <w:pPr>
                    <w:pStyle w:val="47"/>
                    <w:rPr>
                      <w:b w:val="0"/>
                      <w:bCs w:val="0"/>
                    </w:rPr>
                  </w:pPr>
                  <w:r>
                    <w:rPr>
                      <w:b w:val="0"/>
                      <w:bCs w:val="0"/>
                    </w:rPr>
                    <w:t>/</w:t>
                  </w:r>
                </w:p>
              </w:tc>
              <w:tc>
                <w:tcPr>
                  <w:tcW w:w="532" w:type="pct"/>
                  <w:tcBorders>
                    <w:tl2br w:val="nil"/>
                    <w:tr2bl w:val="nil"/>
                  </w:tcBorders>
                  <w:vAlign w:val="center"/>
                </w:tcPr>
                <w:p>
                  <w:pPr>
                    <w:pStyle w:val="47"/>
                    <w:rPr>
                      <w:b w:val="0"/>
                      <w:bCs w:val="0"/>
                    </w:rPr>
                  </w:pPr>
                  <w:r>
                    <w:rPr>
                      <w:b w:val="0"/>
                      <w:bCs w:val="0"/>
                    </w:rPr>
                    <w:t>20吨</w:t>
                  </w:r>
                </w:p>
              </w:tc>
              <w:tc>
                <w:tcPr>
                  <w:tcW w:w="406" w:type="pct"/>
                  <w:tcBorders>
                    <w:tl2br w:val="nil"/>
                    <w:tr2bl w:val="nil"/>
                  </w:tcBorders>
                  <w:vAlign w:val="center"/>
                </w:tcPr>
                <w:p>
                  <w:pPr>
                    <w:pStyle w:val="47"/>
                    <w:rPr>
                      <w:b w:val="0"/>
                      <w:bCs w:val="0"/>
                    </w:rPr>
                  </w:pPr>
                  <w:r>
                    <w:rPr>
                      <w:b w:val="0"/>
                      <w:bCs w:val="0"/>
                    </w:rPr>
                    <w:t>4吨</w:t>
                  </w:r>
                </w:p>
              </w:tc>
              <w:tc>
                <w:tcPr>
                  <w:tcW w:w="494" w:type="pct"/>
                  <w:tcBorders>
                    <w:tl2br w:val="nil"/>
                    <w:tr2bl w:val="nil"/>
                  </w:tcBorders>
                  <w:vAlign w:val="center"/>
                </w:tcPr>
                <w:p>
                  <w:pPr>
                    <w:pStyle w:val="47"/>
                    <w:rPr>
                      <w:b w:val="0"/>
                      <w:bCs w:val="0"/>
                    </w:rPr>
                  </w:pPr>
                  <w:r>
                    <w:rPr>
                      <w:b w:val="0"/>
                      <w:bCs w:val="0"/>
                    </w:rPr>
                    <w:t>颗粒</w:t>
                  </w:r>
                </w:p>
              </w:tc>
              <w:tc>
                <w:tcPr>
                  <w:tcW w:w="604" w:type="pct"/>
                  <w:tcBorders>
                    <w:tl2br w:val="nil"/>
                    <w:tr2bl w:val="nil"/>
                  </w:tcBorders>
                  <w:vAlign w:val="center"/>
                </w:tcPr>
                <w:p>
                  <w:pPr>
                    <w:pStyle w:val="47"/>
                    <w:rPr>
                      <w:b w:val="0"/>
                      <w:bCs w:val="0"/>
                    </w:rPr>
                  </w:pPr>
                  <w:r>
                    <w:rPr>
                      <w:b w:val="0"/>
                      <w:bCs w:val="0"/>
                    </w:rPr>
                    <w:t>/</w:t>
                  </w:r>
                </w:p>
              </w:tc>
            </w:tr>
          </w:tbl>
          <w:p>
            <w:pPr>
              <w:pStyle w:val="46"/>
              <w:snapToGrid w:val="0"/>
              <w:spacing w:line="360" w:lineRule="auto"/>
              <w:ind w:firstLine="482" w:firstLineChars="200"/>
              <w:rPr>
                <w:rFonts w:ascii="Times New Roman" w:hAnsi="Times New Roman" w:cs="Times New Roman"/>
                <w:b/>
              </w:rPr>
            </w:pPr>
            <w:r>
              <w:rPr>
                <w:rFonts w:ascii="Times New Roman" w:hAnsi="Times New Roman" w:cs="Times New Roman"/>
                <w:b/>
              </w:rPr>
              <w:t>原辅性能及理化性质：</w:t>
            </w:r>
          </w:p>
          <w:p>
            <w:pPr>
              <w:adjustRightInd w:val="0"/>
              <w:snapToGrid w:val="0"/>
              <w:spacing w:line="360" w:lineRule="auto"/>
              <w:ind w:firstLine="456" w:firstLineChars="200"/>
              <w:rPr>
                <w:rFonts w:ascii="Times New Roman" w:hAnsi="Times New Roman" w:cs="Times New Roman"/>
                <w:spacing w:val="-6"/>
                <w:lang w:val="en-US"/>
              </w:rPr>
            </w:pPr>
            <w:r>
              <w:rPr>
                <w:rFonts w:ascii="Times New Roman" w:hAnsi="Times New Roman" w:cs="Times New Roman"/>
                <w:spacing w:val="-6"/>
                <w:lang w:val="en-US"/>
              </w:rPr>
              <w:t>聚乙烯颗粒：聚乙烯为</w:t>
            </w:r>
            <w:r>
              <w:fldChar w:fldCharType="begin"/>
            </w:r>
            <w:r>
              <w:instrText xml:space="preserve"> HYPERLINK "http://baike.baidu.com/view/15690.htm" \t "_blank" </w:instrText>
            </w:r>
            <w:r>
              <w:fldChar w:fldCharType="separate"/>
            </w:r>
            <w:r>
              <w:rPr>
                <w:rFonts w:ascii="Times New Roman" w:hAnsi="Times New Roman" w:cs="Times New Roman"/>
                <w:spacing w:val="-6"/>
                <w:lang w:val="en-US"/>
              </w:rPr>
              <w:t>乙烯</w:t>
            </w:r>
            <w:r>
              <w:rPr>
                <w:rFonts w:ascii="Times New Roman" w:hAnsi="Times New Roman" w:cs="Times New Roman"/>
                <w:spacing w:val="-6"/>
                <w:lang w:val="en-US"/>
              </w:rPr>
              <w:fldChar w:fldCharType="end"/>
            </w:r>
            <w:r>
              <w:rPr>
                <w:rFonts w:ascii="Times New Roman" w:hAnsi="Times New Roman" w:cs="Times New Roman"/>
                <w:spacing w:val="-6"/>
                <w:lang w:val="en-US"/>
              </w:rPr>
              <w:t>共聚生成的</w:t>
            </w:r>
            <w:r>
              <w:fldChar w:fldCharType="begin"/>
            </w:r>
            <w:r>
              <w:instrText xml:space="preserve"> HYPERLINK "http://baike.baidu.com/view/536819.htm" \t "_blank" </w:instrText>
            </w:r>
            <w:r>
              <w:fldChar w:fldCharType="separate"/>
            </w:r>
            <w:r>
              <w:rPr>
                <w:rFonts w:ascii="Times New Roman" w:hAnsi="Times New Roman" w:cs="Times New Roman"/>
                <w:spacing w:val="-6"/>
                <w:lang w:val="en-US"/>
              </w:rPr>
              <w:t>结晶度</w:t>
            </w:r>
            <w:r>
              <w:rPr>
                <w:rFonts w:ascii="Times New Roman" w:hAnsi="Times New Roman" w:cs="Times New Roman"/>
                <w:spacing w:val="-6"/>
                <w:lang w:val="en-US"/>
              </w:rPr>
              <w:fldChar w:fldCharType="end"/>
            </w:r>
            <w:r>
              <w:rPr>
                <w:rFonts w:ascii="Times New Roman" w:hAnsi="Times New Roman" w:cs="Times New Roman"/>
                <w:spacing w:val="-6"/>
                <w:lang w:val="en-US"/>
              </w:rPr>
              <w:t>高、非极性的热塑性</w:t>
            </w:r>
            <w:r>
              <w:fldChar w:fldCharType="begin"/>
            </w:r>
            <w:r>
              <w:instrText xml:space="preserve"> HYPERLINK "http://baike.baidu.com/view/767486.htm" \t "_blank" </w:instrText>
            </w:r>
            <w:r>
              <w:fldChar w:fldCharType="separate"/>
            </w:r>
            <w:r>
              <w:rPr>
                <w:rFonts w:ascii="Times New Roman" w:hAnsi="Times New Roman" w:cs="Times New Roman"/>
                <w:spacing w:val="-6"/>
                <w:lang w:val="en-US"/>
              </w:rPr>
              <w:t>聚烯烃</w:t>
            </w:r>
            <w:r>
              <w:rPr>
                <w:rFonts w:ascii="Times New Roman" w:hAnsi="Times New Roman" w:cs="Times New Roman"/>
                <w:spacing w:val="-6"/>
                <w:lang w:val="en-US"/>
              </w:rPr>
              <w:fldChar w:fldCharType="end"/>
            </w:r>
            <w:r>
              <w:rPr>
                <w:rFonts w:ascii="Times New Roman" w:hAnsi="Times New Roman" w:cs="Times New Roman"/>
                <w:spacing w:val="-6"/>
                <w:lang w:val="en-US"/>
              </w:rPr>
              <w:t>。熔点约为130℃，分解温度&gt;335℃，无毒、无味、无臭的白色颗粒，相对密度为0.94~0.96g/cm</w:t>
            </w:r>
            <w:r>
              <w:rPr>
                <w:rFonts w:ascii="Times New Roman" w:hAnsi="Times New Roman" w:cs="Times New Roman"/>
                <w:spacing w:val="-6"/>
                <w:vertAlign w:val="superscript"/>
                <w:lang w:val="en-US"/>
              </w:rPr>
              <w:t>3</w:t>
            </w:r>
            <w:r>
              <w:rPr>
                <w:rFonts w:ascii="Times New Roman" w:hAnsi="Times New Roman" w:cs="Times New Roman"/>
                <w:spacing w:val="-6"/>
                <w:lang w:val="en-US"/>
              </w:rPr>
              <w:t>；具有良好的耐热性和耐寒性，化学稳定性好，还具有较高的刚性和韧性，机械强度好。</w:t>
            </w:r>
          </w:p>
          <w:p>
            <w:pPr>
              <w:adjustRightInd w:val="0"/>
              <w:snapToGrid w:val="0"/>
              <w:spacing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性质：本色、圆柱状或扁圆状颗粒，颗粒光洁，粒子的尺寸在任意方向上应为2 mm～5 mm，无机械杂质，具热塑性。粉料为本白色粉末，合格品允许有微黄色。常温下不溶于一般溶剂，但在脂肪烃、芳香烃和卤代烃中长时间接触时能溶胀，在70℃以上时稍溶于甲苯、醋酸中。在空气中加热和受日光影响发生氧化作用。能耐大多数酸碱的侵蚀。吸水性小，在低温时仍能保持柔软性，电绝缘性高。本项目不合格产品及边角料经破碎后，不进行回用，暂存于一般固废暂存间，</w:t>
            </w:r>
            <w:r>
              <w:rPr>
                <w:rFonts w:hint="eastAsia"/>
              </w:rPr>
              <w:t>由原辅料厂家进行回收。</w:t>
            </w:r>
          </w:p>
          <w:p>
            <w:pPr>
              <w:adjustRightInd w:val="0"/>
              <w:snapToGrid w:val="0"/>
              <w:spacing w:line="360" w:lineRule="auto"/>
              <w:ind w:firstLine="456" w:firstLineChars="200"/>
              <w:rPr>
                <w:rFonts w:ascii="Times New Roman" w:hAnsi="Times New Roman" w:cs="Times New Roman"/>
                <w:spacing w:val="-6"/>
                <w:lang w:val="en-US"/>
              </w:rPr>
            </w:pPr>
            <w:r>
              <w:rPr>
                <w:rFonts w:ascii="Times New Roman" w:hAnsi="Times New Roman" w:cs="Times New Roman"/>
                <w:spacing w:val="-6"/>
                <w:lang w:val="en-US"/>
              </w:rPr>
              <w:t>色母料：色母料由树脂和颜料或染料配制成高浓度颜色的混合物。色母又名色种，是一种把超常量的颜料或染料均匀载附于树脂之中而制得的聚集体。具有无毒、无味、无烟、产品表面光滑亮泽以及颜色稳定等特点，其熔点一般为134℃，在高温、过水时都不反应，分解温度一般在270~280℃以上。配制色母料所用的颜料（染料）均为天然颜料（染料）和合成有机颜料（染料），天然颜料以矿物、生物为来源，如朱砂、红土、硅石粉、滑石粉、云母粉等；合成有机颜料通过人工合成，以大红粉、偶氮黄、酞青蓝等为原料，均不涉及重金属等有害物质。</w:t>
            </w:r>
          </w:p>
          <w:p>
            <w:pPr>
              <w:pStyle w:val="46"/>
              <w:snapToGrid w:val="0"/>
              <w:spacing w:line="360" w:lineRule="auto"/>
              <w:ind w:firstLine="482" w:firstLineChars="200"/>
              <w:rPr>
                <w:rFonts w:ascii="Times New Roman" w:hAnsi="Times New Roman" w:cs="Times New Roman"/>
                <w:b/>
                <w:bCs/>
              </w:rPr>
            </w:pPr>
            <w:r>
              <w:rPr>
                <w:rFonts w:ascii="Times New Roman" w:hAnsi="Times New Roman" w:cs="Times New Roman"/>
                <w:b/>
                <w:bCs/>
                <w:lang w:val="en-US"/>
              </w:rPr>
              <w:t>5</w:t>
            </w:r>
            <w:r>
              <w:rPr>
                <w:rFonts w:ascii="Times New Roman" w:hAnsi="Times New Roman" w:cs="Times New Roman"/>
                <w:b/>
                <w:bCs/>
              </w:rPr>
              <w:t>、主要生产设备</w:t>
            </w:r>
          </w:p>
          <w:p>
            <w:pPr>
              <w:pStyle w:val="46"/>
              <w:snapToGrid w:val="0"/>
              <w:spacing w:line="360" w:lineRule="auto"/>
              <w:ind w:left="592"/>
              <w:rPr>
                <w:rFonts w:ascii="Times New Roman" w:hAnsi="Times New Roman" w:cs="Times New Roman"/>
              </w:rPr>
            </w:pPr>
            <w:r>
              <w:rPr>
                <w:rFonts w:ascii="Times New Roman" w:hAnsi="Times New Roman" w:cs="Times New Roman"/>
              </w:rPr>
              <w:t xml:space="preserve">根据建设单位提供的资料，项目主要生产设备见表 </w:t>
            </w:r>
            <w:r>
              <w:rPr>
                <w:rFonts w:ascii="Times New Roman" w:hAnsi="Times New Roman" w:eastAsia="Times New Roman" w:cs="Times New Roman"/>
              </w:rPr>
              <w:t>2-4</w:t>
            </w:r>
            <w:r>
              <w:rPr>
                <w:rFonts w:ascii="Times New Roman" w:hAnsi="Times New Roman" w:cs="Times New Roman"/>
              </w:rPr>
              <w:t>。</w:t>
            </w:r>
          </w:p>
          <w:p>
            <w:pPr>
              <w:pStyle w:val="57"/>
              <w:rPr>
                <w:rFonts w:eastAsia="Times New Roman"/>
              </w:rPr>
            </w:pPr>
            <w:r>
              <w:rPr>
                <w:lang w:val="en-US"/>
              </w:rPr>
              <w:t>表 2-4 项目主要生产设备一览表</w:t>
            </w:r>
          </w:p>
          <w:tbl>
            <w:tblPr>
              <w:tblStyle w:val="26"/>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880"/>
              <w:gridCol w:w="2276"/>
              <w:gridCol w:w="909"/>
              <w:gridCol w:w="1382"/>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496"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序号</w:t>
                  </w:r>
                </w:p>
              </w:tc>
              <w:tc>
                <w:tcPr>
                  <w:tcW w:w="118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生产线</w:t>
                  </w:r>
                </w:p>
              </w:tc>
              <w:tc>
                <w:tcPr>
                  <w:tcW w:w="143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设备名称</w:t>
                  </w:r>
                </w:p>
              </w:tc>
              <w:tc>
                <w:tcPr>
                  <w:tcW w:w="573"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型号</w:t>
                  </w:r>
                </w:p>
              </w:tc>
              <w:tc>
                <w:tcPr>
                  <w:tcW w:w="86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数量</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5000" w:type="pct"/>
                  <w:gridSpan w:val="6"/>
                  <w:tcBorders>
                    <w:tl2br w:val="nil"/>
                    <w:tr2bl w:val="nil"/>
                  </w:tcBorders>
                  <w:vAlign w:val="center"/>
                </w:tcPr>
                <w:p>
                  <w:pPr>
                    <w:pStyle w:val="18"/>
                    <w:adjustRightInd w:val="0"/>
                    <w:snapToGrid w:val="0"/>
                    <w:spacing w:line="340" w:lineRule="exact"/>
                    <w:ind w:firstLine="0"/>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1、生产线设备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1</w:t>
                  </w:r>
                </w:p>
              </w:tc>
              <w:tc>
                <w:tcPr>
                  <w:tcW w:w="1185" w:type="pct"/>
                  <w:vMerge w:val="restar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bCs w:val="0"/>
                      <w:sz w:val="21"/>
                      <w:szCs w:val="21"/>
                      <w:lang w:val="en-US"/>
                    </w:rPr>
                    <w:t>食品用塑料包装容器挤出生产线</w:t>
                  </w:r>
                </w:p>
              </w:tc>
              <w:tc>
                <w:tcPr>
                  <w:tcW w:w="143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中空成型挤出机</w:t>
                  </w:r>
                </w:p>
              </w:tc>
              <w:tc>
                <w:tcPr>
                  <w:tcW w:w="573" w:type="pct"/>
                  <w:tcBorders>
                    <w:tl2br w:val="nil"/>
                    <w:tr2bl w:val="nil"/>
                  </w:tcBorders>
                </w:tcPr>
                <w:p>
                  <w:pPr>
                    <w:adjustRightInd w:val="0"/>
                    <w:snapToGrid w:val="0"/>
                    <w:spacing w:line="340" w:lineRule="exact"/>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w:t>
                  </w:r>
                </w:p>
              </w:tc>
              <w:tc>
                <w:tcPr>
                  <w:tcW w:w="869" w:type="pct"/>
                  <w:tcBorders>
                    <w:tl2br w:val="nil"/>
                    <w:tr2bl w:val="nil"/>
                  </w:tcBorders>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7</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2</w:t>
                  </w:r>
                </w:p>
              </w:tc>
              <w:tc>
                <w:tcPr>
                  <w:tcW w:w="1185" w:type="pct"/>
                  <w:vMerge w:val="continue"/>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bCs w:val="0"/>
                      <w:sz w:val="21"/>
                      <w:szCs w:val="21"/>
                      <w:lang w:val="en-US"/>
                    </w:rPr>
                  </w:pPr>
                </w:p>
              </w:tc>
              <w:tc>
                <w:tcPr>
                  <w:tcW w:w="143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自动吸料机</w:t>
                  </w:r>
                </w:p>
              </w:tc>
              <w:tc>
                <w:tcPr>
                  <w:tcW w:w="573" w:type="pct"/>
                  <w:tcBorders>
                    <w:tl2br w:val="nil"/>
                    <w:tr2bl w:val="nil"/>
                  </w:tcBorders>
                </w:tcPr>
                <w:p>
                  <w:pPr>
                    <w:adjustRightInd w:val="0"/>
                    <w:snapToGrid w:val="0"/>
                    <w:spacing w:line="340" w:lineRule="exact"/>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w:t>
                  </w:r>
                </w:p>
              </w:tc>
              <w:tc>
                <w:tcPr>
                  <w:tcW w:w="869" w:type="pct"/>
                  <w:tcBorders>
                    <w:tl2br w:val="nil"/>
                    <w:tr2bl w:val="nil"/>
                  </w:tcBorders>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5</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3</w:t>
                  </w:r>
                </w:p>
              </w:tc>
              <w:tc>
                <w:tcPr>
                  <w:tcW w:w="1185" w:type="pct"/>
                  <w:vMerge w:val="continue"/>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bCs w:val="0"/>
                      <w:sz w:val="21"/>
                      <w:szCs w:val="21"/>
                      <w:lang w:val="en-US"/>
                    </w:rPr>
                  </w:pPr>
                </w:p>
              </w:tc>
              <w:tc>
                <w:tcPr>
                  <w:tcW w:w="143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工业智能冷水机</w:t>
                  </w:r>
                </w:p>
              </w:tc>
              <w:tc>
                <w:tcPr>
                  <w:tcW w:w="573" w:type="pct"/>
                  <w:tcBorders>
                    <w:tl2br w:val="nil"/>
                    <w:tr2bl w:val="nil"/>
                  </w:tcBorders>
                </w:tcPr>
                <w:p>
                  <w:pPr>
                    <w:adjustRightInd w:val="0"/>
                    <w:snapToGrid w:val="0"/>
                    <w:spacing w:line="340" w:lineRule="exact"/>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w:t>
                  </w:r>
                </w:p>
              </w:tc>
              <w:tc>
                <w:tcPr>
                  <w:tcW w:w="869" w:type="pct"/>
                  <w:tcBorders>
                    <w:tl2br w:val="nil"/>
                    <w:tr2bl w:val="nil"/>
                  </w:tcBorders>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7</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1</w:t>
                  </w:r>
                </w:p>
              </w:tc>
              <w:tc>
                <w:tcPr>
                  <w:tcW w:w="1185" w:type="pct"/>
                  <w:vMerge w:val="restar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bCs w:val="0"/>
                      <w:sz w:val="21"/>
                      <w:szCs w:val="21"/>
                      <w:lang w:val="en-US"/>
                    </w:rPr>
                    <w:t>食品用塑料包装容器注塑生产线</w:t>
                  </w:r>
                </w:p>
              </w:tc>
              <w:tc>
                <w:tcPr>
                  <w:tcW w:w="143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注塑机</w:t>
                  </w:r>
                </w:p>
              </w:tc>
              <w:tc>
                <w:tcPr>
                  <w:tcW w:w="573" w:type="pct"/>
                  <w:tcBorders>
                    <w:tl2br w:val="nil"/>
                    <w:tr2bl w:val="nil"/>
                  </w:tcBorders>
                </w:tcPr>
                <w:p>
                  <w:pPr>
                    <w:adjustRightInd w:val="0"/>
                    <w:snapToGrid w:val="0"/>
                    <w:spacing w:line="340" w:lineRule="exact"/>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w:t>
                  </w:r>
                </w:p>
              </w:tc>
              <w:tc>
                <w:tcPr>
                  <w:tcW w:w="869" w:type="pct"/>
                  <w:tcBorders>
                    <w:tl2br w:val="nil"/>
                    <w:tr2bl w:val="nil"/>
                  </w:tcBorders>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4</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2</w:t>
                  </w:r>
                </w:p>
              </w:tc>
              <w:tc>
                <w:tcPr>
                  <w:tcW w:w="1185" w:type="pct"/>
                  <w:vMerge w:val="continue"/>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bCs w:val="0"/>
                      <w:sz w:val="21"/>
                      <w:szCs w:val="21"/>
                      <w:lang w:val="en-US"/>
                    </w:rPr>
                  </w:pPr>
                </w:p>
              </w:tc>
              <w:tc>
                <w:tcPr>
                  <w:tcW w:w="143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真空吸料机</w:t>
                  </w:r>
                </w:p>
              </w:tc>
              <w:tc>
                <w:tcPr>
                  <w:tcW w:w="573" w:type="pct"/>
                  <w:tcBorders>
                    <w:tl2br w:val="nil"/>
                    <w:tr2bl w:val="nil"/>
                  </w:tcBorders>
                </w:tcPr>
                <w:p>
                  <w:pPr>
                    <w:adjustRightInd w:val="0"/>
                    <w:snapToGrid w:val="0"/>
                    <w:spacing w:line="340" w:lineRule="exact"/>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w:t>
                  </w:r>
                </w:p>
              </w:tc>
              <w:tc>
                <w:tcPr>
                  <w:tcW w:w="869" w:type="pct"/>
                  <w:tcBorders>
                    <w:tl2br w:val="nil"/>
                    <w:tr2bl w:val="nil"/>
                  </w:tcBorders>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2</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0" w:type="pct"/>
                  <w:gridSpan w:val="5"/>
                  <w:tcBorders>
                    <w:tl2br w:val="nil"/>
                    <w:tr2bl w:val="nil"/>
                  </w:tcBorders>
                  <w:vAlign w:val="center"/>
                </w:tcPr>
                <w:p>
                  <w:pPr>
                    <w:pStyle w:val="18"/>
                    <w:adjustRightInd w:val="0"/>
                    <w:snapToGrid w:val="0"/>
                    <w:spacing w:line="340" w:lineRule="exact"/>
                    <w:ind w:firstLine="0"/>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2、公用设备</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rPr>
                  </w:pPr>
                  <w:r>
                    <w:rPr>
                      <w:rFonts w:ascii="Times New Roman" w:hAnsi="Times New Roman" w:cs="Times New Roman"/>
                      <w:snapToGrid w:val="0"/>
                      <w:color w:val="000000" w:themeColor="text1"/>
                      <w:sz w:val="21"/>
                      <w:szCs w:val="21"/>
                      <w:lang w:val="en-US"/>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1</w:t>
                  </w:r>
                </w:p>
              </w:tc>
              <w:tc>
                <w:tcPr>
                  <w:tcW w:w="1185" w:type="pct"/>
                  <w:vMerge w:val="restar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w:t>
                  </w:r>
                </w:p>
              </w:tc>
              <w:tc>
                <w:tcPr>
                  <w:tcW w:w="143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空气压缩机</w:t>
                  </w:r>
                </w:p>
              </w:tc>
              <w:tc>
                <w:tcPr>
                  <w:tcW w:w="573" w:type="pct"/>
                  <w:tcBorders>
                    <w:tl2br w:val="nil"/>
                    <w:tr2bl w:val="nil"/>
                  </w:tcBorders>
                </w:tcPr>
                <w:p>
                  <w:pPr>
                    <w:adjustRightInd w:val="0"/>
                    <w:snapToGrid w:val="0"/>
                    <w:spacing w:line="340" w:lineRule="exact"/>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w:t>
                  </w:r>
                </w:p>
              </w:tc>
              <w:tc>
                <w:tcPr>
                  <w:tcW w:w="869" w:type="pct"/>
                  <w:tcBorders>
                    <w:tl2br w:val="nil"/>
                    <w:tr2bl w:val="nil"/>
                  </w:tcBorders>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2</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2</w:t>
                  </w:r>
                </w:p>
              </w:tc>
              <w:tc>
                <w:tcPr>
                  <w:tcW w:w="1185" w:type="pct"/>
                  <w:vMerge w:val="continue"/>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p>
              </w:tc>
              <w:tc>
                <w:tcPr>
                  <w:tcW w:w="143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破碎机</w:t>
                  </w:r>
                </w:p>
              </w:tc>
              <w:tc>
                <w:tcPr>
                  <w:tcW w:w="573" w:type="pct"/>
                  <w:tcBorders>
                    <w:tl2br w:val="nil"/>
                    <w:tr2bl w:val="nil"/>
                  </w:tcBorders>
                </w:tcPr>
                <w:p>
                  <w:pPr>
                    <w:adjustRightInd w:val="0"/>
                    <w:snapToGrid w:val="0"/>
                    <w:spacing w:line="340" w:lineRule="exact"/>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w:t>
                  </w:r>
                </w:p>
              </w:tc>
              <w:tc>
                <w:tcPr>
                  <w:tcW w:w="869" w:type="pct"/>
                  <w:tcBorders>
                    <w:tl2br w:val="nil"/>
                    <w:tr2bl w:val="nil"/>
                  </w:tcBorders>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3</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3</w:t>
                  </w:r>
                </w:p>
              </w:tc>
              <w:tc>
                <w:tcPr>
                  <w:tcW w:w="1185" w:type="pct"/>
                  <w:vMerge w:val="continue"/>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p>
              </w:tc>
              <w:tc>
                <w:tcPr>
                  <w:tcW w:w="1435"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模具</w:t>
                  </w:r>
                </w:p>
              </w:tc>
              <w:tc>
                <w:tcPr>
                  <w:tcW w:w="573" w:type="pct"/>
                  <w:tcBorders>
                    <w:tl2br w:val="nil"/>
                    <w:tr2bl w:val="nil"/>
                  </w:tcBorders>
                </w:tcPr>
                <w:p>
                  <w:pPr>
                    <w:adjustRightInd w:val="0"/>
                    <w:snapToGrid w:val="0"/>
                    <w:spacing w:line="340" w:lineRule="exact"/>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w:t>
                  </w:r>
                </w:p>
              </w:tc>
              <w:tc>
                <w:tcPr>
                  <w:tcW w:w="869" w:type="pct"/>
                  <w:tcBorders>
                    <w:tl2br w:val="nil"/>
                    <w:tr2bl w:val="nil"/>
                  </w:tcBorders>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30</w:t>
                  </w:r>
                </w:p>
              </w:tc>
              <w:tc>
                <w:tcPr>
                  <w:tcW w:w="439" w:type="pct"/>
                  <w:tcBorders>
                    <w:tl2br w:val="nil"/>
                    <w:tr2bl w:val="nil"/>
                  </w:tcBorders>
                  <w:vAlign w:val="center"/>
                </w:tcPr>
                <w:p>
                  <w:pPr>
                    <w:pStyle w:val="18"/>
                    <w:adjustRightInd w:val="0"/>
                    <w:snapToGrid w:val="0"/>
                    <w:spacing w:line="340" w:lineRule="exact"/>
                    <w:ind w:firstLine="0"/>
                    <w:jc w:val="center"/>
                    <w:rPr>
                      <w:rFonts w:ascii="Times New Roman" w:hAnsi="Times New Roman" w:cs="Times New Roman"/>
                      <w:snapToGrid w:val="0"/>
                      <w:color w:val="000000" w:themeColor="text1"/>
                      <w:sz w:val="21"/>
                      <w:szCs w:val="21"/>
                      <w:lang w:val="en-US"/>
                      <w14:textFill>
                        <w14:solidFill>
                          <w14:schemeClr w14:val="tx1"/>
                        </w14:solidFill>
                      </w14:textFill>
                    </w:rPr>
                  </w:pPr>
                  <w:r>
                    <w:rPr>
                      <w:rFonts w:ascii="Times New Roman" w:hAnsi="Times New Roman" w:cs="Times New Roman"/>
                      <w:snapToGrid w:val="0"/>
                      <w:color w:val="000000" w:themeColor="text1"/>
                      <w:sz w:val="21"/>
                      <w:szCs w:val="21"/>
                      <w:lang w:val="en-US"/>
                      <w14:textFill>
                        <w14:solidFill>
                          <w14:schemeClr w14:val="tx1"/>
                        </w14:solidFill>
                      </w14:textFill>
                    </w:rPr>
                    <w:t>外购</w:t>
                  </w:r>
                </w:p>
              </w:tc>
            </w:tr>
          </w:tbl>
          <w:p>
            <w:pPr>
              <w:pStyle w:val="46"/>
              <w:snapToGrid w:val="0"/>
              <w:spacing w:line="360" w:lineRule="auto"/>
              <w:ind w:left="592"/>
              <w:jc w:val="both"/>
              <w:rPr>
                <w:rFonts w:ascii="Times New Roman" w:hAnsi="Times New Roman" w:cs="Times New Roman"/>
                <w:b/>
                <w:bCs/>
              </w:rPr>
            </w:pPr>
            <w:r>
              <w:rPr>
                <w:rFonts w:ascii="Times New Roman" w:hAnsi="Times New Roman" w:cs="Times New Roman"/>
                <w:b/>
                <w:bCs/>
                <w:lang w:val="en-US"/>
              </w:rPr>
              <w:t>6</w:t>
            </w:r>
            <w:r>
              <w:rPr>
                <w:rFonts w:ascii="Times New Roman" w:hAnsi="Times New Roman" w:cs="Times New Roman"/>
                <w:b/>
                <w:bCs/>
              </w:rPr>
              <w:t>、占地及平面布置</w:t>
            </w:r>
          </w:p>
          <w:p>
            <w:pPr>
              <w:pStyle w:val="46"/>
              <w:snapToGrid w:val="0"/>
              <w:spacing w:line="360" w:lineRule="auto"/>
              <w:ind w:firstLine="480" w:firstLineChars="200"/>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项目区内设有</w:t>
            </w:r>
            <w:r>
              <w:rPr>
                <w:rFonts w:ascii="Times New Roman" w:hAnsi="Times New Roman" w:cs="Times New Roman"/>
                <w:color w:val="000000" w:themeColor="text1"/>
                <w:lang w:val="en-US"/>
                <w14:textFill>
                  <w14:solidFill>
                    <w14:schemeClr w14:val="tx1"/>
                  </w14:solidFill>
                </w14:textFill>
              </w:rPr>
              <w:t>生产车间</w:t>
            </w:r>
            <w:r>
              <w:rPr>
                <w:rFonts w:ascii="Times New Roman" w:hAnsi="Times New Roman" w:cs="Times New Roman"/>
                <w:color w:val="000000" w:themeColor="text1"/>
                <w14:textFill>
                  <w14:solidFill>
                    <w14:schemeClr w14:val="tx1"/>
                  </w14:solidFill>
                </w14:textFill>
              </w:rPr>
              <w:t>和</w:t>
            </w:r>
            <w:r>
              <w:rPr>
                <w:rFonts w:ascii="Times New Roman" w:hAnsi="Times New Roman" w:cs="Times New Roman"/>
                <w:color w:val="000000" w:themeColor="text1"/>
                <w:lang w:val="en-US"/>
                <w14:textFill>
                  <w14:solidFill>
                    <w14:schemeClr w14:val="tx1"/>
                  </w14:solidFill>
                </w14:textFill>
              </w:rPr>
              <w:t>原辅料仓库车间</w:t>
            </w:r>
            <w:r>
              <w:rPr>
                <w:rFonts w:ascii="Times New Roman" w:hAnsi="Times New Roman" w:cs="Times New Roman"/>
                <w:color w:val="000000" w:themeColor="text1"/>
                <w14:textFill>
                  <w14:solidFill>
                    <w14:schemeClr w14:val="tx1"/>
                  </w14:solidFill>
                </w14:textFill>
              </w:rPr>
              <w:t>，项目总体布局较简单，</w:t>
            </w:r>
            <w:r>
              <w:rPr>
                <w:rFonts w:ascii="Times New Roman" w:hAnsi="Times New Roman" w:cs="Times New Roman"/>
                <w:color w:val="000000" w:themeColor="text1"/>
                <w:lang w:val="en-US"/>
                <w14:textFill>
                  <w14:solidFill>
                    <w14:schemeClr w14:val="tx1"/>
                  </w14:solidFill>
                </w14:textFill>
              </w:rPr>
              <w:t>从东往西依为变电房、破碎区</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原料堆放区</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挤出区</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注塑区、办公区、模具放置区</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原辅料仓库车间作为仓库堆放原料等，主要生产为生产车间。项目区出入口位于项目西侧，紧接园区道路便于原料运入及产品运出。整体布局合理，项目总平面布置图详见附图4。</w:t>
            </w:r>
          </w:p>
          <w:p>
            <w:pPr>
              <w:pStyle w:val="46"/>
              <w:snapToGrid w:val="0"/>
              <w:spacing w:line="360" w:lineRule="auto"/>
              <w:ind w:firstLine="482" w:firstLineChars="200"/>
              <w:jc w:val="both"/>
              <w:rPr>
                <w:rFonts w:ascii="Times New Roman" w:hAnsi="Times New Roman" w:cs="Times New Roman"/>
                <w:b/>
                <w:bCs/>
                <w:lang w:val="en-US"/>
              </w:rPr>
            </w:pPr>
            <w:r>
              <w:rPr>
                <w:rFonts w:ascii="Times New Roman" w:hAnsi="Times New Roman" w:cs="Times New Roman"/>
                <w:b/>
                <w:bCs/>
                <w:lang w:val="en-US"/>
              </w:rPr>
              <w:t>7、工作制度及劳动定员</w:t>
            </w:r>
          </w:p>
          <w:p>
            <w:pPr>
              <w:pStyle w:val="46"/>
              <w:snapToGrid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工作制度：项目年工作210天，采用3班制，每班8小时，每天工作24小时。</w:t>
            </w:r>
          </w:p>
          <w:p>
            <w:pPr>
              <w:pStyle w:val="46"/>
              <w:snapToGrid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劳动定员：项目定员20人，厂区内不设食宿。</w:t>
            </w:r>
          </w:p>
          <w:p>
            <w:pPr>
              <w:pStyle w:val="46"/>
              <w:snapToGrid w:val="0"/>
              <w:spacing w:line="360" w:lineRule="auto"/>
              <w:ind w:firstLine="482" w:firstLineChars="200"/>
              <w:jc w:val="both"/>
              <w:rPr>
                <w:rFonts w:ascii="Times New Roman" w:hAnsi="Times New Roman" w:cs="Times New Roman"/>
                <w:b/>
                <w:bCs/>
                <w:lang w:val="en-US"/>
              </w:rPr>
            </w:pPr>
            <w:r>
              <w:rPr>
                <w:rFonts w:ascii="Times New Roman" w:hAnsi="Times New Roman" w:cs="Times New Roman"/>
                <w:b/>
                <w:bCs/>
                <w:lang w:val="en-US"/>
              </w:rPr>
              <w:t>8、施工周期安排</w:t>
            </w:r>
          </w:p>
          <w:p>
            <w:pPr>
              <w:pStyle w:val="46"/>
              <w:snapToGrid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根据建设单位提供资料，项目施工周期为 2021 年12月~2022 年3月（共 3个月）。</w:t>
            </w:r>
          </w:p>
          <w:p>
            <w:pPr>
              <w:pStyle w:val="46"/>
              <w:snapToGrid w:val="0"/>
              <w:spacing w:line="360" w:lineRule="auto"/>
              <w:ind w:firstLine="482" w:firstLineChars="200"/>
              <w:jc w:val="both"/>
              <w:rPr>
                <w:rFonts w:ascii="Times New Roman" w:hAnsi="Times New Roman" w:cs="Times New Roman"/>
                <w:b/>
                <w:bCs/>
                <w:lang w:val="en-US"/>
              </w:rPr>
            </w:pPr>
            <w:r>
              <w:rPr>
                <w:rFonts w:ascii="Times New Roman" w:hAnsi="Times New Roman" w:cs="Times New Roman"/>
                <w:b/>
                <w:bCs/>
                <w:lang w:val="en-US"/>
              </w:rPr>
              <w:t>9、项目环保投资估算</w:t>
            </w:r>
          </w:p>
          <w:p>
            <w:pPr>
              <w:pStyle w:val="46"/>
              <w:snapToGrid w:val="0"/>
              <w:spacing w:line="360" w:lineRule="auto"/>
              <w:ind w:firstLine="480" w:firstLineChars="200"/>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lang w:val="en-US"/>
              </w:rPr>
              <w:t>项目总投资</w:t>
            </w:r>
            <w:r>
              <w:rPr>
                <w:rFonts w:hint="eastAsia" w:ascii="Times New Roman" w:hAnsi="Times New Roman" w:cs="Times New Roman"/>
                <w:lang w:val="en-US"/>
              </w:rPr>
              <w:t>1020</w:t>
            </w:r>
            <w:r>
              <w:rPr>
                <w:rFonts w:ascii="Times New Roman" w:hAnsi="Times New Roman" w:cs="Times New Roman"/>
                <w:lang w:val="en-US"/>
              </w:rPr>
              <w:t>万元，其中</w:t>
            </w:r>
            <w:r>
              <w:rPr>
                <w:rFonts w:ascii="Times New Roman" w:hAnsi="Times New Roman" w:cs="Times New Roman"/>
                <w:color w:val="000000" w:themeColor="text1"/>
                <w:lang w:val="en-US"/>
                <w14:textFill>
                  <w14:solidFill>
                    <w14:schemeClr w14:val="tx1"/>
                  </w14:solidFill>
                </w14:textFill>
              </w:rPr>
              <w:t>：环保投资23.3万元，占总投资的</w:t>
            </w:r>
            <w:r>
              <w:rPr>
                <w:rFonts w:hint="eastAsia" w:ascii="Times New Roman" w:hAnsi="Times New Roman" w:cs="Times New Roman"/>
                <w:color w:val="000000" w:themeColor="text1"/>
                <w:lang w:val="en-US"/>
                <w14:textFill>
                  <w14:solidFill>
                    <w14:schemeClr w14:val="tx1"/>
                  </w14:solidFill>
                </w14:textFill>
              </w:rPr>
              <w:t>2.28</w:t>
            </w:r>
            <w:r>
              <w:rPr>
                <w:rFonts w:ascii="Times New Roman" w:hAnsi="Times New Roman" w:cs="Times New Roman"/>
                <w:color w:val="000000" w:themeColor="text1"/>
                <w:lang w:val="en-US"/>
                <w14:textFill>
                  <w14:solidFill>
                    <w14:schemeClr w14:val="tx1"/>
                  </w14:solidFill>
                </w14:textFill>
              </w:rPr>
              <w:t>%。</w:t>
            </w:r>
          </w:p>
          <w:p>
            <w:pPr>
              <w:pStyle w:val="57"/>
              <w:rPr>
                <w:lang w:val="en-US"/>
              </w:rPr>
            </w:pPr>
            <w:r>
              <w:rPr>
                <w:lang w:val="en-US"/>
              </w:rPr>
              <w:t xml:space="preserve">表2-5 </w:t>
            </w:r>
            <w:r>
              <w:t>环保投资</w:t>
            </w:r>
            <w:r>
              <w:rPr>
                <w:lang w:val="en-US"/>
              </w:rPr>
              <w:t>一览表</w:t>
            </w:r>
          </w:p>
          <w:tbl>
            <w:tblPr>
              <w:tblStyle w:val="26"/>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19"/>
              <w:gridCol w:w="1610"/>
              <w:gridCol w:w="2262"/>
              <w:gridCol w:w="2026"/>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43"/>
                    <w:rPr>
                      <w:rFonts w:cs="Times New Roman"/>
                    </w:rPr>
                  </w:pPr>
                  <w:r>
                    <w:rPr>
                      <w:rFonts w:cs="Times New Roman"/>
                    </w:rPr>
                    <w:t>阶段</w:t>
                  </w:r>
                </w:p>
              </w:tc>
              <w:tc>
                <w:tcPr>
                  <w:tcW w:w="1279" w:type="pct"/>
                  <w:gridSpan w:val="2"/>
                  <w:tcBorders>
                    <w:tl2br w:val="nil"/>
                    <w:tr2bl w:val="nil"/>
                  </w:tcBorders>
                  <w:vAlign w:val="center"/>
                </w:tcPr>
                <w:p>
                  <w:pPr>
                    <w:pStyle w:val="43"/>
                    <w:rPr>
                      <w:rFonts w:cs="Times New Roman"/>
                    </w:rPr>
                  </w:pPr>
                  <w:r>
                    <w:rPr>
                      <w:rFonts w:cs="Times New Roman"/>
                    </w:rPr>
                    <w:t>类别</w:t>
                  </w:r>
                </w:p>
              </w:tc>
              <w:tc>
                <w:tcPr>
                  <w:tcW w:w="1425" w:type="pct"/>
                  <w:tcBorders>
                    <w:tl2br w:val="nil"/>
                    <w:tr2bl w:val="nil"/>
                  </w:tcBorders>
                  <w:vAlign w:val="center"/>
                </w:tcPr>
                <w:p>
                  <w:pPr>
                    <w:pStyle w:val="43"/>
                    <w:rPr>
                      <w:rFonts w:cs="Times New Roman"/>
                    </w:rPr>
                  </w:pPr>
                  <w:r>
                    <w:rPr>
                      <w:rFonts w:cs="Times New Roman"/>
                    </w:rPr>
                    <w:t>环保治理措施</w:t>
                  </w:r>
                </w:p>
              </w:tc>
              <w:tc>
                <w:tcPr>
                  <w:tcW w:w="1276" w:type="pct"/>
                  <w:tcBorders>
                    <w:tl2br w:val="nil"/>
                    <w:tr2bl w:val="nil"/>
                  </w:tcBorders>
                  <w:vAlign w:val="center"/>
                </w:tcPr>
                <w:p>
                  <w:pPr>
                    <w:pStyle w:val="43"/>
                    <w:rPr>
                      <w:rFonts w:cs="Times New Roman"/>
                    </w:rPr>
                  </w:pPr>
                  <w:r>
                    <w:rPr>
                      <w:rFonts w:cs="Times New Roman"/>
                    </w:rPr>
                    <w:t>建设投资额（万元）</w:t>
                  </w:r>
                </w:p>
              </w:tc>
              <w:tc>
                <w:tcPr>
                  <w:tcW w:w="755" w:type="pct"/>
                  <w:tcBorders>
                    <w:tl2br w:val="nil"/>
                    <w:tr2bl w:val="nil"/>
                  </w:tcBorders>
                  <w:vAlign w:val="center"/>
                </w:tcPr>
                <w:p>
                  <w:pPr>
                    <w:pStyle w:val="43"/>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vAlign w:val="center"/>
                </w:tcPr>
                <w:p>
                  <w:pPr>
                    <w:pStyle w:val="43"/>
                    <w:rPr>
                      <w:rFonts w:cs="Times New Roman"/>
                      <w:lang w:val="en-US"/>
                    </w:rPr>
                  </w:pPr>
                  <w:r>
                    <w:rPr>
                      <w:rFonts w:cs="Times New Roman"/>
                      <w:lang w:val="en-US"/>
                    </w:rPr>
                    <w:t>施工期</w:t>
                  </w:r>
                </w:p>
              </w:tc>
              <w:tc>
                <w:tcPr>
                  <w:tcW w:w="1279" w:type="pct"/>
                  <w:gridSpan w:val="2"/>
                  <w:tcBorders>
                    <w:tl2br w:val="nil"/>
                    <w:tr2bl w:val="nil"/>
                  </w:tcBorders>
                  <w:vAlign w:val="center"/>
                </w:tcPr>
                <w:p>
                  <w:pPr>
                    <w:pStyle w:val="43"/>
                    <w:rPr>
                      <w:rFonts w:cs="Times New Roman"/>
                    </w:rPr>
                  </w:pPr>
                  <w:r>
                    <w:rPr>
                      <w:rFonts w:cs="Times New Roman"/>
                    </w:rPr>
                    <w:t>噪声</w:t>
                  </w:r>
                </w:p>
              </w:tc>
              <w:tc>
                <w:tcPr>
                  <w:tcW w:w="1425" w:type="pct"/>
                  <w:tcBorders>
                    <w:tl2br w:val="nil"/>
                    <w:tr2bl w:val="nil"/>
                  </w:tcBorders>
                  <w:vAlign w:val="center"/>
                </w:tcPr>
                <w:p>
                  <w:pPr>
                    <w:pStyle w:val="43"/>
                    <w:rPr>
                      <w:rFonts w:cs="Times New Roman"/>
                    </w:rPr>
                  </w:pPr>
                  <w:r>
                    <w:rPr>
                      <w:rFonts w:cs="Times New Roman"/>
                      <w:lang w:val="en-US"/>
                    </w:rPr>
                    <w:t>选用低噪声设备、加装减震垫</w:t>
                  </w:r>
                </w:p>
              </w:tc>
              <w:tc>
                <w:tcPr>
                  <w:tcW w:w="1276" w:type="pct"/>
                  <w:tcBorders>
                    <w:tl2br w:val="nil"/>
                    <w:tr2bl w:val="nil"/>
                  </w:tcBorders>
                  <w:vAlign w:val="center"/>
                </w:tcPr>
                <w:p>
                  <w:pPr>
                    <w:pStyle w:val="43"/>
                    <w:rPr>
                      <w:rFonts w:cs="Times New Roman"/>
                      <w:lang w:val="en-US"/>
                    </w:rPr>
                  </w:pPr>
                  <w:r>
                    <w:rPr>
                      <w:rFonts w:cs="Times New Roman"/>
                      <w:lang w:val="en-US"/>
                    </w:rPr>
                    <w:t>0.7</w:t>
                  </w:r>
                </w:p>
              </w:tc>
              <w:tc>
                <w:tcPr>
                  <w:tcW w:w="755" w:type="pct"/>
                  <w:tcBorders>
                    <w:tl2br w:val="nil"/>
                    <w:tr2bl w:val="nil"/>
                  </w:tcBorders>
                  <w:vAlign w:val="center"/>
                </w:tcPr>
                <w:p>
                  <w:pPr>
                    <w:pStyle w:val="43"/>
                    <w:rPr>
                      <w:rFonts w:cs="Times New Roman"/>
                    </w:rPr>
                  </w:pPr>
                  <w:r>
                    <w:rPr>
                      <w:rFonts w:cs="Times New Roman"/>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63" w:type="pct"/>
                  <w:vMerge w:val="continue"/>
                  <w:tcBorders>
                    <w:tl2br w:val="nil"/>
                    <w:tr2bl w:val="nil"/>
                  </w:tcBorders>
                  <w:vAlign w:val="center"/>
                </w:tcPr>
                <w:p>
                  <w:pPr>
                    <w:pStyle w:val="43"/>
                    <w:rPr>
                      <w:rFonts w:cs="Times New Roman"/>
                    </w:rPr>
                  </w:pPr>
                </w:p>
              </w:tc>
              <w:tc>
                <w:tcPr>
                  <w:tcW w:w="1279" w:type="pct"/>
                  <w:gridSpan w:val="2"/>
                  <w:tcBorders>
                    <w:tl2br w:val="nil"/>
                    <w:tr2bl w:val="nil"/>
                  </w:tcBorders>
                  <w:vAlign w:val="center"/>
                </w:tcPr>
                <w:p>
                  <w:pPr>
                    <w:pStyle w:val="43"/>
                    <w:rPr>
                      <w:rFonts w:cs="Times New Roman"/>
                    </w:rPr>
                  </w:pPr>
                  <w:r>
                    <w:rPr>
                      <w:rFonts w:cs="Times New Roman"/>
                    </w:rPr>
                    <w:t>固废</w:t>
                  </w:r>
                </w:p>
              </w:tc>
              <w:tc>
                <w:tcPr>
                  <w:tcW w:w="1425" w:type="pct"/>
                  <w:tcBorders>
                    <w:tl2br w:val="nil"/>
                    <w:tr2bl w:val="nil"/>
                  </w:tcBorders>
                  <w:vAlign w:val="center"/>
                </w:tcPr>
                <w:p>
                  <w:pPr>
                    <w:pStyle w:val="43"/>
                    <w:rPr>
                      <w:rFonts w:cs="Times New Roman"/>
                    </w:rPr>
                  </w:pPr>
                  <w:r>
                    <w:rPr>
                      <w:rFonts w:cs="Times New Roman"/>
                      <w:lang w:val="en-US"/>
                    </w:rPr>
                    <w:t>施工期建筑垃圾、生活垃圾清运处置</w:t>
                  </w:r>
                </w:p>
              </w:tc>
              <w:tc>
                <w:tcPr>
                  <w:tcW w:w="1276" w:type="pct"/>
                  <w:tcBorders>
                    <w:tl2br w:val="nil"/>
                    <w:tr2bl w:val="nil"/>
                  </w:tcBorders>
                  <w:vAlign w:val="center"/>
                </w:tcPr>
                <w:p>
                  <w:pPr>
                    <w:pStyle w:val="43"/>
                    <w:rPr>
                      <w:rFonts w:cs="Times New Roman"/>
                      <w:lang w:val="en-US"/>
                    </w:rPr>
                  </w:pPr>
                  <w:r>
                    <w:rPr>
                      <w:rFonts w:cs="Times New Roman"/>
                      <w:lang w:val="en-US"/>
                    </w:rPr>
                    <w:t>0.8</w:t>
                  </w:r>
                </w:p>
              </w:tc>
              <w:tc>
                <w:tcPr>
                  <w:tcW w:w="755" w:type="pct"/>
                  <w:tcBorders>
                    <w:tl2br w:val="nil"/>
                    <w:tr2bl w:val="nil"/>
                  </w:tcBorders>
                  <w:vAlign w:val="center"/>
                </w:tcPr>
                <w:p>
                  <w:pPr>
                    <w:pStyle w:val="43"/>
                    <w:rPr>
                      <w:rFonts w:cs="Times New Roman"/>
                    </w:rPr>
                  </w:pPr>
                  <w:r>
                    <w:rPr>
                      <w:rFonts w:cs="Times New Roman"/>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vAlign w:val="center"/>
                </w:tcPr>
                <w:p>
                  <w:pPr>
                    <w:pStyle w:val="43"/>
                    <w:rPr>
                      <w:rFonts w:cs="Times New Roman"/>
                    </w:rPr>
                  </w:pPr>
                  <w:r>
                    <w:rPr>
                      <w:rFonts w:cs="Times New Roman"/>
                    </w:rPr>
                    <w:t>运</w:t>
                  </w:r>
                </w:p>
                <w:p>
                  <w:pPr>
                    <w:pStyle w:val="43"/>
                    <w:rPr>
                      <w:rFonts w:cs="Times New Roman"/>
                    </w:rPr>
                  </w:pPr>
                  <w:r>
                    <w:rPr>
                      <w:rFonts w:cs="Times New Roman"/>
                    </w:rPr>
                    <w:t>营</w:t>
                  </w:r>
                </w:p>
                <w:p>
                  <w:pPr>
                    <w:pStyle w:val="43"/>
                    <w:rPr>
                      <w:rFonts w:cs="Times New Roman"/>
                    </w:rPr>
                  </w:pPr>
                  <w:r>
                    <w:rPr>
                      <w:rFonts w:cs="Times New Roman"/>
                    </w:rPr>
                    <w:t>期</w:t>
                  </w:r>
                </w:p>
              </w:tc>
              <w:tc>
                <w:tcPr>
                  <w:tcW w:w="1279" w:type="pct"/>
                  <w:gridSpan w:val="2"/>
                  <w:tcBorders>
                    <w:tl2br w:val="nil"/>
                    <w:tr2bl w:val="nil"/>
                  </w:tcBorders>
                  <w:vAlign w:val="center"/>
                </w:tcPr>
                <w:p>
                  <w:pPr>
                    <w:pStyle w:val="43"/>
                    <w:rPr>
                      <w:rFonts w:cs="Times New Roman"/>
                    </w:rPr>
                  </w:pPr>
                  <w:r>
                    <w:rPr>
                      <w:rFonts w:cs="Times New Roman"/>
                    </w:rPr>
                    <w:t>废水</w:t>
                  </w:r>
                </w:p>
              </w:tc>
              <w:tc>
                <w:tcPr>
                  <w:tcW w:w="1425" w:type="pct"/>
                  <w:tcBorders>
                    <w:tl2br w:val="nil"/>
                    <w:tr2bl w:val="nil"/>
                  </w:tcBorders>
                  <w:vAlign w:val="center"/>
                </w:tcPr>
                <w:p>
                  <w:pPr>
                    <w:pStyle w:val="43"/>
                    <w:rPr>
                      <w:rFonts w:cs="Times New Roman"/>
                    </w:rPr>
                  </w:pPr>
                  <w:r>
                    <w:rPr>
                      <w:rFonts w:cs="Times New Roman"/>
                    </w:rPr>
                    <w:t>厂区化粪池1座，容积约</w:t>
                  </w:r>
                  <w:r>
                    <w:rPr>
                      <w:rFonts w:cs="Times New Roman"/>
                      <w:lang w:val="en-US"/>
                    </w:rPr>
                    <w:t>50</w:t>
                  </w:r>
                  <w:r>
                    <w:rPr>
                      <w:rFonts w:cs="Times New Roman"/>
                    </w:rPr>
                    <w:t>m</w:t>
                  </w:r>
                  <w:r>
                    <w:rPr>
                      <w:rFonts w:cs="Times New Roman"/>
                      <w:vertAlign w:val="superscript"/>
                    </w:rPr>
                    <w:t>3</w:t>
                  </w:r>
                </w:p>
              </w:tc>
              <w:tc>
                <w:tcPr>
                  <w:tcW w:w="1276" w:type="pct"/>
                  <w:tcBorders>
                    <w:tl2br w:val="nil"/>
                    <w:tr2bl w:val="nil"/>
                  </w:tcBorders>
                  <w:vAlign w:val="center"/>
                </w:tcPr>
                <w:p>
                  <w:pPr>
                    <w:pStyle w:val="43"/>
                    <w:rPr>
                      <w:rFonts w:cs="Times New Roman"/>
                    </w:rPr>
                  </w:pPr>
                  <w:r>
                    <w:rPr>
                      <w:rFonts w:cs="Times New Roman"/>
                      <w:lang w:val="en-US"/>
                    </w:rPr>
                    <w:t>/</w:t>
                  </w:r>
                </w:p>
              </w:tc>
              <w:tc>
                <w:tcPr>
                  <w:tcW w:w="755" w:type="pct"/>
                  <w:tcBorders>
                    <w:tl2br w:val="nil"/>
                    <w:tr2bl w:val="nil"/>
                  </w:tcBorders>
                  <w:vAlign w:val="center"/>
                </w:tcPr>
                <w:p>
                  <w:pPr>
                    <w:pStyle w:val="43"/>
                    <w:rPr>
                      <w:rFonts w:cs="Times New Roman"/>
                      <w:lang w:val="en-US"/>
                    </w:rPr>
                  </w:pPr>
                  <w:r>
                    <w:rPr>
                      <w:rFonts w:cs="Times New Roman"/>
                      <w:lang w:val="en-US"/>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3"/>
                    <w:rPr>
                      <w:rFonts w:cs="Times New Roman"/>
                    </w:rPr>
                  </w:pPr>
                </w:p>
              </w:tc>
              <w:tc>
                <w:tcPr>
                  <w:tcW w:w="264" w:type="pct"/>
                  <w:vMerge w:val="restart"/>
                  <w:tcBorders>
                    <w:tl2br w:val="nil"/>
                    <w:tr2bl w:val="nil"/>
                  </w:tcBorders>
                  <w:vAlign w:val="center"/>
                </w:tcPr>
                <w:p>
                  <w:pPr>
                    <w:pStyle w:val="43"/>
                    <w:rPr>
                      <w:rFonts w:cs="Times New Roman"/>
                      <w:lang w:val="en-US"/>
                    </w:rPr>
                  </w:pPr>
                  <w:r>
                    <w:rPr>
                      <w:rFonts w:cs="Times New Roman"/>
                      <w:lang w:val="en-US"/>
                    </w:rPr>
                    <w:t>废气</w:t>
                  </w:r>
                </w:p>
              </w:tc>
              <w:tc>
                <w:tcPr>
                  <w:tcW w:w="1015" w:type="pct"/>
                  <w:tcBorders>
                    <w:tl2br w:val="nil"/>
                    <w:tr2bl w:val="nil"/>
                  </w:tcBorders>
                  <w:vAlign w:val="center"/>
                </w:tcPr>
                <w:p>
                  <w:pPr>
                    <w:pStyle w:val="43"/>
                    <w:rPr>
                      <w:rFonts w:cs="Times New Roman"/>
                      <w:szCs w:val="21"/>
                      <w:lang w:val="en-US"/>
                    </w:rPr>
                  </w:pPr>
                  <w:r>
                    <w:rPr>
                      <w:rFonts w:cs="Times New Roman"/>
                      <w:szCs w:val="21"/>
                      <w:lang w:val="en-US"/>
                    </w:rPr>
                    <w:t>食品用塑料包装容器</w:t>
                  </w:r>
                </w:p>
                <w:p>
                  <w:pPr>
                    <w:pStyle w:val="43"/>
                    <w:rPr>
                      <w:rFonts w:cs="Times New Roman"/>
                      <w:lang w:val="en-US"/>
                    </w:rPr>
                  </w:pPr>
                  <w:r>
                    <w:rPr>
                      <w:rFonts w:cs="Times New Roman"/>
                      <w:szCs w:val="21"/>
                      <w:lang w:val="en-US"/>
                    </w:rPr>
                    <w:t>加热挤出废气</w:t>
                  </w:r>
                </w:p>
              </w:tc>
              <w:tc>
                <w:tcPr>
                  <w:tcW w:w="1425" w:type="pct"/>
                  <w:tcBorders>
                    <w:tl2br w:val="nil"/>
                    <w:tr2bl w:val="nil"/>
                  </w:tcBorders>
                  <w:vAlign w:val="center"/>
                </w:tcPr>
                <w:p>
                  <w:pPr>
                    <w:pStyle w:val="43"/>
                    <w:rPr>
                      <w:rFonts w:cs="Times New Roman"/>
                      <w:lang w:val="en-US"/>
                    </w:rPr>
                  </w:pPr>
                  <w:r>
                    <w:rPr>
                      <w:rFonts w:cs="Times New Roman"/>
                      <w:szCs w:val="21"/>
                      <w:lang w:val="en-US"/>
                    </w:rPr>
                    <w:t>集气罩+UV光氧</w:t>
                  </w:r>
                  <w:r>
                    <w:rPr>
                      <w:rFonts w:hint="eastAsia" w:cs="Times New Roman"/>
                      <w:szCs w:val="21"/>
                      <w:lang w:val="en-US" w:eastAsia="zh-CN"/>
                    </w:rPr>
                    <w:t>催化</w:t>
                  </w:r>
                  <w:r>
                    <w:rPr>
                      <w:rFonts w:cs="Times New Roman"/>
                      <w:szCs w:val="21"/>
                      <w:lang w:val="en-US"/>
                    </w:rPr>
                    <w:t>+活性炭吸附装置+30m高排气筒</w:t>
                  </w:r>
                </w:p>
              </w:tc>
              <w:tc>
                <w:tcPr>
                  <w:tcW w:w="1276" w:type="pct"/>
                  <w:tcBorders>
                    <w:tl2br w:val="nil"/>
                    <w:tr2bl w:val="nil"/>
                  </w:tcBorders>
                  <w:vAlign w:val="center"/>
                </w:tcPr>
                <w:p>
                  <w:pPr>
                    <w:pStyle w:val="43"/>
                    <w:rPr>
                      <w:rFonts w:cs="Times New Roman"/>
                      <w:lang w:val="en-US"/>
                    </w:rPr>
                  </w:pPr>
                  <w:r>
                    <w:rPr>
                      <w:rFonts w:cs="Times New Roman"/>
                      <w:lang w:val="en-US"/>
                    </w:rPr>
                    <w:t>8</w:t>
                  </w:r>
                </w:p>
              </w:tc>
              <w:tc>
                <w:tcPr>
                  <w:tcW w:w="755" w:type="pct"/>
                  <w:tcBorders>
                    <w:tl2br w:val="nil"/>
                    <w:tr2bl w:val="nil"/>
                  </w:tcBorders>
                  <w:vAlign w:val="center"/>
                </w:tcPr>
                <w:p>
                  <w:pPr>
                    <w:pStyle w:val="43"/>
                    <w:rPr>
                      <w:rFonts w:cs="Times New Roman"/>
                      <w:lang w:val="en-US"/>
                    </w:rPr>
                  </w:pPr>
                  <w:r>
                    <w:rPr>
                      <w:rFonts w:cs="Times New Roman"/>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3"/>
                    <w:rPr>
                      <w:rFonts w:cs="Times New Roman"/>
                    </w:rPr>
                  </w:pPr>
                </w:p>
              </w:tc>
              <w:tc>
                <w:tcPr>
                  <w:tcW w:w="264" w:type="pct"/>
                  <w:vMerge w:val="continue"/>
                  <w:tcBorders>
                    <w:tl2br w:val="nil"/>
                    <w:tr2bl w:val="nil"/>
                  </w:tcBorders>
                  <w:vAlign w:val="center"/>
                </w:tcPr>
                <w:p>
                  <w:pPr>
                    <w:pStyle w:val="43"/>
                    <w:rPr>
                      <w:rFonts w:cs="Times New Roman"/>
                      <w:lang w:val="en-US"/>
                    </w:rPr>
                  </w:pPr>
                </w:p>
              </w:tc>
              <w:tc>
                <w:tcPr>
                  <w:tcW w:w="1015" w:type="pct"/>
                  <w:tcBorders>
                    <w:tl2br w:val="nil"/>
                    <w:tr2bl w:val="nil"/>
                  </w:tcBorders>
                  <w:vAlign w:val="center"/>
                </w:tcPr>
                <w:p>
                  <w:pPr>
                    <w:pStyle w:val="43"/>
                    <w:rPr>
                      <w:rFonts w:cs="Times New Roman"/>
                      <w:szCs w:val="21"/>
                      <w:lang w:val="en-US"/>
                    </w:rPr>
                  </w:pPr>
                  <w:r>
                    <w:rPr>
                      <w:rFonts w:cs="Times New Roman"/>
                      <w:szCs w:val="21"/>
                      <w:lang w:val="en-US"/>
                    </w:rPr>
                    <w:t>食品用塑料包装容器</w:t>
                  </w:r>
                </w:p>
                <w:p>
                  <w:pPr>
                    <w:pStyle w:val="43"/>
                    <w:rPr>
                      <w:rFonts w:cs="Times New Roman"/>
                      <w:szCs w:val="21"/>
                      <w:lang w:val="en-US"/>
                    </w:rPr>
                  </w:pPr>
                  <w:r>
                    <w:rPr>
                      <w:rFonts w:cs="Times New Roman"/>
                      <w:szCs w:val="21"/>
                      <w:lang w:val="en-US"/>
                    </w:rPr>
                    <w:t>注塑废气</w:t>
                  </w:r>
                </w:p>
              </w:tc>
              <w:tc>
                <w:tcPr>
                  <w:tcW w:w="1425" w:type="pct"/>
                  <w:tcBorders>
                    <w:tl2br w:val="nil"/>
                    <w:tr2bl w:val="nil"/>
                  </w:tcBorders>
                  <w:vAlign w:val="center"/>
                </w:tcPr>
                <w:p>
                  <w:pPr>
                    <w:pStyle w:val="43"/>
                    <w:rPr>
                      <w:rFonts w:cs="Times New Roman"/>
                      <w:szCs w:val="21"/>
                      <w:lang w:val="en-US"/>
                    </w:rPr>
                  </w:pPr>
                  <w:r>
                    <w:rPr>
                      <w:rFonts w:cs="Times New Roman"/>
                      <w:szCs w:val="21"/>
                      <w:lang w:val="en-US"/>
                    </w:rPr>
                    <w:t>集气罩+UV光氧</w:t>
                  </w:r>
                  <w:r>
                    <w:rPr>
                      <w:rFonts w:hint="eastAsia" w:cs="Times New Roman"/>
                      <w:szCs w:val="21"/>
                      <w:lang w:val="en-US" w:eastAsia="zh-CN"/>
                    </w:rPr>
                    <w:t>催化</w:t>
                  </w:r>
                  <w:r>
                    <w:rPr>
                      <w:rFonts w:cs="Times New Roman"/>
                      <w:szCs w:val="21"/>
                      <w:lang w:val="en-US"/>
                    </w:rPr>
                    <w:t>+活性炭吸附装置+30m高排气筒</w:t>
                  </w:r>
                </w:p>
              </w:tc>
              <w:tc>
                <w:tcPr>
                  <w:tcW w:w="1276" w:type="pct"/>
                  <w:tcBorders>
                    <w:tl2br w:val="nil"/>
                    <w:tr2bl w:val="nil"/>
                  </w:tcBorders>
                  <w:vAlign w:val="center"/>
                </w:tcPr>
                <w:p>
                  <w:pPr>
                    <w:pStyle w:val="43"/>
                    <w:rPr>
                      <w:rFonts w:cs="Times New Roman"/>
                      <w:lang w:val="en-US"/>
                    </w:rPr>
                  </w:pPr>
                  <w:r>
                    <w:rPr>
                      <w:rFonts w:cs="Times New Roman"/>
                      <w:lang w:val="en-US"/>
                    </w:rPr>
                    <w:t>7</w:t>
                  </w:r>
                </w:p>
              </w:tc>
              <w:tc>
                <w:tcPr>
                  <w:tcW w:w="755" w:type="pct"/>
                  <w:tcBorders>
                    <w:tl2br w:val="nil"/>
                    <w:tr2bl w:val="nil"/>
                  </w:tcBorders>
                  <w:vAlign w:val="center"/>
                </w:tcPr>
                <w:p>
                  <w:pPr>
                    <w:pStyle w:val="43"/>
                    <w:rPr>
                      <w:rFonts w:cs="Times New Roman"/>
                      <w:lang w:val="en-US"/>
                    </w:rPr>
                  </w:pPr>
                  <w:r>
                    <w:rPr>
                      <w:rFonts w:cs="Times New Roman"/>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3"/>
                    <w:rPr>
                      <w:rFonts w:cs="Times New Roman"/>
                    </w:rPr>
                  </w:pPr>
                </w:p>
              </w:tc>
              <w:tc>
                <w:tcPr>
                  <w:tcW w:w="264" w:type="pct"/>
                  <w:vMerge w:val="continue"/>
                  <w:tcBorders>
                    <w:tl2br w:val="nil"/>
                    <w:tr2bl w:val="nil"/>
                  </w:tcBorders>
                  <w:vAlign w:val="center"/>
                </w:tcPr>
                <w:p>
                  <w:pPr>
                    <w:pStyle w:val="43"/>
                    <w:rPr>
                      <w:rFonts w:cs="Times New Roman"/>
                      <w:lang w:val="en-US"/>
                    </w:rPr>
                  </w:pPr>
                </w:p>
              </w:tc>
              <w:tc>
                <w:tcPr>
                  <w:tcW w:w="1015" w:type="pct"/>
                  <w:tcBorders>
                    <w:tl2br w:val="nil"/>
                    <w:tr2bl w:val="nil"/>
                  </w:tcBorders>
                  <w:vAlign w:val="center"/>
                </w:tcPr>
                <w:p>
                  <w:pPr>
                    <w:pStyle w:val="43"/>
                    <w:rPr>
                      <w:rFonts w:cs="Times New Roman"/>
                      <w:szCs w:val="21"/>
                      <w:lang w:val="en-US"/>
                    </w:rPr>
                  </w:pPr>
                  <w:r>
                    <w:rPr>
                      <w:rFonts w:cs="Times New Roman"/>
                      <w:szCs w:val="21"/>
                      <w:lang w:val="en-US"/>
                    </w:rPr>
                    <w:t>破碎粉尘</w:t>
                  </w:r>
                </w:p>
              </w:tc>
              <w:tc>
                <w:tcPr>
                  <w:tcW w:w="1425" w:type="pct"/>
                  <w:tcBorders>
                    <w:tl2br w:val="nil"/>
                    <w:tr2bl w:val="nil"/>
                  </w:tcBorders>
                  <w:vAlign w:val="center"/>
                </w:tcPr>
                <w:p>
                  <w:pPr>
                    <w:pStyle w:val="43"/>
                    <w:rPr>
                      <w:rFonts w:cs="Times New Roman"/>
                      <w:szCs w:val="21"/>
                      <w:lang w:val="en-US"/>
                    </w:rPr>
                  </w:pPr>
                  <w:r>
                    <w:rPr>
                      <w:rFonts w:cs="Times New Roman"/>
                      <w:szCs w:val="21"/>
                      <w:lang w:val="en-US"/>
                    </w:rPr>
                    <w:t>布袋除尘+30m高排气筒</w:t>
                  </w:r>
                </w:p>
              </w:tc>
              <w:tc>
                <w:tcPr>
                  <w:tcW w:w="1276" w:type="pct"/>
                  <w:tcBorders>
                    <w:tl2br w:val="nil"/>
                    <w:tr2bl w:val="nil"/>
                  </w:tcBorders>
                  <w:vAlign w:val="center"/>
                </w:tcPr>
                <w:p>
                  <w:pPr>
                    <w:pStyle w:val="43"/>
                    <w:rPr>
                      <w:rFonts w:cs="Times New Roman"/>
                      <w:lang w:val="en-US"/>
                    </w:rPr>
                  </w:pPr>
                  <w:r>
                    <w:rPr>
                      <w:rFonts w:cs="Times New Roman"/>
                      <w:lang w:val="en-US"/>
                    </w:rPr>
                    <w:t>5</w:t>
                  </w:r>
                </w:p>
              </w:tc>
              <w:tc>
                <w:tcPr>
                  <w:tcW w:w="755" w:type="pct"/>
                  <w:tcBorders>
                    <w:tl2br w:val="nil"/>
                    <w:tr2bl w:val="nil"/>
                  </w:tcBorders>
                  <w:vAlign w:val="center"/>
                </w:tcPr>
                <w:p>
                  <w:pPr>
                    <w:pStyle w:val="43"/>
                    <w:rPr>
                      <w:rFonts w:cs="Times New Roman"/>
                    </w:rPr>
                  </w:pPr>
                  <w:r>
                    <w:rPr>
                      <w:rFonts w:cs="Times New Roman"/>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63" w:type="pct"/>
                  <w:vMerge w:val="continue"/>
                  <w:tcBorders>
                    <w:tl2br w:val="nil"/>
                    <w:tr2bl w:val="nil"/>
                  </w:tcBorders>
                  <w:vAlign w:val="center"/>
                </w:tcPr>
                <w:p>
                  <w:pPr>
                    <w:pStyle w:val="43"/>
                    <w:rPr>
                      <w:rFonts w:cs="Times New Roman"/>
                    </w:rPr>
                  </w:pPr>
                </w:p>
              </w:tc>
              <w:tc>
                <w:tcPr>
                  <w:tcW w:w="1279" w:type="pct"/>
                  <w:gridSpan w:val="2"/>
                  <w:tcBorders>
                    <w:tl2br w:val="nil"/>
                    <w:tr2bl w:val="nil"/>
                  </w:tcBorders>
                  <w:vAlign w:val="center"/>
                </w:tcPr>
                <w:p>
                  <w:pPr>
                    <w:pStyle w:val="43"/>
                    <w:rPr>
                      <w:rFonts w:cs="Times New Roman"/>
                    </w:rPr>
                  </w:pPr>
                  <w:r>
                    <w:rPr>
                      <w:rFonts w:cs="Times New Roman"/>
                    </w:rPr>
                    <w:t>噪声</w:t>
                  </w:r>
                </w:p>
              </w:tc>
              <w:tc>
                <w:tcPr>
                  <w:tcW w:w="1425" w:type="pct"/>
                  <w:tcBorders>
                    <w:tl2br w:val="nil"/>
                    <w:tr2bl w:val="nil"/>
                  </w:tcBorders>
                  <w:vAlign w:val="center"/>
                </w:tcPr>
                <w:p>
                  <w:pPr>
                    <w:pStyle w:val="43"/>
                    <w:rPr>
                      <w:rFonts w:cs="Times New Roman"/>
                    </w:rPr>
                  </w:pPr>
                  <w:r>
                    <w:rPr>
                      <w:rFonts w:cs="Times New Roman"/>
                    </w:rPr>
                    <w:t>减震垫等</w:t>
                  </w:r>
                </w:p>
              </w:tc>
              <w:tc>
                <w:tcPr>
                  <w:tcW w:w="1276" w:type="pct"/>
                  <w:tcBorders>
                    <w:tl2br w:val="nil"/>
                    <w:tr2bl w:val="nil"/>
                  </w:tcBorders>
                  <w:vAlign w:val="center"/>
                </w:tcPr>
                <w:p>
                  <w:pPr>
                    <w:pStyle w:val="43"/>
                    <w:rPr>
                      <w:rFonts w:cs="Times New Roman"/>
                      <w:lang w:val="en-US"/>
                    </w:rPr>
                  </w:pPr>
                  <w:r>
                    <w:rPr>
                      <w:rFonts w:cs="Times New Roman"/>
                      <w:lang w:val="en-US"/>
                    </w:rPr>
                    <w:t>0.5</w:t>
                  </w:r>
                </w:p>
              </w:tc>
              <w:tc>
                <w:tcPr>
                  <w:tcW w:w="755" w:type="pct"/>
                  <w:tcBorders>
                    <w:tl2br w:val="nil"/>
                    <w:tr2bl w:val="nil"/>
                  </w:tcBorders>
                  <w:vAlign w:val="center"/>
                </w:tcPr>
                <w:p>
                  <w:pPr>
                    <w:pStyle w:val="43"/>
                    <w:rPr>
                      <w:rFonts w:cs="Times New Roman"/>
                    </w:rPr>
                  </w:pPr>
                  <w:r>
                    <w:rPr>
                      <w:rFonts w:cs="Times New Roman"/>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3"/>
                    <w:rPr>
                      <w:rFonts w:cs="Times New Roman"/>
                    </w:rPr>
                  </w:pPr>
                </w:p>
              </w:tc>
              <w:tc>
                <w:tcPr>
                  <w:tcW w:w="1279" w:type="pct"/>
                  <w:gridSpan w:val="2"/>
                  <w:vMerge w:val="restart"/>
                  <w:tcBorders>
                    <w:tl2br w:val="nil"/>
                    <w:tr2bl w:val="nil"/>
                  </w:tcBorders>
                  <w:vAlign w:val="center"/>
                </w:tcPr>
                <w:p>
                  <w:pPr>
                    <w:pStyle w:val="43"/>
                    <w:rPr>
                      <w:rFonts w:cs="Times New Roman"/>
                    </w:rPr>
                  </w:pPr>
                  <w:r>
                    <w:rPr>
                      <w:rFonts w:cs="Times New Roman"/>
                    </w:rPr>
                    <w:t>固废</w:t>
                  </w:r>
                </w:p>
              </w:tc>
              <w:tc>
                <w:tcPr>
                  <w:tcW w:w="1425" w:type="pct"/>
                  <w:tcBorders>
                    <w:tl2br w:val="nil"/>
                    <w:tr2bl w:val="nil"/>
                  </w:tcBorders>
                  <w:vAlign w:val="center"/>
                </w:tcPr>
                <w:p>
                  <w:pPr>
                    <w:pStyle w:val="43"/>
                    <w:rPr>
                      <w:rFonts w:cs="Times New Roman"/>
                      <w:lang w:val="en-US"/>
                    </w:rPr>
                  </w:pPr>
                  <w:r>
                    <w:rPr>
                      <w:rFonts w:cs="Times New Roman"/>
                    </w:rPr>
                    <w:t>垃圾收集桶</w:t>
                  </w:r>
                  <w:r>
                    <w:rPr>
                      <w:rFonts w:cs="Times New Roman"/>
                      <w:lang w:val="en-US"/>
                    </w:rPr>
                    <w:t>7个</w:t>
                  </w:r>
                </w:p>
              </w:tc>
              <w:tc>
                <w:tcPr>
                  <w:tcW w:w="1276" w:type="pct"/>
                  <w:tcBorders>
                    <w:tl2br w:val="nil"/>
                    <w:tr2bl w:val="nil"/>
                  </w:tcBorders>
                  <w:vAlign w:val="center"/>
                </w:tcPr>
                <w:p>
                  <w:pPr>
                    <w:pStyle w:val="43"/>
                    <w:rPr>
                      <w:rFonts w:cs="Times New Roman"/>
                      <w:lang w:val="en-US"/>
                    </w:rPr>
                  </w:pPr>
                  <w:r>
                    <w:rPr>
                      <w:rFonts w:cs="Times New Roman"/>
                      <w:lang w:val="en-US"/>
                    </w:rPr>
                    <w:t>0.3</w:t>
                  </w:r>
                </w:p>
              </w:tc>
              <w:tc>
                <w:tcPr>
                  <w:tcW w:w="755" w:type="pct"/>
                  <w:tcBorders>
                    <w:tl2br w:val="nil"/>
                    <w:tr2bl w:val="nil"/>
                  </w:tcBorders>
                  <w:vAlign w:val="center"/>
                </w:tcPr>
                <w:p>
                  <w:pPr>
                    <w:pStyle w:val="43"/>
                    <w:rPr>
                      <w:rFonts w:cs="Times New Roman"/>
                    </w:rPr>
                  </w:pPr>
                  <w:r>
                    <w:rPr>
                      <w:rFonts w:cs="Times New Roman"/>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3"/>
                    <w:rPr>
                      <w:rFonts w:cs="Times New Roman"/>
                    </w:rPr>
                  </w:pPr>
                </w:p>
              </w:tc>
              <w:tc>
                <w:tcPr>
                  <w:tcW w:w="1279" w:type="pct"/>
                  <w:gridSpan w:val="2"/>
                  <w:vMerge w:val="continue"/>
                  <w:tcBorders>
                    <w:tl2br w:val="nil"/>
                    <w:tr2bl w:val="nil"/>
                  </w:tcBorders>
                  <w:vAlign w:val="center"/>
                </w:tcPr>
                <w:p>
                  <w:pPr>
                    <w:pStyle w:val="43"/>
                    <w:rPr>
                      <w:rFonts w:cs="Times New Roman"/>
                    </w:rPr>
                  </w:pPr>
                </w:p>
              </w:tc>
              <w:tc>
                <w:tcPr>
                  <w:tcW w:w="1425" w:type="pct"/>
                  <w:tcBorders>
                    <w:tl2br w:val="nil"/>
                    <w:tr2bl w:val="nil"/>
                  </w:tcBorders>
                  <w:vAlign w:val="center"/>
                </w:tcPr>
                <w:p>
                  <w:pPr>
                    <w:pStyle w:val="43"/>
                    <w:rPr>
                      <w:rFonts w:cs="Times New Roman"/>
                    </w:rPr>
                  </w:pPr>
                  <w:r>
                    <w:rPr>
                      <w:rFonts w:cs="Times New Roman"/>
                    </w:rPr>
                    <w:t>危废暂存间</w:t>
                  </w:r>
                  <w:r>
                    <w:rPr>
                      <w:rFonts w:cs="Times New Roman"/>
                      <w:lang w:val="en-US"/>
                    </w:rPr>
                    <w:t>5</w:t>
                  </w:r>
                  <w:r>
                    <w:rPr>
                      <w:rFonts w:cs="Times New Roman"/>
                    </w:rPr>
                    <w:t>m</w:t>
                  </w:r>
                  <w:r>
                    <w:rPr>
                      <w:rFonts w:cs="Times New Roman"/>
                      <w:vertAlign w:val="superscript"/>
                    </w:rPr>
                    <w:t>2</w:t>
                  </w:r>
                </w:p>
              </w:tc>
              <w:tc>
                <w:tcPr>
                  <w:tcW w:w="1276" w:type="pct"/>
                  <w:tcBorders>
                    <w:tl2br w:val="nil"/>
                    <w:tr2bl w:val="nil"/>
                  </w:tcBorders>
                  <w:vAlign w:val="center"/>
                </w:tcPr>
                <w:p>
                  <w:pPr>
                    <w:pStyle w:val="43"/>
                    <w:rPr>
                      <w:rFonts w:cs="Times New Roman"/>
                      <w:lang w:val="en-US"/>
                    </w:rPr>
                  </w:pPr>
                  <w:r>
                    <w:rPr>
                      <w:rFonts w:cs="Times New Roman"/>
                      <w:lang w:val="en-US"/>
                    </w:rPr>
                    <w:t>1</w:t>
                  </w:r>
                </w:p>
              </w:tc>
              <w:tc>
                <w:tcPr>
                  <w:tcW w:w="755" w:type="pct"/>
                  <w:tcBorders>
                    <w:tl2br w:val="nil"/>
                    <w:tr2bl w:val="nil"/>
                  </w:tcBorders>
                  <w:vAlign w:val="center"/>
                </w:tcPr>
                <w:p>
                  <w:pPr>
                    <w:pStyle w:val="43"/>
                    <w:rPr>
                      <w:rFonts w:cs="Times New Roman"/>
                    </w:rPr>
                  </w:pPr>
                  <w:r>
                    <w:rPr>
                      <w:rFonts w:cs="Times New Roman"/>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967" w:type="pct"/>
                  <w:gridSpan w:val="4"/>
                  <w:tcBorders>
                    <w:tl2br w:val="nil"/>
                    <w:tr2bl w:val="nil"/>
                  </w:tcBorders>
                  <w:vAlign w:val="center"/>
                </w:tcPr>
                <w:p>
                  <w:pPr>
                    <w:pStyle w:val="43"/>
                    <w:rPr>
                      <w:rFonts w:cs="Times New Roman"/>
                    </w:rPr>
                  </w:pPr>
                  <w:r>
                    <w:rPr>
                      <w:rFonts w:cs="Times New Roman"/>
                    </w:rPr>
                    <w:t>合计</w:t>
                  </w:r>
                </w:p>
              </w:tc>
              <w:tc>
                <w:tcPr>
                  <w:tcW w:w="1276" w:type="pct"/>
                  <w:tcBorders>
                    <w:tl2br w:val="nil"/>
                    <w:tr2bl w:val="nil"/>
                  </w:tcBorders>
                  <w:vAlign w:val="center"/>
                </w:tcPr>
                <w:p>
                  <w:pPr>
                    <w:pStyle w:val="43"/>
                    <w:rPr>
                      <w:rFonts w:cs="Times New Roman"/>
                      <w:lang w:val="en-US"/>
                    </w:rPr>
                  </w:pPr>
                  <w:r>
                    <w:rPr>
                      <w:rFonts w:cs="Times New Roman"/>
                      <w:lang w:val="en-US"/>
                    </w:rPr>
                    <w:t>23.3</w:t>
                  </w:r>
                </w:p>
              </w:tc>
              <w:tc>
                <w:tcPr>
                  <w:tcW w:w="755" w:type="pct"/>
                  <w:tcBorders>
                    <w:tl2br w:val="nil"/>
                    <w:tr2bl w:val="nil"/>
                  </w:tcBorders>
                  <w:vAlign w:val="center"/>
                </w:tcPr>
                <w:p>
                  <w:pPr>
                    <w:pStyle w:val="43"/>
                    <w:rPr>
                      <w:rFonts w:cs="Times New Roman"/>
                    </w:rPr>
                  </w:pPr>
                  <w:r>
                    <w:rPr>
                      <w:rFonts w:cs="Times New Roman"/>
                    </w:rPr>
                    <w:t>/</w:t>
                  </w:r>
                </w:p>
              </w:tc>
            </w:tr>
          </w:tbl>
          <w:p>
            <w:pPr>
              <w:snapToGrid w:val="0"/>
              <w:spacing w:line="360" w:lineRule="auto"/>
              <w:ind w:firstLine="482" w:firstLineChars="200"/>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lang w:val="en-US"/>
              </w:rPr>
              <w:t>0</w:t>
            </w:r>
            <w:r>
              <w:rPr>
                <w:rFonts w:ascii="Times New Roman" w:hAnsi="Times New Roman" w:cs="Times New Roman"/>
                <w:b/>
                <w:bCs/>
              </w:rPr>
              <w:t>、水量平衡</w:t>
            </w:r>
          </w:p>
          <w:p>
            <w:pPr>
              <w:pStyle w:val="14"/>
              <w:snapToGrid w:val="0"/>
              <w:spacing w:line="360" w:lineRule="auto"/>
              <w:ind w:right="257"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（1）生产用水</w:t>
            </w:r>
          </w:p>
          <w:p>
            <w:pPr>
              <w:pStyle w:val="14"/>
              <w:snapToGrid w:val="0"/>
              <w:spacing w:line="360" w:lineRule="auto"/>
              <w:ind w:right="257"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①智能冷水机冷却用水</w:t>
            </w:r>
          </w:p>
          <w:p>
            <w:pPr>
              <w:pStyle w:val="14"/>
              <w:snapToGrid w:val="0"/>
              <w:spacing w:line="360" w:lineRule="auto"/>
              <w:ind w:right="257" w:firstLine="456" w:firstLineChars="200"/>
              <w:jc w:val="both"/>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项目食品用塑料包装容器挤出生产线挤压工段</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及半成品食品用包装塑料冷却定型工序</w:t>
            </w:r>
            <w:r>
              <w:rPr>
                <w:rFonts w:ascii="Times New Roman" w:hAnsi="Times New Roman" w:eastAsia="宋体" w:cs="Times New Roman"/>
                <w:color w:val="000000" w:themeColor="text1"/>
                <w:spacing w:val="-6"/>
                <w:sz w:val="24"/>
                <w:szCs w:val="24"/>
                <w:lang w:val="en-US"/>
                <w14:textFill>
                  <w14:solidFill>
                    <w14:schemeClr w14:val="tx1"/>
                  </w14:solidFill>
                </w14:textFill>
              </w:rPr>
              <w:t>需用冷却水进行冷却，项目设置7条食品用塑料包装容器挤出生产线，设</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7</w:t>
            </w:r>
            <w:r>
              <w:rPr>
                <w:rFonts w:ascii="Times New Roman" w:hAnsi="Times New Roman" w:eastAsia="宋体" w:cs="Times New Roman"/>
                <w:color w:val="000000" w:themeColor="text1"/>
                <w:spacing w:val="-6"/>
                <w:sz w:val="24"/>
                <w:szCs w:val="24"/>
                <w:lang w:val="en-US"/>
                <w14:textFill>
                  <w14:solidFill>
                    <w14:schemeClr w14:val="tx1"/>
                  </w14:solidFill>
                </w14:textFill>
              </w:rPr>
              <w:t>套智能冷水机用于</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食品用塑料包装容器</w:t>
            </w:r>
            <w:r>
              <w:rPr>
                <w:rFonts w:ascii="Times New Roman" w:hAnsi="Times New Roman" w:eastAsia="宋体" w:cs="Times New Roman"/>
                <w:color w:val="000000" w:themeColor="text1"/>
                <w:spacing w:val="-6"/>
                <w:sz w:val="24"/>
                <w:szCs w:val="24"/>
                <w:lang w:val="en-US"/>
                <w14:textFill>
                  <w14:solidFill>
                    <w14:schemeClr w14:val="tx1"/>
                  </w14:solidFill>
                </w14:textFill>
              </w:rPr>
              <w:t>挤压工段</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及注塑工段半成品冷却定型工序</w:t>
            </w:r>
            <w:r>
              <w:rPr>
                <w:rFonts w:ascii="Times New Roman" w:hAnsi="Times New Roman" w:eastAsia="宋体" w:cs="Times New Roman"/>
                <w:color w:val="000000" w:themeColor="text1"/>
                <w:spacing w:val="-6"/>
                <w:sz w:val="24"/>
                <w:szCs w:val="24"/>
                <w:lang w:val="en-US"/>
                <w14:textFill>
                  <w14:solidFill>
                    <w14:schemeClr w14:val="tx1"/>
                  </w14:solidFill>
                </w14:textFill>
              </w:rPr>
              <w:t>进行冷却，智能冷水机设有冷却水槽，位于智能冷水机设备内。因冷却水槽容积为0.13m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（则7个智能冷水机为0.91m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），根据业主提供资料</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w:t>
            </w:r>
            <w:r>
              <w:rPr>
                <w:rFonts w:ascii="Times New Roman" w:hAnsi="Times New Roman" w:eastAsia="宋体" w:cs="Times New Roman"/>
                <w:color w:val="000000" w:themeColor="text1"/>
                <w:spacing w:val="-6"/>
                <w:sz w:val="24"/>
                <w:szCs w:val="24"/>
                <w:lang w:val="en-US"/>
                <w14:textFill>
                  <w14:solidFill>
                    <w14:schemeClr w14:val="tx1"/>
                  </w14:solidFill>
                </w14:textFill>
              </w:rPr>
              <w:t>循环冷却水的补充</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需求</w:t>
            </w:r>
            <w:r>
              <w:rPr>
                <w:rFonts w:ascii="Times New Roman" w:hAnsi="Times New Roman" w:eastAsia="宋体" w:cs="Times New Roman"/>
                <w:color w:val="000000" w:themeColor="text1"/>
                <w:spacing w:val="-6"/>
                <w:sz w:val="24"/>
                <w:szCs w:val="24"/>
                <w:lang w:val="en-US"/>
                <w14:textFill>
                  <w14:solidFill>
                    <w14:schemeClr w14:val="tx1"/>
                  </w14:solidFill>
                </w14:textFill>
              </w:rPr>
              <w:t>量为</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0.082</w:t>
            </w:r>
            <w:r>
              <w:rPr>
                <w:rFonts w:ascii="Times New Roman" w:hAnsi="Times New Roman" w:eastAsia="宋体" w:cs="Times New Roman"/>
                <w:color w:val="000000" w:themeColor="text1"/>
                <w:spacing w:val="-6"/>
                <w:sz w:val="24"/>
                <w:szCs w:val="24"/>
                <w:lang w:val="en-US"/>
                <w14:textFill>
                  <w14:solidFill>
                    <w14:schemeClr w14:val="tx1"/>
                  </w14:solidFill>
                </w14:textFill>
              </w:rPr>
              <w:t>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/d(</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17.22</w:t>
            </w:r>
            <w:r>
              <w:rPr>
                <w:rFonts w:ascii="Times New Roman" w:hAnsi="Times New Roman" w:eastAsia="宋体" w:cs="Times New Roman"/>
                <w:color w:val="000000" w:themeColor="text1"/>
                <w:spacing w:val="-6"/>
                <w:sz w:val="24"/>
                <w:szCs w:val="24"/>
                <w:lang w:val="en-US"/>
                <w14:textFill>
                  <w14:solidFill>
                    <w14:schemeClr w14:val="tx1"/>
                  </w14:solidFill>
                </w14:textFill>
              </w:rPr>
              <w:t>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/a)，而冷却水循环使用</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的量为</w:t>
            </w:r>
            <w:r>
              <w:rPr>
                <w:rFonts w:ascii="Times New Roman" w:hAnsi="Times New Roman" w:eastAsia="宋体" w:cs="Times New Roman"/>
                <w:color w:val="000000" w:themeColor="text1"/>
                <w:spacing w:val="-6"/>
                <w:sz w:val="24"/>
                <w:szCs w:val="24"/>
                <w:lang w:val="en-US"/>
                <w14:textFill>
                  <w14:solidFill>
                    <w14:schemeClr w14:val="tx1"/>
                  </w14:solidFill>
                </w14:textFill>
              </w:rPr>
              <w:t>0.8287m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/d(</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174.03</w:t>
            </w:r>
            <w:r>
              <w:rPr>
                <w:rFonts w:ascii="Times New Roman" w:hAnsi="Times New Roman" w:eastAsia="宋体" w:cs="Times New Roman"/>
                <w:color w:val="000000" w:themeColor="text1"/>
                <w:spacing w:val="-6"/>
                <w:sz w:val="24"/>
                <w:szCs w:val="24"/>
                <w:lang w:val="en-US"/>
                <w14:textFill>
                  <w14:solidFill>
                    <w14:schemeClr w14:val="tx1"/>
                  </w14:solidFill>
                </w14:textFill>
              </w:rPr>
              <w:t>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则本项目冷却水量为174.94</w:t>
            </w:r>
            <w:r>
              <w:rPr>
                <w:rFonts w:ascii="Times New Roman" w:hAnsi="Times New Roman" w:eastAsia="宋体" w:cs="Times New Roman"/>
                <w:color w:val="000000" w:themeColor="text1"/>
                <w:spacing w:val="-6"/>
                <w:sz w:val="24"/>
                <w:szCs w:val="24"/>
                <w:lang w:val="en-US"/>
                <w14:textFill>
                  <w14:solidFill>
                    <w14:schemeClr w14:val="tx1"/>
                  </w14:solidFill>
                </w14:textFill>
              </w:rPr>
              <w:t>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w:t>
            </w:r>
            <w:r>
              <w:rPr>
                <w:rFonts w:ascii="Times New Roman" w:hAnsi="Times New Roman" w:eastAsia="宋体" w:cs="Times New Roman"/>
                <w:color w:val="000000" w:themeColor="text1"/>
                <w:spacing w:val="-6"/>
                <w:sz w:val="24"/>
                <w:szCs w:val="24"/>
                <w:lang w:val="en-US"/>
                <w14:textFill>
                  <w14:solidFill>
                    <w14:schemeClr w14:val="tx1"/>
                  </w14:solidFill>
                </w14:textFill>
              </w:rPr>
              <w:t>项目循环水系统水质不受污染，仅水温升高，故循环水经冷却降温后循环使用，没有生产废水产生。</w:t>
            </w:r>
          </w:p>
          <w:p>
            <w:pPr>
              <w:pStyle w:val="14"/>
              <w:snapToGrid w:val="0"/>
              <w:spacing w:line="360" w:lineRule="auto"/>
              <w:ind w:right="257"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②</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注塑机及挤出机</w:t>
            </w:r>
            <w:r>
              <w:rPr>
                <w:rFonts w:ascii="Times New Roman" w:hAnsi="Times New Roman" w:eastAsia="宋体" w:cs="Times New Roman"/>
                <w:color w:val="000000" w:themeColor="text1"/>
                <w:spacing w:val="-6"/>
                <w:sz w:val="24"/>
                <w:szCs w:val="24"/>
                <w:lang w:val="en-US"/>
                <w14:textFill>
                  <w14:solidFill>
                    <w14:schemeClr w14:val="tx1"/>
                  </w14:solidFill>
                </w14:textFill>
              </w:rPr>
              <w:t>冷却用水</w:t>
            </w:r>
          </w:p>
          <w:p>
            <w:pPr>
              <w:pStyle w:val="24"/>
              <w:autoSpaceDE/>
              <w:autoSpaceDN/>
              <w:snapToGrid w:val="0"/>
              <w:spacing w:line="360" w:lineRule="auto"/>
              <w:ind w:firstLine="456" w:firstLineChars="200"/>
              <w:jc w:val="left"/>
              <w:rPr>
                <w:rFonts w:ascii="Times New Roman" w:hAnsi="Times New Roman" w:eastAsia="宋体" w:cs="Times New Roman"/>
                <w:color w:val="000000" w:themeColor="text1"/>
                <w:spacing w:val="-6"/>
                <w:szCs w:val="24"/>
                <w:lang w:val="en-US"/>
                <w14:textFill>
                  <w14:solidFill>
                    <w14:schemeClr w14:val="tx1"/>
                  </w14:solidFill>
                </w14:textFill>
              </w:rPr>
            </w:pPr>
            <w:r>
              <w:rPr>
                <w:rFonts w:ascii="Times New Roman" w:hAnsi="Times New Roman" w:eastAsia="宋体" w:cs="Times New Roman"/>
                <w:color w:val="000000" w:themeColor="text1"/>
                <w:spacing w:val="-6"/>
                <w:szCs w:val="24"/>
                <w:lang w:val="en-US"/>
                <w14:textFill>
                  <w14:solidFill>
                    <w14:schemeClr w14:val="tx1"/>
                  </w14:solidFill>
                </w14:textFill>
              </w:rPr>
              <w:t>项目食品用塑料包装容器挤出生产线</w:t>
            </w:r>
            <w:r>
              <w:rPr>
                <w:rFonts w:hint="eastAsia" w:ascii="Times New Roman" w:hAnsi="Times New Roman" w:eastAsia="宋体" w:cs="Times New Roman"/>
                <w:color w:val="000000" w:themeColor="text1"/>
                <w:spacing w:val="-6"/>
                <w:szCs w:val="24"/>
                <w:lang w:val="en-US"/>
                <w14:textFill>
                  <w14:solidFill>
                    <w14:schemeClr w14:val="tx1"/>
                  </w14:solidFill>
                </w14:textFill>
              </w:rPr>
              <w:t>的</w:t>
            </w:r>
            <w:r>
              <w:rPr>
                <w:rFonts w:ascii="Times New Roman" w:hAnsi="Times New Roman" w:eastAsia="宋体" w:cs="Times New Roman"/>
                <w:color w:val="000000" w:themeColor="text1"/>
                <w:spacing w:val="-6"/>
                <w:szCs w:val="24"/>
                <w:lang w:val="en-US"/>
                <w14:textFill>
                  <w14:solidFill>
                    <w14:schemeClr w14:val="tx1"/>
                  </w14:solidFill>
                </w14:textFill>
              </w:rPr>
              <w:t>挤压工段</w:t>
            </w:r>
            <w:r>
              <w:rPr>
                <w:rFonts w:hint="eastAsia" w:ascii="Times New Roman" w:hAnsi="Times New Roman" w:eastAsia="宋体" w:cs="Times New Roman"/>
                <w:color w:val="000000" w:themeColor="text1"/>
                <w:spacing w:val="-6"/>
                <w:szCs w:val="24"/>
                <w:lang w:val="en-US"/>
                <w14:textFill>
                  <w14:solidFill>
                    <w14:schemeClr w14:val="tx1"/>
                  </w14:solidFill>
                </w14:textFill>
              </w:rPr>
              <w:t>及</w:t>
            </w:r>
            <w:r>
              <w:rPr>
                <w:rFonts w:hint="eastAsia" w:ascii="Times New Roman" w:hAnsi="Times New Roman" w:eastAsia="宋体" w:cs="Times New Roman"/>
                <w:color w:val="000000" w:themeColor="text1"/>
                <w:spacing w:val="-6"/>
                <w:szCs w:val="24"/>
                <w:lang w:val="en-US" w:eastAsia="zh-CN"/>
                <w14:textFill>
                  <w14:solidFill>
                    <w14:schemeClr w14:val="tx1"/>
                  </w14:solidFill>
                </w14:textFill>
              </w:rPr>
              <w:t>注塑生产线的注塑工段</w:t>
            </w:r>
            <w:r>
              <w:rPr>
                <w:rFonts w:hint="eastAsia" w:ascii="Times New Roman" w:hAnsi="Times New Roman" w:eastAsia="宋体" w:cs="Times New Roman"/>
                <w:color w:val="000000" w:themeColor="text1"/>
                <w:spacing w:val="-6"/>
                <w:szCs w:val="24"/>
                <w:lang w:val="en-US"/>
                <w14:textFill>
                  <w14:solidFill>
                    <w14:schemeClr w14:val="tx1"/>
                  </w14:solidFill>
                </w14:textFill>
              </w:rPr>
              <w:t>需用冷却水对</w:t>
            </w:r>
            <w:r>
              <w:rPr>
                <w:rFonts w:hint="eastAsia" w:ascii="Times New Roman" w:hAnsi="Times New Roman" w:eastAsia="宋体" w:cs="Times New Roman"/>
                <w:color w:val="000000" w:themeColor="text1"/>
                <w:spacing w:val="-6"/>
                <w:szCs w:val="24"/>
                <w:lang w:val="en-US" w:eastAsia="zh-CN"/>
                <w14:textFill>
                  <w14:solidFill>
                    <w14:schemeClr w14:val="tx1"/>
                  </w14:solidFill>
                </w14:textFill>
              </w:rPr>
              <w:t>挤出机</w:t>
            </w:r>
            <w:r>
              <w:rPr>
                <w:rFonts w:hint="eastAsia" w:ascii="Times New Roman" w:hAnsi="Times New Roman" w:eastAsia="宋体" w:cs="Times New Roman"/>
                <w:color w:val="000000" w:themeColor="text1"/>
                <w:spacing w:val="-6"/>
                <w:szCs w:val="24"/>
                <w:lang w:val="en-US"/>
                <w14:textFill>
                  <w14:solidFill>
                    <w14:schemeClr w14:val="tx1"/>
                  </w14:solidFill>
                </w14:textFill>
              </w:rPr>
              <w:t>及注塑机加热部分进行冷却，项目设1个冷却循环水池，通过用管道接通冷却循环水池用于半成品食品用塑料包装容器注塑机及挤出机进行冷却。</w:t>
            </w:r>
          </w:p>
          <w:p>
            <w:pPr>
              <w:pStyle w:val="24"/>
              <w:autoSpaceDE/>
              <w:autoSpaceDN/>
              <w:snapToGrid w:val="0"/>
              <w:spacing w:line="360" w:lineRule="auto"/>
              <w:ind w:firstLine="456" w:firstLineChars="200"/>
              <w:jc w:val="both"/>
              <w:rPr>
                <w:rFonts w:ascii="Times New Roman" w:hAnsi="Times New Roman" w:eastAsia="宋体" w:cs="Times New Roman"/>
                <w:color w:val="000000" w:themeColor="text1"/>
                <w:spacing w:val="-6"/>
                <w:szCs w:val="24"/>
                <w:lang w:val="en-US"/>
                <w14:textFill>
                  <w14:solidFill>
                    <w14:schemeClr w14:val="tx1"/>
                  </w14:solidFill>
                </w14:textFill>
              </w:rPr>
            </w:pPr>
            <w:r>
              <w:rPr>
                <w:rFonts w:hint="eastAsia" w:ascii="Times New Roman" w:hAnsi="Times New Roman" w:eastAsia="宋体" w:cs="Times New Roman"/>
                <w:color w:val="000000" w:themeColor="text1"/>
                <w:spacing w:val="-6"/>
                <w:szCs w:val="24"/>
                <w:lang w:val="en-US"/>
                <w14:textFill>
                  <w14:solidFill>
                    <w14:schemeClr w14:val="tx1"/>
                  </w14:solidFill>
                </w14:textFill>
              </w:rPr>
              <w:t>冷却循环水池容积为29m</w:t>
            </w:r>
            <w:r>
              <w:rPr>
                <w:rFonts w:hint="eastAsia" w:ascii="Times New Roman" w:hAnsi="Times New Roman" w:eastAsia="宋体" w:cs="Times New Roman"/>
                <w:color w:val="000000" w:themeColor="text1"/>
                <w:spacing w:val="-6"/>
                <w:szCs w:val="24"/>
                <w:vertAlign w:val="superscript"/>
                <w:lang w:val="en-US"/>
                <w14:textFill>
                  <w14:solidFill>
                    <w14:schemeClr w14:val="tx1"/>
                  </w14:solidFill>
                </w14:textFill>
              </w:rPr>
              <w:t>3</w:t>
            </w:r>
            <w:r>
              <w:rPr>
                <w:rFonts w:hint="eastAsia" w:ascii="Times New Roman" w:hAnsi="Times New Roman" w:eastAsia="宋体" w:cs="Times New Roman"/>
                <w:color w:val="000000" w:themeColor="text1"/>
                <w:spacing w:val="-6"/>
                <w:szCs w:val="24"/>
                <w:lang w:val="en-US"/>
                <w14:textFill>
                  <w14:solidFill>
                    <w14:schemeClr w14:val="tx1"/>
                  </w14:solidFill>
                </w14:textFill>
              </w:rPr>
              <w:t>，根据业主提供资料，循环冷却水的补充量为0.58m</w:t>
            </w:r>
            <w:r>
              <w:rPr>
                <w:rFonts w:hint="eastAsia" w:ascii="Times New Roman" w:hAnsi="Times New Roman" w:eastAsia="宋体" w:cs="Times New Roman"/>
                <w:color w:val="000000" w:themeColor="text1"/>
                <w:spacing w:val="-6"/>
                <w:szCs w:val="24"/>
                <w:vertAlign w:val="superscript"/>
                <w:lang w:val="en-US"/>
                <w14:textFill>
                  <w14:solidFill>
                    <w14:schemeClr w14:val="tx1"/>
                  </w14:solidFill>
                </w14:textFill>
              </w:rPr>
              <w:t>3</w:t>
            </w:r>
            <w:r>
              <w:rPr>
                <w:rFonts w:hint="eastAsia" w:ascii="Times New Roman" w:hAnsi="Times New Roman" w:eastAsia="宋体" w:cs="Times New Roman"/>
                <w:color w:val="000000" w:themeColor="text1"/>
                <w:spacing w:val="-6"/>
                <w:szCs w:val="24"/>
                <w:lang w:val="en-US"/>
                <w14:textFill>
                  <w14:solidFill>
                    <w14:schemeClr w14:val="tx1"/>
                  </w14:solidFill>
                </w14:textFill>
              </w:rPr>
              <w:t>/d(121.8m</w:t>
            </w:r>
            <w:r>
              <w:rPr>
                <w:rFonts w:hint="eastAsia" w:ascii="Times New Roman" w:hAnsi="Times New Roman" w:eastAsia="宋体" w:cs="Times New Roman"/>
                <w:color w:val="000000" w:themeColor="text1"/>
                <w:spacing w:val="-6"/>
                <w:szCs w:val="24"/>
                <w:vertAlign w:val="superscript"/>
                <w:lang w:val="en-US"/>
                <w14:textFill>
                  <w14:solidFill>
                    <w14:schemeClr w14:val="tx1"/>
                  </w14:solidFill>
                </w14:textFill>
              </w:rPr>
              <w:t>3</w:t>
            </w:r>
            <w:r>
              <w:rPr>
                <w:rFonts w:hint="eastAsia" w:ascii="Times New Roman" w:hAnsi="Times New Roman" w:eastAsia="宋体" w:cs="Times New Roman"/>
                <w:color w:val="000000" w:themeColor="text1"/>
                <w:spacing w:val="-6"/>
                <w:szCs w:val="24"/>
                <w:lang w:val="en-US"/>
                <w14:textFill>
                  <w14:solidFill>
                    <w14:schemeClr w14:val="tx1"/>
                  </w14:solidFill>
                </w14:textFill>
              </w:rPr>
              <w:t>/a)，</w:t>
            </w:r>
            <w:r>
              <w:rPr>
                <w:rFonts w:hint="eastAsia" w:ascii="Times New Roman" w:hAnsi="Times New Roman" w:eastAsia="宋体" w:cs="Times New Roman"/>
                <w:color w:val="000000" w:themeColor="text1"/>
                <w:spacing w:val="-6"/>
                <w:szCs w:val="24"/>
                <w:lang w:val="en-US" w:eastAsia="zh-CN"/>
                <w14:textFill>
                  <w14:solidFill>
                    <w14:schemeClr w14:val="tx1"/>
                  </w14:solidFill>
                </w14:textFill>
              </w:rPr>
              <w:t>则本项目冷却水量为150.8</w:t>
            </w:r>
            <w:r>
              <w:rPr>
                <w:rFonts w:hint="eastAsia" w:ascii="Times New Roman" w:hAnsi="Times New Roman" w:eastAsia="宋体" w:cs="Times New Roman"/>
                <w:color w:val="000000" w:themeColor="text1"/>
                <w:spacing w:val="-6"/>
                <w:szCs w:val="24"/>
                <w:lang w:val="en-US"/>
                <w14:textFill>
                  <w14:solidFill>
                    <w14:schemeClr w14:val="tx1"/>
                  </w14:solidFill>
                </w14:textFill>
              </w:rPr>
              <w:t>m</w:t>
            </w:r>
            <w:r>
              <w:rPr>
                <w:rFonts w:hint="eastAsia" w:ascii="Times New Roman" w:hAnsi="Times New Roman" w:eastAsia="宋体" w:cs="Times New Roman"/>
                <w:color w:val="000000" w:themeColor="text1"/>
                <w:spacing w:val="-6"/>
                <w:szCs w:val="24"/>
                <w:vertAlign w:val="superscript"/>
                <w:lang w:val="en-US"/>
                <w14:textFill>
                  <w14:solidFill>
                    <w14:schemeClr w14:val="tx1"/>
                  </w14:solidFill>
                </w14:textFill>
              </w:rPr>
              <w:t>3</w:t>
            </w:r>
            <w:r>
              <w:rPr>
                <w:rFonts w:hint="eastAsia" w:ascii="Times New Roman" w:hAnsi="Times New Roman" w:eastAsia="宋体" w:cs="Times New Roman"/>
                <w:color w:val="000000" w:themeColor="text1"/>
                <w:spacing w:val="-6"/>
                <w:szCs w:val="24"/>
                <w:lang w:val="en-US"/>
                <w14:textFill>
                  <w14:solidFill>
                    <w14:schemeClr w14:val="tx1"/>
                  </w14:solidFill>
                </w14:textFill>
              </w:rPr>
              <w:t>/a</w:t>
            </w:r>
            <w:r>
              <w:rPr>
                <w:rFonts w:hint="eastAsia" w:ascii="Times New Roman" w:hAnsi="Times New Roman" w:eastAsia="宋体" w:cs="Times New Roman"/>
                <w:color w:val="000000" w:themeColor="text1"/>
                <w:spacing w:val="-6"/>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6"/>
                <w:szCs w:val="24"/>
                <w:lang w:val="en-US"/>
                <w14:textFill>
                  <w14:solidFill>
                    <w14:schemeClr w14:val="tx1"/>
                  </w14:solidFill>
                </w14:textFill>
              </w:rPr>
              <w:t>项目循环水系统水质不受污染，仅水温升高，故循环水经冷却降温后循环使用，没有生产废水产生。</w:t>
            </w:r>
          </w:p>
          <w:p>
            <w:pPr>
              <w:pStyle w:val="24"/>
              <w:autoSpaceDE/>
              <w:autoSpaceDN/>
              <w:snapToGrid w:val="0"/>
              <w:spacing w:line="360" w:lineRule="auto"/>
              <w:ind w:firstLine="456" w:firstLineChars="200"/>
              <w:rPr>
                <w:rFonts w:ascii="Times New Roman" w:hAnsi="Times New Roman" w:eastAsia="宋体" w:cs="Times New Roman"/>
                <w:color w:val="000000" w:themeColor="text1"/>
                <w:spacing w:val="-6"/>
                <w:szCs w:val="24"/>
                <w:lang w:val="en-US"/>
                <w14:textFill>
                  <w14:solidFill>
                    <w14:schemeClr w14:val="tx1"/>
                  </w14:solidFill>
                </w14:textFill>
              </w:rPr>
            </w:pPr>
            <w:r>
              <w:rPr>
                <w:rFonts w:ascii="Times New Roman" w:hAnsi="Times New Roman" w:eastAsia="宋体" w:cs="Times New Roman"/>
                <w:color w:val="000000" w:themeColor="text1"/>
                <w:spacing w:val="-6"/>
                <w:szCs w:val="24"/>
                <w:lang w:val="en-US"/>
                <w14:textFill>
                  <w14:solidFill>
                    <w14:schemeClr w14:val="tx1"/>
                  </w14:solidFill>
                </w14:textFill>
              </w:rPr>
              <w:t>（2）生活用水</w:t>
            </w:r>
          </w:p>
          <w:p>
            <w:pPr>
              <w:pStyle w:val="14"/>
              <w:snapToGrid w:val="0"/>
              <w:spacing w:line="360" w:lineRule="auto"/>
              <w:ind w:right="257"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①生活污水</w:t>
            </w:r>
          </w:p>
          <w:p>
            <w:pPr>
              <w:pStyle w:val="14"/>
              <w:snapToGrid w:val="0"/>
              <w:spacing w:line="360" w:lineRule="auto"/>
              <w:ind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项目投入运营后每天的厂区工作人员约20人，均不在厂区内食宿，生活用水参考GB53/T168-2019《云南省地方标准用水定额》标准，职工生活用水量按每人每天100L计（其他生活用水占80%，食堂用水占20%），年生产天数按210天计，本项目员工不在厂区内食宿，则职工其他生活用水为2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/d（420m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/a），废水产生系数按照0.8计，则职工生活废水产生量为1.6m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/d（336m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/a）；其他职工生活废水排入园区化粪池处理，废水中主要污染物为CODcr、BOD</w:t>
            </w:r>
            <w:r>
              <w:rPr>
                <w:rFonts w:ascii="Times New Roman" w:hAnsi="Times New Roman" w:eastAsia="宋体" w:cs="Times New Roman"/>
                <w:color w:val="000000" w:themeColor="text1"/>
                <w:spacing w:val="-6"/>
                <w:sz w:val="24"/>
                <w:szCs w:val="24"/>
                <w:vertAlign w:val="subscript"/>
                <w:lang w:val="en-US"/>
                <w14:textFill>
                  <w14:solidFill>
                    <w14:schemeClr w14:val="tx1"/>
                  </w14:solidFill>
                </w14:textFill>
              </w:rPr>
              <w:t>5</w:t>
            </w:r>
            <w:r>
              <w:rPr>
                <w:rFonts w:ascii="Times New Roman" w:hAnsi="Times New Roman" w:eastAsia="宋体" w:cs="Times New Roman"/>
                <w:color w:val="000000" w:themeColor="text1"/>
                <w:spacing w:val="-6"/>
                <w:sz w:val="24"/>
                <w:szCs w:val="24"/>
                <w:lang w:val="en-US"/>
                <w14:textFill>
                  <w14:solidFill>
                    <w14:schemeClr w14:val="tx1"/>
                  </w14:solidFill>
                </w14:textFill>
              </w:rPr>
              <w:t>、SS、氨氮、总磷等污染物，根据《我国城市生活污水水质统计数据》，各种污染物的浓度分别为CODcr：400mg/L，BOD</w:t>
            </w:r>
            <w:r>
              <w:rPr>
                <w:rFonts w:ascii="Times New Roman" w:hAnsi="Times New Roman" w:eastAsia="宋体" w:cs="Times New Roman"/>
                <w:color w:val="000000" w:themeColor="text1"/>
                <w:spacing w:val="-6"/>
                <w:sz w:val="24"/>
                <w:szCs w:val="24"/>
                <w:vertAlign w:val="subscript"/>
                <w:lang w:val="en-US"/>
                <w14:textFill>
                  <w14:solidFill>
                    <w14:schemeClr w14:val="tx1"/>
                  </w14:solidFill>
                </w14:textFill>
              </w:rPr>
              <w:t>5</w:t>
            </w:r>
            <w:r>
              <w:rPr>
                <w:rFonts w:ascii="Times New Roman" w:hAnsi="Times New Roman" w:eastAsia="宋体" w:cs="Times New Roman"/>
                <w:color w:val="000000" w:themeColor="text1"/>
                <w:spacing w:val="-6"/>
                <w:sz w:val="24"/>
                <w:szCs w:val="24"/>
                <w:lang w:val="en-US"/>
                <w14:textFill>
                  <w14:solidFill>
                    <w14:schemeClr w14:val="tx1"/>
                  </w14:solidFill>
                </w14:textFill>
              </w:rPr>
              <w:t>：220mg/L，SS：300mg/L，NH</w:t>
            </w:r>
            <w:r>
              <w:rPr>
                <w:rFonts w:ascii="Times New Roman" w:hAnsi="Times New Roman" w:eastAsia="宋体" w:cs="Times New Roman"/>
                <w:color w:val="000000" w:themeColor="text1"/>
                <w:spacing w:val="-6"/>
                <w:sz w:val="24"/>
                <w:szCs w:val="24"/>
                <w:vertAlign w:val="subscript"/>
                <w:lang w:val="en-US"/>
                <w14:textFill>
                  <w14:solidFill>
                    <w14:schemeClr w14:val="tx1"/>
                  </w14:solidFill>
                </w14:textFill>
              </w:rPr>
              <w:t>3-N</w:t>
            </w:r>
            <w:r>
              <w:rPr>
                <w:rFonts w:ascii="Times New Roman" w:hAnsi="Times New Roman" w:eastAsia="宋体" w:cs="Times New Roman"/>
                <w:color w:val="000000" w:themeColor="text1"/>
                <w:spacing w:val="-6"/>
                <w:sz w:val="24"/>
                <w:szCs w:val="24"/>
                <w:lang w:val="en-US"/>
                <w14:textFill>
                  <w14:solidFill>
                    <w14:schemeClr w14:val="tx1"/>
                  </w14:solidFill>
                </w14:textFill>
              </w:rPr>
              <w:t>：20mg/L，动植物油：50mg/L，TP：7mg/L。</w:t>
            </w:r>
          </w:p>
          <w:p>
            <w:pPr>
              <w:pStyle w:val="14"/>
              <w:snapToGrid w:val="0"/>
              <w:spacing w:line="360" w:lineRule="auto"/>
              <w:ind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14:textFill>
                  <w14:solidFill>
                    <w14:schemeClr w14:val="tx1"/>
                  </w14:solidFill>
                </w14:textFill>
              </w:rPr>
              <w:t>生活污水排入</w:t>
            </w:r>
            <w:r>
              <w:rPr>
                <w:rFonts w:ascii="Times New Roman" w:hAnsi="Times New Roman" w:eastAsia="宋体" w:cs="Times New Roman"/>
                <w:color w:val="000000" w:themeColor="text1"/>
                <w:spacing w:val="-6"/>
                <w:sz w:val="24"/>
                <w:szCs w:val="24"/>
                <w:lang w:val="en-US"/>
                <w14:textFill>
                  <w14:solidFill>
                    <w14:schemeClr w14:val="tx1"/>
                  </w14:solidFill>
                </w14:textFill>
              </w:rPr>
              <w:t>依托云南俊腾达标准厂房开发有限公司</w:t>
            </w:r>
            <w:r>
              <w:rPr>
                <w:rFonts w:ascii="Times New Roman" w:hAnsi="Times New Roman" w:eastAsia="宋体" w:cs="Times New Roman"/>
                <w:color w:val="000000" w:themeColor="text1"/>
                <w:spacing w:val="-6"/>
                <w:sz w:val="24"/>
                <w:szCs w:val="24"/>
                <w14:textFill>
                  <w14:solidFill>
                    <w14:schemeClr w14:val="tx1"/>
                  </w14:solidFill>
                </w14:textFill>
              </w:rPr>
              <w:t>的化粪池，经化粪池处理后</w:t>
            </w:r>
            <w:r>
              <w:rPr>
                <w:rFonts w:ascii="Times New Roman" w:hAnsi="Times New Roman" w:eastAsia="宋体" w:cs="Times New Roman"/>
                <w:color w:val="000000" w:themeColor="text1"/>
                <w:spacing w:val="-6"/>
                <w:sz w:val="24"/>
                <w:szCs w:val="24"/>
                <w:lang w:val="en-US"/>
                <w14:textFill>
                  <w14:solidFill>
                    <w14:schemeClr w14:val="tx1"/>
                  </w14:solidFill>
                </w14:textFill>
              </w:rPr>
              <w:t>排入云南俊腾达标准厂房开发有限公司中水处理站处理。</w:t>
            </w:r>
          </w:p>
          <w:p>
            <w:pPr>
              <w:snapToGrid w:val="0"/>
              <w:spacing w:line="360" w:lineRule="auto"/>
              <w:ind w:firstLine="456"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color w:val="000000" w:themeColor="text1"/>
                <w:spacing w:val="-6"/>
                <w:lang w:val="en-US"/>
                <w14:textFill>
                  <w14:solidFill>
                    <w14:schemeClr w14:val="tx1"/>
                  </w14:solidFill>
                </w14:textFill>
              </w:rPr>
              <w:t>④小结</w:t>
            </w:r>
          </w:p>
          <w:p>
            <w:pPr>
              <w:snapToGrid w:val="0"/>
              <w:spacing w:line="360" w:lineRule="auto"/>
              <w:ind w:firstLine="456" w:firstLineChars="200"/>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本项目生产用水量为</w:t>
            </w:r>
            <w:r>
              <w:rPr>
                <w:rFonts w:ascii="Times New Roman" w:hAnsi="Times New Roman" w:cs="Times New Roman"/>
                <w:color w:val="000000" w:themeColor="text1"/>
                <w:spacing w:val="-6"/>
                <w:lang w:val="en-US"/>
                <w14:textFill>
                  <w14:solidFill>
                    <w14:schemeClr w14:val="tx1"/>
                  </w14:solidFill>
                </w14:textFill>
              </w:rPr>
              <w:t>0.5983</w:t>
            </w:r>
            <w:r>
              <w:rPr>
                <w:rFonts w:ascii="Times New Roman" w:hAnsi="Times New Roman" w:cs="Times New Roman"/>
                <w:color w:val="000000" w:themeColor="text1"/>
                <w:spacing w:val="-6"/>
                <w14:textFill>
                  <w14:solidFill>
                    <w14:schemeClr w14:val="tx1"/>
                  </w14:solidFill>
                </w14:textFill>
              </w:rPr>
              <w:t>m</w:t>
            </w:r>
            <w:r>
              <w:rPr>
                <w:rFonts w:ascii="Times New Roman" w:hAnsi="Times New Roman" w:cs="Times New Roman"/>
                <w:color w:val="000000" w:themeColor="text1"/>
                <w:spacing w:val="-6"/>
                <w:vertAlign w:val="superscript"/>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/d；生活用水量为</w:t>
            </w:r>
            <w:r>
              <w:rPr>
                <w:rFonts w:ascii="Times New Roman" w:hAnsi="Times New Roman" w:cs="Times New Roman"/>
                <w:color w:val="000000" w:themeColor="text1"/>
                <w:spacing w:val="-6"/>
                <w:lang w:val="en-US"/>
                <w14:textFill>
                  <w14:solidFill>
                    <w14:schemeClr w14:val="tx1"/>
                  </w14:solidFill>
                </w14:textFill>
              </w:rPr>
              <w:t>2</w:t>
            </w:r>
            <w:r>
              <w:rPr>
                <w:rFonts w:ascii="Times New Roman" w:hAnsi="Times New Roman" w:cs="Times New Roman"/>
                <w:color w:val="000000" w:themeColor="text1"/>
                <w:spacing w:val="-6"/>
                <w14:textFill>
                  <w14:solidFill>
                    <w14:schemeClr w14:val="tx1"/>
                  </w14:solidFill>
                </w14:textFill>
              </w:rPr>
              <w:t>m</w:t>
            </w:r>
            <w:r>
              <w:rPr>
                <w:rFonts w:ascii="Times New Roman" w:hAnsi="Times New Roman" w:cs="Times New Roman"/>
                <w:color w:val="000000" w:themeColor="text1"/>
                <w:spacing w:val="-6"/>
                <w:vertAlign w:val="superscript"/>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/d，生活</w:t>
            </w:r>
            <w:r>
              <w:rPr>
                <w:rFonts w:ascii="Times New Roman" w:hAnsi="Times New Roman" w:cs="Times New Roman"/>
                <w:color w:val="000000" w:themeColor="text1"/>
                <w:spacing w:val="-6"/>
                <w:lang w:val="en-US"/>
                <w14:textFill>
                  <w14:solidFill>
                    <w14:schemeClr w14:val="tx1"/>
                  </w14:solidFill>
                </w14:textFill>
              </w:rPr>
              <w:t>污水</w:t>
            </w:r>
            <w:r>
              <w:rPr>
                <w:rFonts w:ascii="Times New Roman" w:hAnsi="Times New Roman" w:cs="Times New Roman"/>
                <w:color w:val="000000" w:themeColor="text1"/>
                <w:spacing w:val="-6"/>
                <w14:textFill>
                  <w14:solidFill>
                    <w14:schemeClr w14:val="tx1"/>
                  </w14:solidFill>
                </w14:textFill>
              </w:rPr>
              <w:t>产生量为</w:t>
            </w:r>
            <w:r>
              <w:rPr>
                <w:rFonts w:ascii="Times New Roman" w:hAnsi="Times New Roman" w:cs="Times New Roman"/>
                <w:color w:val="000000" w:themeColor="text1"/>
                <w:spacing w:val="-6"/>
                <w:lang w:val="en-US"/>
                <w14:textFill>
                  <w14:solidFill>
                    <w14:schemeClr w14:val="tx1"/>
                  </w14:solidFill>
                </w14:textFill>
              </w:rPr>
              <w:t>1.6</w:t>
            </w:r>
            <w:r>
              <w:rPr>
                <w:rFonts w:ascii="Times New Roman" w:hAnsi="Times New Roman" w:cs="Times New Roman"/>
                <w:color w:val="000000" w:themeColor="text1"/>
                <w:spacing w:val="-6"/>
                <w14:textFill>
                  <w14:solidFill>
                    <w14:schemeClr w14:val="tx1"/>
                  </w14:solidFill>
                </w14:textFill>
              </w:rPr>
              <w:t>m</w:t>
            </w:r>
            <w:r>
              <w:rPr>
                <w:rFonts w:ascii="Times New Roman" w:hAnsi="Times New Roman" w:cs="Times New Roman"/>
                <w:color w:val="000000" w:themeColor="text1"/>
                <w:spacing w:val="-6"/>
                <w:vertAlign w:val="superscript"/>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/d。</w:t>
            </w:r>
          </w:p>
          <w:p>
            <w:pPr>
              <w:snapToGrid w:val="0"/>
              <w:spacing w:line="360" w:lineRule="auto"/>
              <w:ind w:firstLine="456" w:firstLineChars="200"/>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评价要求：项目产生的生活</w:t>
            </w:r>
            <w:r>
              <w:rPr>
                <w:rFonts w:ascii="Times New Roman" w:hAnsi="Times New Roman" w:cs="Times New Roman"/>
                <w:color w:val="000000" w:themeColor="text1"/>
                <w:spacing w:val="-6"/>
                <w:lang w:val="en-US"/>
                <w14:textFill>
                  <w14:solidFill>
                    <w14:schemeClr w14:val="tx1"/>
                  </w14:solidFill>
                </w14:textFill>
              </w:rPr>
              <w:t>污水</w:t>
            </w:r>
            <w:r>
              <w:rPr>
                <w:rFonts w:ascii="Times New Roman" w:hAnsi="Times New Roman" w:cs="Times New Roman"/>
                <w:color w:val="000000" w:themeColor="text1"/>
                <w:spacing w:val="-6"/>
                <w14:textFill>
                  <w14:solidFill>
                    <w14:schemeClr w14:val="tx1"/>
                  </w14:solidFill>
                </w14:textFill>
              </w:rPr>
              <w:t>经</w:t>
            </w:r>
            <w:r>
              <w:rPr>
                <w:rFonts w:ascii="Times New Roman" w:hAnsi="Times New Roman" w:cs="Times New Roman"/>
                <w:color w:val="000000" w:themeColor="text1"/>
                <w:spacing w:val="-6"/>
                <w:lang w:val="en-US"/>
                <w14:textFill>
                  <w14:solidFill>
                    <w14:schemeClr w14:val="tx1"/>
                  </w14:solidFill>
                </w14:textFill>
              </w:rPr>
              <w:t>云南俊腾达标准厂房开发有限公司</w:t>
            </w:r>
            <w:r>
              <w:rPr>
                <w:rFonts w:ascii="Times New Roman" w:hAnsi="Times New Roman" w:cs="Times New Roman"/>
                <w:color w:val="000000" w:themeColor="text1"/>
                <w:spacing w:val="-6"/>
                <w14:textFill>
                  <w14:solidFill>
                    <w14:schemeClr w14:val="tx1"/>
                  </w14:solidFill>
                </w14:textFill>
              </w:rPr>
              <w:t>化粪池处理达到《污水排入城镇下水道水质标准》（GB/T31962-2015）中表1的A等级标准后</w:t>
            </w:r>
            <w:r>
              <w:rPr>
                <w:rFonts w:ascii="Times New Roman" w:hAnsi="Times New Roman" w:cs="Times New Roman"/>
              </w:rPr>
              <w:t>排入</w:t>
            </w:r>
            <w:r>
              <w:rPr>
                <w:rFonts w:ascii="Times New Roman" w:hAnsi="Times New Roman" w:cs="Times New Roman"/>
                <w:color w:val="000000"/>
              </w:rPr>
              <w:t>云南俊腾达房地产开发有限公司中水处理站处理</w:t>
            </w:r>
            <w:r>
              <w:rPr>
                <w:rFonts w:hint="eastAsia" w:ascii="Times New Roman" w:hAnsi="Times New Roman" w:cs="Times New Roman"/>
                <w:color w:val="000000"/>
              </w:rPr>
              <w:t>后</w:t>
            </w:r>
            <w:r>
              <w:rPr>
                <w:rFonts w:ascii="Times New Roman" w:hAnsi="Times New Roman" w:cs="Times New Roman"/>
                <w:color w:val="000000"/>
              </w:rPr>
              <w:t>，</w:t>
            </w:r>
            <w:r>
              <w:rPr>
                <w:rFonts w:hint="eastAsia" w:ascii="Times New Roman" w:hAnsi="Times New Roman" w:cs="Times New Roman"/>
                <w:color w:val="000000"/>
              </w:rPr>
              <w:t>优先</w:t>
            </w:r>
            <w:r>
              <w:rPr>
                <w:rFonts w:ascii="Times New Roman" w:hAnsi="Times New Roman" w:cs="Times New Roman"/>
                <w:color w:val="000000"/>
              </w:rPr>
              <w:t>回用于云南俊腾达房地产开发有限公司厂区内道路浇水及绿化</w:t>
            </w:r>
            <w:r>
              <w:rPr>
                <w:rFonts w:hint="eastAsia"/>
              </w:rPr>
              <w:t>，不能回用部分排入园区污水管网，最终进入淤泥河水质净化厂处理。</w:t>
            </w:r>
          </w:p>
          <w:p>
            <w:pPr>
              <w:snapToGrid w:val="0"/>
              <w:spacing w:line="360" w:lineRule="auto"/>
              <w:ind w:firstLine="456" w:firstLineChars="200"/>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项目给排水情况见表</w:t>
            </w:r>
            <w:r>
              <w:rPr>
                <w:rFonts w:ascii="Times New Roman" w:hAnsi="Times New Roman" w:cs="Times New Roman"/>
                <w:color w:val="000000" w:themeColor="text1"/>
                <w:spacing w:val="-6"/>
                <w:lang w:val="en-US"/>
                <w14:textFill>
                  <w14:solidFill>
                    <w14:schemeClr w14:val="tx1"/>
                  </w14:solidFill>
                </w14:textFill>
              </w:rPr>
              <w:t>2</w:t>
            </w:r>
            <w:r>
              <w:rPr>
                <w:rFonts w:ascii="Times New Roman" w:hAnsi="Times New Roman" w:cs="Times New Roman"/>
                <w:color w:val="000000" w:themeColor="text1"/>
                <w:spacing w:val="-6"/>
                <w14:textFill>
                  <w14:solidFill>
                    <w14:schemeClr w14:val="tx1"/>
                  </w14:solidFill>
                </w14:textFill>
              </w:rPr>
              <w:t>-6。</w:t>
            </w:r>
          </w:p>
          <w:p>
            <w:pPr>
              <w:pStyle w:val="10"/>
              <w:rPr>
                <w:color w:val="000000" w:themeColor="text1"/>
                <w14:textFill>
                  <w14:solidFill>
                    <w14:schemeClr w14:val="tx1"/>
                  </w14:solidFill>
                </w14:textFill>
              </w:rPr>
            </w:pPr>
            <w:r>
              <w:rPr>
                <w:color w:val="000000" w:themeColor="text1"/>
                <w14:textFill>
                  <w14:solidFill>
                    <w14:schemeClr w14:val="tx1"/>
                  </w14:solidFill>
                </w14:textFill>
              </w:rPr>
              <w:t>表2-6项目用排水情况一览表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403"/>
              <w:gridCol w:w="810"/>
              <w:gridCol w:w="1101"/>
              <w:gridCol w:w="839"/>
              <w:gridCol w:w="743"/>
              <w:gridCol w:w="839"/>
              <w:gridCol w:w="983"/>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用水类别</w:t>
                  </w:r>
                </w:p>
              </w:tc>
              <w:tc>
                <w:tcPr>
                  <w:tcW w:w="248"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用水单位</w:t>
                  </w:r>
                </w:p>
              </w:tc>
              <w:tc>
                <w:tcPr>
                  <w:tcW w:w="500"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w:t>
                  </w:r>
                </w:p>
              </w:tc>
              <w:tc>
                <w:tcPr>
                  <w:tcW w:w="678"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用水标准</w:t>
                  </w:r>
                </w:p>
              </w:tc>
              <w:tc>
                <w:tcPr>
                  <w:tcW w:w="977" w:type="pct"/>
                  <w:gridSpan w:val="2"/>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用水量</w:t>
                  </w:r>
                </w:p>
              </w:tc>
              <w:tc>
                <w:tcPr>
                  <w:tcW w:w="1125" w:type="pct"/>
                  <w:gridSpan w:val="2"/>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污水量</w:t>
                  </w:r>
                </w:p>
              </w:tc>
              <w:tc>
                <w:tcPr>
                  <w:tcW w:w="1220"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248"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500"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/d</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/d</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1220"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restar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生产用水</w:t>
                  </w:r>
                </w:p>
              </w:tc>
              <w:tc>
                <w:tcPr>
                  <w:tcW w:w="24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智能冷水机用水</w:t>
                  </w:r>
                </w:p>
              </w:tc>
              <w:tc>
                <w:tcPr>
                  <w:tcW w:w="50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17.22</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67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0.0</w:t>
                  </w:r>
                  <w:r>
                    <w:rPr>
                      <w:rFonts w:hint="eastAsia"/>
                      <w:b w:val="0"/>
                      <w:color w:val="000000" w:themeColor="text1"/>
                      <w14:textFill>
                        <w14:solidFill>
                          <w14:schemeClr w14:val="tx1"/>
                        </w14:solidFill>
                      </w14:textFill>
                    </w:rPr>
                    <w:t>82</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/d</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0.0</w:t>
                  </w:r>
                  <w:r>
                    <w:rPr>
                      <w:rFonts w:hint="eastAsia"/>
                      <w:b w:val="0"/>
                      <w:color w:val="000000" w:themeColor="text1"/>
                      <w14:textFill>
                        <w14:solidFill>
                          <w14:schemeClr w14:val="tx1"/>
                        </w14:solidFill>
                      </w14:textFill>
                    </w:rPr>
                    <w:t>82</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17.22</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continue"/>
                  <w:tcBorders>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24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模具冷却用水</w:t>
                  </w:r>
                </w:p>
              </w:tc>
              <w:tc>
                <w:tcPr>
                  <w:tcW w:w="50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121.8m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67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0.58m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/d</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0.58</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121.8</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48"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生活用水</w:t>
                  </w:r>
                </w:p>
              </w:tc>
              <w:tc>
                <w:tcPr>
                  <w:tcW w:w="24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职工其他用水</w:t>
                  </w:r>
                </w:p>
              </w:tc>
              <w:tc>
                <w:tcPr>
                  <w:tcW w:w="500"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20人</w:t>
                  </w:r>
                </w:p>
              </w:tc>
              <w:tc>
                <w:tcPr>
                  <w:tcW w:w="67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80L/人·d</w:t>
                  </w:r>
                </w:p>
              </w:tc>
              <w:tc>
                <w:tcPr>
                  <w:tcW w:w="51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2</w:t>
                  </w:r>
                </w:p>
              </w:tc>
              <w:tc>
                <w:tcPr>
                  <w:tcW w:w="45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420</w:t>
                  </w:r>
                </w:p>
              </w:tc>
              <w:tc>
                <w:tcPr>
                  <w:tcW w:w="51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1.6</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336</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项目产生的生活污水依托云南俊腾达标准厂房开发有限公司化粪池处理达到《污水排入城镇下水道水质标准》（GB/T31962-2015）中表1的A等级标准后</w:t>
                  </w:r>
                  <w:r>
                    <w:rPr>
                      <w:rFonts w:hint="eastAsia"/>
                      <w:b w:val="0"/>
                      <w:color w:val="000000" w:themeColor="text1"/>
                      <w14:textFill>
                        <w14:solidFill>
                          <w14:schemeClr w14:val="tx1"/>
                        </w14:solidFill>
                      </w14:textFill>
                    </w:rPr>
                    <w:t>排入云南俊腾达房地产开发有限公司中水处理站处理后，优先回用于云南俊腾达房地产开发有限公司厂区内道路浇水及绿化，不能回用部分排入园区污水管网，最终进入淤泥河水质净化厂处理。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1427" w:type="pct"/>
                  <w:gridSpan w:val="3"/>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小计</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2.662</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559.02</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1.6</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336</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76" w:type="pct"/>
                  <w:gridSpan w:val="4"/>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合计</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2.662</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559.02</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1.6</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336</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w:t>
                  </w:r>
                </w:p>
              </w:tc>
            </w:tr>
          </w:tbl>
          <w:p>
            <w:pPr>
              <w:pStyle w:val="75"/>
              <w:snapToGrid w:val="0"/>
              <w:spacing w:line="360" w:lineRule="auto"/>
              <w:ind w:firstLine="561"/>
              <w:rPr>
                <w:rFonts w:ascii="Times New Roman" w:hAnsi="Times New Roman" w:cs="Times New Roman"/>
                <w:color w:val="000000" w:themeColor="text1"/>
                <w:szCs w:val="24"/>
                <w:lang w:val="en-US"/>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本项目区水量平衡图如图2</w:t>
            </w:r>
            <w:r>
              <w:rPr>
                <w:rFonts w:ascii="Times New Roman" w:hAnsi="Times New Roman" w:cs="Times New Roman"/>
                <w:color w:val="000000" w:themeColor="text1"/>
                <w:lang w:val="en-US"/>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w:t>
            </w:r>
          </w:p>
          <w:p>
            <w:pPr>
              <w:pStyle w:val="10"/>
              <w:jc w:val="both"/>
              <w:rPr>
                <w:color w:val="FF0000"/>
              </w:rPr>
            </w:pPr>
            <w:r>
              <w:rPr>
                <w:color w:val="FF0000"/>
              </w:rPr>
              <w:object>
                <v:shape id="_x0000_i1025" o:spt="75" type="#_x0000_t75" style="height:238.5pt;width:385.5pt;" o:ole="t" filled="f" o:preferrelative="t" stroked="f" coordsize="21600,21600">
                  <v:path/>
                  <v:fill on="f" focussize="0,0"/>
                  <v:stroke on="f" joinstyle="miter"/>
                  <v:imagedata r:id="rId18" o:title=""/>
                  <o:lock v:ext="edit" aspectratio="f"/>
                  <w10:wrap type="none"/>
                  <w10:anchorlock/>
                </v:shape>
                <o:OLEObject Type="Embed" ProgID="Visio.Drawing.11" ShapeID="_x0000_i1025" DrawAspect="Content" ObjectID="_1468075725" r:id="rId17">
                  <o:LockedField>false</o:LockedField>
                </o:OLEObject>
              </w:object>
            </w:r>
          </w:p>
          <w:p>
            <w:pPr>
              <w:pStyle w:val="10"/>
              <w:ind w:firstLine="422"/>
              <w:rPr>
                <w:color w:val="000000" w:themeColor="text1"/>
                <w:sz w:val="24"/>
                <w14:textFill>
                  <w14:solidFill>
                    <w14:schemeClr w14:val="tx1"/>
                  </w14:solidFill>
                </w14:textFill>
              </w:rPr>
            </w:pPr>
            <w:r>
              <w:rPr>
                <w:color w:val="000000" w:themeColor="text1"/>
                <w14:textFill>
                  <w14:solidFill>
                    <w14:schemeClr w14:val="tx1"/>
                  </w14:solidFill>
                </w14:textFill>
              </w:rPr>
              <w:t>图2-7项目水平衡图单位：t/d</w:t>
            </w:r>
          </w:p>
          <w:p>
            <w:pPr>
              <w:snapToGrid w:val="0"/>
              <w:jc w:val="both"/>
              <w:rPr>
                <w:rFonts w:ascii="Times New Roman" w:hAnsi="Times New Roman"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pPr>
              <w:snapToGrid w:val="0"/>
              <w:rPr>
                <w:rFonts w:ascii="Times New Roman" w:hAnsi="Times New Roman" w:cs="Times New Roman"/>
                <w:sz w:val="21"/>
              </w:rPr>
            </w:pPr>
            <w:r>
              <w:rPr>
                <w:rFonts w:ascii="Times New Roman" w:hAnsi="Times New Roman" w:cs="Times New Roman"/>
              </w:rPr>
              <w:t>工艺流程和产排污环节</w:t>
            </w:r>
          </w:p>
        </w:tc>
        <w:tc>
          <w:tcPr>
            <w:tcW w:w="8324" w:type="dxa"/>
          </w:tcPr>
          <w:p>
            <w:pPr>
              <w:pStyle w:val="46"/>
              <w:numPr>
                <w:ilvl w:val="0"/>
                <w:numId w:val="3"/>
              </w:numPr>
              <w:snapToGrid w:val="0"/>
              <w:spacing w:line="360" w:lineRule="auto"/>
              <w:rPr>
                <w:rFonts w:ascii="Times New Roman" w:hAnsi="Times New Roman" w:cs="Times New Roman"/>
              </w:rPr>
            </w:pPr>
            <w:r>
              <w:rPr>
                <w:rFonts w:ascii="Times New Roman" w:hAnsi="Times New Roman" w:cs="Times New Roman"/>
              </w:rPr>
              <w:t>工艺流程简述</w:t>
            </w:r>
          </w:p>
          <w:p>
            <w:pPr>
              <w:pStyle w:val="46"/>
              <w:numPr>
                <w:ilvl w:val="0"/>
                <w:numId w:val="4"/>
              </w:numPr>
              <w:snapToGrid w:val="0"/>
              <w:spacing w:line="360" w:lineRule="auto"/>
              <w:ind w:left="-482" w:firstLine="482"/>
              <w:rPr>
                <w:rFonts w:ascii="Times New Roman" w:hAnsi="Times New Roman" w:cs="Times New Roman"/>
              </w:rPr>
            </w:pPr>
            <w:r>
              <w:rPr>
                <w:rFonts w:ascii="Times New Roman" w:hAnsi="Times New Roman" w:cs="Times New Roman"/>
              </w:rPr>
              <w:t>施工期工艺流程及产污环节</w:t>
            </w:r>
          </w:p>
          <w:p>
            <w:pPr>
              <w:autoSpaceDE/>
              <w:autoSpaceDN/>
              <w:adjustRightInd w:val="0"/>
              <w:snapToGrid w:val="0"/>
              <w:spacing w:line="360" w:lineRule="auto"/>
              <w:ind w:firstLine="480" w:firstLineChars="200"/>
              <w:rPr>
                <w:rFonts w:ascii="Times New Roman" w:hAnsi="Times New Roman" w:cs="Times New Roman"/>
                <w:color w:val="000000"/>
                <w:lang w:val="en-US"/>
              </w:rPr>
            </w:pPr>
            <w:r>
              <w:rPr>
                <w:rFonts w:ascii="Times New Roman" w:hAnsi="Times New Roman" w:cs="Times New Roman"/>
                <w:color w:val="000000"/>
                <w:lang w:val="en-US"/>
              </w:rPr>
              <w:t>（一）施工期工艺流程及产污环节</w:t>
            </w:r>
          </w:p>
          <w:p>
            <w:pPr>
              <w:pStyle w:val="46"/>
              <w:autoSpaceDE/>
              <w:autoSpaceDN/>
              <w:snapToGrid w:val="0"/>
              <w:spacing w:line="360" w:lineRule="auto"/>
              <w:ind w:firstLine="480" w:firstLineChars="200"/>
              <w:rPr>
                <w:rFonts w:ascii="Times New Roman" w:hAnsi="Times New Roman" w:cs="Times New Roman"/>
                <w:color w:val="000000"/>
                <w:lang w:val="en-US"/>
              </w:rPr>
            </w:pPr>
            <w:r>
              <w:rPr>
                <w:rFonts w:ascii="Times New Roman" w:hAnsi="Times New Roman" w:cs="Times New Roman"/>
                <w:color w:val="000000"/>
                <w:lang w:val="en-US"/>
              </w:rPr>
              <w:t>本项目租用现有厂房，布置生产线进行生产。施工期主要为设备安装及装修，产生少量的粉尘、噪声和垃圾。施工时间较为短暂，做好洒水降尘、隔声减振和垃圾清运，产污随着施工完成而结束。其施工期间产污见图2-8。</w:t>
            </w:r>
          </w:p>
          <w:p>
            <w:pPr>
              <w:adjustRightInd w:val="0"/>
              <w:snapToGrid w:val="0"/>
              <w:jc w:val="center"/>
              <w:rPr>
                <w:rFonts w:ascii="Times New Roman" w:hAnsi="Times New Roman" w:cs="Times New Roman"/>
                <w:bCs/>
                <w:lang w:val="en-US"/>
              </w:rPr>
            </w:pPr>
            <w:r>
              <w:rPr>
                <w:rFonts w:ascii="Times New Roman" w:hAnsi="Times New Roman" w:cs="Times New Roman"/>
                <w:color w:val="000000"/>
              </w:rPr>
              <w:object>
                <v:shape id="_x0000_i1026" o:spt="75" type="#_x0000_t75" style="height:131.25pt;width:138.75pt;" o:ole="t" filled="f" o:preferrelative="t" stroked="f" coordsize="21600,21600">
                  <v:path/>
                  <v:fill on="f" focussize="0,0"/>
                  <v:stroke on="f" joinstyle="miter"/>
                  <v:imagedata r:id="rId20" o:title=""/>
                  <o:lock v:ext="edit" aspectratio="t"/>
                  <w10:wrap type="none"/>
                  <w10:anchorlock/>
                </v:shape>
                <o:OLEObject Type="Embed" ProgID="Visio.Drawing.15" ShapeID="_x0000_i1026" DrawAspect="Content" ObjectID="_1468075726" r:id="rId19">
                  <o:LockedField>false</o:LockedField>
                </o:OLEObject>
              </w:object>
            </w:r>
          </w:p>
          <w:p>
            <w:pPr>
              <w:snapToGrid w:val="0"/>
              <w:jc w:val="center"/>
              <w:rPr>
                <w:rFonts w:ascii="Times New Roman" w:hAnsi="Times New Roman" w:cs="Times New Roman"/>
              </w:rPr>
            </w:pPr>
            <w:r>
              <w:rPr>
                <w:rFonts w:ascii="Times New Roman" w:hAnsi="Times New Roman" w:cs="Times New Roman"/>
                <w:b/>
                <w:bCs/>
              </w:rPr>
              <w:t>图2-</w:t>
            </w:r>
            <w:r>
              <w:rPr>
                <w:rFonts w:ascii="Times New Roman" w:hAnsi="Times New Roman" w:cs="Times New Roman"/>
                <w:b/>
                <w:bCs/>
                <w:lang w:val="en-US"/>
              </w:rPr>
              <w:t>8</w:t>
            </w:r>
            <w:r>
              <w:rPr>
                <w:rFonts w:ascii="Times New Roman" w:hAnsi="Times New Roman" w:cs="Times New Roman"/>
                <w:b/>
                <w:bCs/>
              </w:rPr>
              <w:t>项目施工期工艺流程及产污节点图</w:t>
            </w:r>
          </w:p>
          <w:p>
            <w:pPr>
              <w:pStyle w:val="46"/>
              <w:numPr>
                <w:ilvl w:val="0"/>
                <w:numId w:val="4"/>
              </w:numPr>
              <w:snapToGrid w:val="0"/>
              <w:spacing w:line="360" w:lineRule="auto"/>
              <w:ind w:left="-482" w:firstLine="482"/>
              <w:rPr>
                <w:rFonts w:ascii="Times New Roman" w:hAnsi="Times New Roman" w:cs="Times New Roman"/>
              </w:rPr>
            </w:pPr>
            <w:r>
              <w:rPr>
                <w:rFonts w:ascii="Times New Roman" w:hAnsi="Times New Roman" w:cs="Times New Roman"/>
              </w:rPr>
              <w:t>运营期工艺流程及产污环节</w:t>
            </w:r>
          </w:p>
          <w:p>
            <w:pPr>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本项目年产</w:t>
            </w:r>
            <w:r>
              <w:rPr>
                <w:rFonts w:ascii="Times New Roman" w:hAnsi="Times New Roman" w:cs="Times New Roman"/>
                <w:color w:val="000000"/>
                <w:lang w:val="en-US"/>
              </w:rPr>
              <w:t>250</w:t>
            </w:r>
            <w:r>
              <w:rPr>
                <w:rFonts w:ascii="Times New Roman" w:hAnsi="Times New Roman" w:cs="Times New Roman"/>
                <w:color w:val="000000"/>
              </w:rPr>
              <w:t>吨</w:t>
            </w:r>
            <w:r>
              <w:rPr>
                <w:rFonts w:ascii="Times New Roman" w:hAnsi="Times New Roman" w:cs="Times New Roman"/>
                <w:color w:val="000000"/>
                <w:lang w:val="en-US"/>
              </w:rPr>
              <w:t>食品用塑料容器</w:t>
            </w:r>
            <w:r>
              <w:rPr>
                <w:rFonts w:ascii="Times New Roman" w:hAnsi="Times New Roman" w:cs="Times New Roman"/>
                <w:color w:val="000000"/>
              </w:rPr>
              <w:t>，原辅材料聚乙烯颗粒、</w:t>
            </w:r>
            <w:r>
              <w:rPr>
                <w:rFonts w:ascii="Times New Roman" w:hAnsi="Times New Roman" w:cs="Times New Roman"/>
                <w:color w:val="000000"/>
                <w:lang w:val="en-US"/>
              </w:rPr>
              <w:t>色素</w:t>
            </w:r>
            <w:r>
              <w:rPr>
                <w:rFonts w:ascii="Times New Roman" w:hAnsi="Times New Roman" w:cs="Times New Roman"/>
                <w:color w:val="000000"/>
              </w:rPr>
              <w:t>等为直接外购成品。项目建设</w:t>
            </w:r>
            <w:r>
              <w:rPr>
                <w:rFonts w:ascii="Times New Roman" w:hAnsi="Times New Roman" w:cs="Times New Roman"/>
                <w:color w:val="000000"/>
                <w:lang w:val="en-US"/>
              </w:rPr>
              <w:t>7</w:t>
            </w:r>
            <w:r>
              <w:rPr>
                <w:rFonts w:ascii="Times New Roman" w:hAnsi="Times New Roman" w:cs="Times New Roman"/>
                <w:color w:val="000000"/>
              </w:rPr>
              <w:t>条</w:t>
            </w:r>
            <w:r>
              <w:rPr>
                <w:rFonts w:ascii="Times New Roman" w:hAnsi="Times New Roman" w:cs="Times New Roman"/>
                <w:color w:val="000000"/>
                <w:lang w:val="en-US"/>
              </w:rPr>
              <w:t>食品用塑料容器挤出</w:t>
            </w:r>
            <w:r>
              <w:rPr>
                <w:rFonts w:ascii="Times New Roman" w:hAnsi="Times New Roman" w:cs="Times New Roman"/>
                <w:color w:val="000000"/>
              </w:rPr>
              <w:t>生产线，</w:t>
            </w:r>
            <w:r>
              <w:rPr>
                <w:rFonts w:ascii="Times New Roman" w:hAnsi="Times New Roman" w:cs="Times New Roman"/>
                <w:color w:val="000000"/>
                <w:lang w:val="en-US"/>
              </w:rPr>
              <w:t>4</w:t>
            </w:r>
            <w:r>
              <w:rPr>
                <w:rFonts w:ascii="Times New Roman" w:hAnsi="Times New Roman" w:cs="Times New Roman"/>
                <w:color w:val="000000"/>
              </w:rPr>
              <w:t>条</w:t>
            </w:r>
            <w:r>
              <w:rPr>
                <w:rFonts w:ascii="Times New Roman" w:hAnsi="Times New Roman" w:cs="Times New Roman"/>
                <w:color w:val="000000"/>
                <w:lang w:val="en-US"/>
              </w:rPr>
              <w:t>食品用塑料容器注塑</w:t>
            </w:r>
            <w:r>
              <w:rPr>
                <w:rFonts w:ascii="Times New Roman" w:hAnsi="Times New Roman" w:cs="Times New Roman"/>
                <w:color w:val="000000"/>
              </w:rPr>
              <w:t>生产线。</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1、食品用塑料包装容器挤出生产工艺流程图具体生产工艺见下图2-9。</w:t>
            </w:r>
          </w:p>
          <w:p>
            <w:pPr>
              <w:pStyle w:val="43"/>
              <w:rPr>
                <w:rFonts w:cs="Times New Roman"/>
                <w:lang w:val="en-US"/>
              </w:rPr>
            </w:pPr>
            <w:r>
              <w:rPr>
                <w:rFonts w:cs="Times New Roman"/>
                <w:lang w:val="en-US"/>
              </w:rPr>
              <w:object>
                <v:shape id="_x0000_i1027" o:spt="75" type="#_x0000_t75" style="height:276pt;width:384.75pt;" o:ole="t" filled="f" o:preferrelative="t" stroked="f" coordsize="21600,21600">
                  <v:path/>
                  <v:fill on="f" focussize="0,0"/>
                  <v:stroke on="f"/>
                  <v:imagedata r:id="rId22" o:title=""/>
                  <o:lock v:ext="edit" aspectratio="f"/>
                  <w10:wrap type="none"/>
                  <w10:anchorlock/>
                </v:shape>
                <o:OLEObject Type="Embed" ProgID="Visio.Drawing.15" ShapeID="_x0000_i1027" DrawAspect="Content" ObjectID="_1468075727" r:id="rId21">
                  <o:LockedField>false</o:LockedField>
                </o:OLEObject>
              </w:object>
            </w:r>
          </w:p>
          <w:p>
            <w:pPr>
              <w:pStyle w:val="43"/>
              <w:rPr>
                <w:rFonts w:cs="Times New Roman"/>
              </w:rPr>
            </w:pPr>
            <w:r>
              <w:rPr>
                <w:rFonts w:cs="Times New Roman"/>
                <w:b/>
                <w:bCs/>
              </w:rPr>
              <w:t>图2-</w:t>
            </w:r>
            <w:r>
              <w:rPr>
                <w:rFonts w:cs="Times New Roman"/>
                <w:b/>
                <w:bCs/>
                <w:lang w:val="en-US"/>
              </w:rPr>
              <w:t>9食品用塑料包装容器挤出</w:t>
            </w:r>
            <w:r>
              <w:rPr>
                <w:rFonts w:cs="Times New Roman"/>
                <w:b/>
                <w:bCs/>
              </w:rPr>
              <w:t>生产工艺流程图</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工艺说明：</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1）配料：外购的聚乙烯颗粒材料、色素原材料按照一定的比例进行配料</w:t>
            </w:r>
            <w:r>
              <w:rPr>
                <w:rFonts w:hint="eastAsia" w:ascii="Times New Roman" w:hAnsi="Times New Roman" w:cs="Times New Roman"/>
                <w:lang w:val="en-US"/>
              </w:rPr>
              <w:t>，项目原料聚乙烯颗粒及色母料为大颗粒，不产生配料粉尘</w:t>
            </w:r>
            <w:r>
              <w:rPr>
                <w:rFonts w:ascii="Times New Roman" w:hAnsi="Times New Roman" w:cs="Times New Roman"/>
                <w:lang w:val="en-US"/>
              </w:rPr>
              <w:t>。</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2）混料：</w:t>
            </w:r>
            <w:r>
              <w:rPr>
                <w:rFonts w:hint="eastAsia" w:ascii="Times New Roman" w:hAnsi="Times New Roman" w:cs="Times New Roman"/>
                <w:lang w:val="en-US"/>
              </w:rPr>
              <w:t>项目原料聚乙烯颗粒采用螺旋管道自动输入混料机中搅拌，然后通过管道输送至上料机，项目上料机为全封闭设备，上料过程中无粉尘产生，但是项目使用的原料为颗粒状，</w:t>
            </w:r>
            <w:r>
              <w:rPr>
                <w:rFonts w:hint="eastAsia"/>
              </w:rPr>
              <w:t>粒径较大，</w:t>
            </w:r>
            <w:r>
              <w:rPr>
                <w:rFonts w:hint="eastAsia" w:ascii="Times New Roman" w:hAnsi="Times New Roman" w:cs="Times New Roman"/>
                <w:lang w:val="en-US"/>
              </w:rPr>
              <w:t>投料阶段有极少量粉尘产生，无组织排放</w:t>
            </w:r>
            <w:r>
              <w:rPr>
                <w:rFonts w:ascii="Times New Roman" w:hAnsi="Times New Roman" w:cs="Times New Roman"/>
                <w:lang w:val="en-US"/>
              </w:rPr>
              <w:t>。</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3）预热：利用电能进行颗粒的精细化及均质预热，预热温度约为70-80℃，过程中均加盖封闭运作，随后经输料泵打至吹塑机喂料口。</w:t>
            </w:r>
          </w:p>
          <w:p>
            <w:pPr>
              <w:pStyle w:val="24"/>
              <w:snapToGrid w:val="0"/>
              <w:spacing w:line="360" w:lineRule="auto"/>
              <w:ind w:firstLine="480" w:firstLineChars="200"/>
              <w:rPr>
                <w:rFonts w:ascii="Times New Roman" w:hAnsi="Times New Roman" w:eastAsia="宋体" w:cs="Times New Roman"/>
                <w:szCs w:val="24"/>
                <w:lang w:val="en-US"/>
              </w:rPr>
            </w:pPr>
            <w:r>
              <w:rPr>
                <w:rFonts w:ascii="Times New Roman" w:hAnsi="Times New Roman" w:eastAsia="宋体" w:cs="Times New Roman"/>
                <w:szCs w:val="24"/>
                <w:lang w:val="en-US"/>
              </w:rPr>
              <w:t>4）挤出：塑料粒子经过挤出或注射成型得到管状塑料型胚，趁热置于模具中。此工序会产生有机废气。</w:t>
            </w:r>
          </w:p>
          <w:p>
            <w:pPr>
              <w:pStyle w:val="24"/>
              <w:snapToGrid w:val="0"/>
              <w:spacing w:line="360" w:lineRule="auto"/>
              <w:ind w:firstLine="480" w:firstLineChars="200"/>
              <w:rPr>
                <w:rFonts w:ascii="Times New Roman" w:hAnsi="Times New Roman" w:eastAsia="宋体" w:cs="Times New Roman"/>
                <w:szCs w:val="24"/>
                <w:lang w:val="en-US"/>
              </w:rPr>
            </w:pPr>
            <w:r>
              <w:rPr>
                <w:rFonts w:ascii="Times New Roman" w:hAnsi="Times New Roman" w:eastAsia="宋体" w:cs="Times New Roman"/>
                <w:szCs w:val="24"/>
                <w:lang w:val="en-US"/>
              </w:rPr>
              <w:t>项目采用中空机，该机体模腔可自动连续完成热融、加压挤出、冷却脱模等一系列工序， 最终形成塑料桶雏形，塑料粒子在吹塑机中加热融化成液态，热熔温度约在170-200℃，该温度高于塑料粒子的融化温度但是低于塑料粒子的分解温度</w:t>
            </w:r>
            <w:r>
              <w:rPr>
                <w:rFonts w:ascii="Times New Roman" w:hAnsi="Times New Roman" w:cs="Times New Roman"/>
                <w:lang w:val="en-US"/>
              </w:rPr>
              <w:t>，</w:t>
            </w:r>
            <w:r>
              <w:rPr>
                <w:rFonts w:ascii="Times New Roman" w:hAnsi="Times New Roman" w:eastAsia="宋体" w:cs="Times New Roman"/>
                <w:szCs w:val="24"/>
                <w:lang w:val="en-US"/>
              </w:rPr>
              <w:t>此过程产生有机废气经集气罩收集后通过UV光氧</w:t>
            </w:r>
            <w:r>
              <w:rPr>
                <w:rFonts w:hint="eastAsia" w:ascii="Times New Roman" w:hAnsi="Times New Roman" w:eastAsia="宋体" w:cs="Times New Roman"/>
                <w:szCs w:val="24"/>
                <w:lang w:val="en-US" w:eastAsia="zh-CN"/>
              </w:rPr>
              <w:t>催化</w:t>
            </w:r>
            <w:r>
              <w:rPr>
                <w:rFonts w:ascii="Times New Roman" w:hAnsi="Times New Roman" w:eastAsia="宋体" w:cs="Times New Roman"/>
                <w:szCs w:val="24"/>
                <w:lang w:val="en-US"/>
              </w:rPr>
              <w:t>+活性炭吸附装置1#处理，最终由30m高排气筒DA001外排。</w:t>
            </w:r>
          </w:p>
          <w:p>
            <w:pPr>
              <w:pStyle w:val="24"/>
              <w:snapToGrid w:val="0"/>
              <w:spacing w:line="360" w:lineRule="auto"/>
              <w:ind w:firstLine="480" w:firstLineChars="200"/>
              <w:rPr>
                <w:rFonts w:ascii="Times New Roman" w:hAnsi="Times New Roman" w:eastAsia="宋体" w:cs="Times New Roman"/>
                <w:szCs w:val="24"/>
                <w:lang w:val="en-US"/>
              </w:rPr>
            </w:pPr>
            <w:r>
              <w:rPr>
                <w:rFonts w:ascii="Times New Roman" w:hAnsi="Times New Roman" w:eastAsia="宋体" w:cs="Times New Roman"/>
                <w:szCs w:val="24"/>
                <w:lang w:val="en-US"/>
              </w:rPr>
              <w:t>此工序采用</w:t>
            </w:r>
            <w:r>
              <w:rPr>
                <w:rFonts w:hint="eastAsia" w:ascii="Times New Roman" w:hAnsi="Times New Roman" w:eastAsia="宋体" w:cs="Times New Roman"/>
                <w:szCs w:val="24"/>
                <w:lang w:val="en-US"/>
              </w:rPr>
              <w:t>外接冷却循环水池</w:t>
            </w:r>
            <w:r>
              <w:rPr>
                <w:rFonts w:ascii="Times New Roman" w:hAnsi="Times New Roman" w:eastAsia="宋体" w:cs="Times New Roman"/>
                <w:szCs w:val="24"/>
                <w:lang w:val="en-US"/>
              </w:rPr>
              <w:t>对挤出部分进行冷却，</w:t>
            </w:r>
            <w:r>
              <w:rPr>
                <w:rFonts w:hint="eastAsia" w:ascii="Times New Roman" w:hAnsi="Times New Roman" w:eastAsia="宋体" w:cs="Times New Roman"/>
                <w:szCs w:val="24"/>
                <w:lang w:val="en-US"/>
              </w:rPr>
              <w:t>冷却循环水池</w:t>
            </w:r>
            <w:r>
              <w:rPr>
                <w:rFonts w:ascii="Times New Roman" w:hAnsi="Times New Roman" w:eastAsia="宋体" w:cs="Times New Roman"/>
                <w:szCs w:val="24"/>
                <w:lang w:val="en-US"/>
              </w:rPr>
              <w:t>冷却循环水循环使用，不产生生产废水。</w:t>
            </w:r>
          </w:p>
          <w:p>
            <w:pPr>
              <w:pStyle w:val="24"/>
              <w:snapToGrid w:val="0"/>
              <w:spacing w:line="360" w:lineRule="auto"/>
              <w:ind w:firstLine="480" w:firstLineChars="200"/>
              <w:rPr>
                <w:rFonts w:ascii="Times New Roman" w:hAnsi="Times New Roman" w:eastAsia="宋体" w:cs="Times New Roman"/>
                <w:szCs w:val="24"/>
                <w:lang w:val="en-US"/>
              </w:rPr>
            </w:pPr>
            <w:r>
              <w:rPr>
                <w:rFonts w:ascii="Times New Roman" w:hAnsi="Times New Roman" w:eastAsia="宋体" w:cs="Times New Roman"/>
                <w:szCs w:val="24"/>
                <w:lang w:val="en-US"/>
              </w:rPr>
              <w:t>5）吹膜：闭模后立即在型胚内通入压缩空气，使塑料型胚吹胀而紧贴在模具内壁上，经过脱模冷却得到中空制品。此工序会外接管道至冷却循环水池，用于吹膜模具冷却，模具冷却水循环使用，不产生生产废水。</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6）冷却定型：成型后的半成品食品用塑料包装容器通</w:t>
            </w:r>
            <w:r>
              <w:rPr>
                <w:rFonts w:hint="eastAsia" w:ascii="Times New Roman" w:hAnsi="Times New Roman" w:cs="Times New Roman"/>
                <w:lang w:val="en-US"/>
              </w:rPr>
              <w:t>采用</w:t>
            </w:r>
            <w:r>
              <w:rPr>
                <w:rFonts w:ascii="Times New Roman" w:hAnsi="Times New Roman" w:cs="Times New Roman"/>
                <w:lang w:val="en-US"/>
              </w:rPr>
              <w:t>智能冷水机冷却水进行间接冷却，冷却水循环使用</w:t>
            </w:r>
            <w:r>
              <w:rPr>
                <w:rFonts w:hint="eastAsia" w:ascii="Times New Roman" w:hAnsi="Times New Roman" w:cs="Times New Roman"/>
                <w:lang w:val="en-US"/>
              </w:rPr>
              <w:t>不产生生产废水</w:t>
            </w:r>
            <w:r>
              <w:rPr>
                <w:rFonts w:ascii="Times New Roman" w:hAnsi="Times New Roman" w:cs="Times New Roman"/>
                <w:lang w:val="en-US"/>
              </w:rPr>
              <w:t>。</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7）修边：冷却定型后的成品进行修剪边角</w:t>
            </w:r>
            <w:r>
              <w:rPr>
                <w:rStyle w:val="37"/>
                <w:rFonts w:hint="eastAsia"/>
                <w:sz w:val="24"/>
              </w:rPr>
              <w:t>，</w:t>
            </w:r>
            <w:r>
              <w:rPr>
                <w:rStyle w:val="37"/>
                <w:rFonts w:hint="eastAsia"/>
                <w:sz w:val="24"/>
                <w:lang w:val="en-US"/>
              </w:rPr>
              <w:t>此工序会产生废边角料及不合格产品，产生的废边角料及不合格产品通过收集至破碎区进行破碎，</w:t>
            </w:r>
            <w:r>
              <w:rPr>
                <w:rFonts w:ascii="Times New Roman" w:hAnsi="Times New Roman" w:cs="Times New Roman"/>
                <w:lang w:val="en-US"/>
              </w:rPr>
              <w:t>经破碎机破碎</w:t>
            </w:r>
            <w:r>
              <w:rPr>
                <w:rFonts w:hint="eastAsia" w:ascii="Times New Roman" w:hAnsi="Times New Roman" w:cs="Times New Roman"/>
                <w:lang w:val="en-US"/>
              </w:rPr>
              <w:t>收集后暂存一般固废暂存间，由原辅料厂家进行回收</w:t>
            </w:r>
            <w:r>
              <w:rPr>
                <w:rFonts w:ascii="Times New Roman" w:hAnsi="Times New Roman" w:cs="Times New Roman"/>
                <w:lang w:val="en-US"/>
              </w:rPr>
              <w:t>。</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8）检验：对修边后的食品用塑料包装容器进行外观、尺寸检验，将合格管件包装入库。不合格产品进行破碎。</w:t>
            </w:r>
            <w:r>
              <w:rPr>
                <w:rStyle w:val="37"/>
                <w:rFonts w:hint="eastAsia"/>
                <w:sz w:val="24"/>
                <w:lang w:val="en-US"/>
              </w:rPr>
              <w:t>此工序会产生废边角料及不合格产品，产生的废边角料及不合格产品通过收集至破碎区进行破碎，</w:t>
            </w:r>
            <w:r>
              <w:rPr>
                <w:rFonts w:ascii="Times New Roman" w:hAnsi="Times New Roman" w:cs="Times New Roman"/>
                <w:lang w:val="en-US"/>
              </w:rPr>
              <w:t>经破碎机破碎</w:t>
            </w:r>
            <w:r>
              <w:rPr>
                <w:rFonts w:hint="eastAsia" w:ascii="Times New Roman" w:hAnsi="Times New Roman" w:cs="Times New Roman"/>
                <w:lang w:val="en-US"/>
              </w:rPr>
              <w:t>收集后暂存一般固废暂存间，由原辅料厂家进行回收</w:t>
            </w:r>
            <w:r>
              <w:rPr>
                <w:rFonts w:ascii="Times New Roman" w:hAnsi="Times New Roman" w:cs="Times New Roman"/>
                <w:lang w:val="en-US"/>
              </w:rPr>
              <w:t>。</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9）破碎：检查不合格的食品用塑料包装容器和边角料一同收集至破碎区，经破碎机破碎</w:t>
            </w:r>
            <w:r>
              <w:rPr>
                <w:rFonts w:hint="eastAsia" w:ascii="Times New Roman" w:hAnsi="Times New Roman" w:cs="Times New Roman"/>
                <w:lang w:val="en-US"/>
              </w:rPr>
              <w:t>收集后暂存一般固废暂存间，由原辅料厂家进行回收</w:t>
            </w:r>
            <w:r>
              <w:rPr>
                <w:rFonts w:ascii="Times New Roman" w:hAnsi="Times New Roman" w:cs="Times New Roman"/>
                <w:lang w:val="en-US"/>
              </w:rPr>
              <w:t>，该过程产生粉尘经集气罩收集后通过一台布袋除尘器1#处理，最终由30m高排气筒DA003外排。</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10）成品入库：将检验完成后的成品入库待售。</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2、食品用塑料包装容器注塑生产工艺流程图具体生产工艺见下图2-10。</w:t>
            </w:r>
          </w:p>
          <w:p>
            <w:pPr>
              <w:pStyle w:val="43"/>
              <w:rPr>
                <w:rFonts w:cs="Times New Roman"/>
                <w:lang w:val="en-US"/>
              </w:rPr>
            </w:pPr>
            <w:r>
              <w:rPr>
                <w:rFonts w:cs="Times New Roman"/>
                <w:lang w:val="en-US"/>
              </w:rPr>
              <w:object>
                <v:shape id="_x0000_i1028" o:spt="75" type="#_x0000_t75" style="height:276pt;width:384.75pt;" o:ole="t" filled="f" o:preferrelative="t" stroked="f" coordsize="21600,21600">
                  <v:path/>
                  <v:fill on="f" focussize="0,0"/>
                  <v:stroke on="f"/>
                  <v:imagedata r:id="rId24" o:title=""/>
                  <o:lock v:ext="edit" aspectratio="f"/>
                  <w10:wrap type="none"/>
                  <w10:anchorlock/>
                </v:shape>
                <o:OLEObject Type="Embed" ProgID="Visio.Drawing.15" ShapeID="_x0000_i1028" DrawAspect="Content" ObjectID="_1468075728" r:id="rId23">
                  <o:LockedField>false</o:LockedField>
                </o:OLEObject>
              </w:object>
            </w:r>
          </w:p>
          <w:p>
            <w:pPr>
              <w:pStyle w:val="43"/>
              <w:rPr>
                <w:rFonts w:cs="Times New Roman"/>
              </w:rPr>
            </w:pPr>
            <w:r>
              <w:rPr>
                <w:rFonts w:cs="Times New Roman"/>
                <w:b/>
                <w:bCs/>
              </w:rPr>
              <w:t>图2-</w:t>
            </w:r>
            <w:r>
              <w:rPr>
                <w:rFonts w:cs="Times New Roman"/>
                <w:b/>
                <w:bCs/>
                <w:lang w:val="en-US"/>
              </w:rPr>
              <w:t>10食品用塑料包装容器注塑</w:t>
            </w:r>
            <w:r>
              <w:rPr>
                <w:rFonts w:cs="Times New Roman"/>
                <w:b/>
                <w:bCs/>
              </w:rPr>
              <w:t>生产工艺流程图</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工艺说明：</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1）配料：外购的聚乙烯颗粒材料、色素原材料按照一定的比例进行配料</w:t>
            </w:r>
            <w:r>
              <w:rPr>
                <w:rFonts w:hint="eastAsia" w:ascii="Times New Roman" w:hAnsi="Times New Roman" w:cs="Times New Roman"/>
                <w:lang w:val="en-US"/>
              </w:rPr>
              <w:t>，项目原料聚乙烯颗粒及色母料为大颗粒，不产生配料粉尘</w:t>
            </w:r>
            <w:r>
              <w:rPr>
                <w:rFonts w:ascii="Times New Roman" w:hAnsi="Times New Roman" w:cs="Times New Roman"/>
                <w:lang w:val="en-US"/>
              </w:rPr>
              <w:t>。</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2）混料：</w:t>
            </w:r>
            <w:r>
              <w:rPr>
                <w:rFonts w:hint="eastAsia" w:ascii="Times New Roman" w:hAnsi="Times New Roman" w:cs="Times New Roman"/>
                <w:lang w:val="en-US"/>
              </w:rPr>
              <w:t>项目原料聚乙烯颗粒采用螺旋管道自动输入混料机中搅拌，然后通过管道输送至上料机，项目上料机为全封闭设备，上料过程中无粉尘产生，但是项目使用的原料为颗粒状，</w:t>
            </w:r>
            <w:r>
              <w:rPr>
                <w:rFonts w:hint="eastAsia"/>
              </w:rPr>
              <w:t>粒径较大，</w:t>
            </w:r>
            <w:r>
              <w:rPr>
                <w:rFonts w:hint="eastAsia" w:ascii="Times New Roman" w:hAnsi="Times New Roman" w:cs="Times New Roman"/>
                <w:lang w:val="en-US"/>
              </w:rPr>
              <w:t>投料阶段有极少量粉尘产生，无组织排放</w:t>
            </w:r>
            <w:r>
              <w:rPr>
                <w:rFonts w:ascii="Times New Roman" w:hAnsi="Times New Roman" w:cs="Times New Roman"/>
                <w:lang w:val="en-US"/>
              </w:rPr>
              <w:t>。</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3）预热：利用电能进行颗粒的精细化及均质预热，预热温度约为70-80℃，过程中均加盖封闭运作，随后经输料泵打至吹塑机喂料口。</w:t>
            </w:r>
          </w:p>
          <w:p>
            <w:pPr>
              <w:pStyle w:val="24"/>
              <w:snapToGrid w:val="0"/>
              <w:spacing w:line="360" w:lineRule="auto"/>
              <w:ind w:firstLine="480" w:firstLineChars="200"/>
              <w:rPr>
                <w:rFonts w:ascii="Times New Roman" w:hAnsi="Times New Roman" w:eastAsia="宋体" w:cs="Times New Roman"/>
                <w:szCs w:val="24"/>
                <w:lang w:val="en-US"/>
              </w:rPr>
            </w:pPr>
            <w:r>
              <w:rPr>
                <w:rFonts w:ascii="Times New Roman" w:hAnsi="Times New Roman" w:eastAsia="宋体" w:cs="Times New Roman"/>
                <w:szCs w:val="24"/>
                <w:lang w:val="en-US"/>
              </w:rPr>
              <w:t>4）注塑：塑料粒子经过注塑得到塑料型胚，趁热置于模具中。</w:t>
            </w:r>
          </w:p>
          <w:p>
            <w:pPr>
              <w:pStyle w:val="24"/>
              <w:snapToGrid w:val="0"/>
              <w:spacing w:line="360" w:lineRule="auto"/>
              <w:ind w:firstLine="480" w:firstLineChars="200"/>
              <w:rPr>
                <w:rFonts w:ascii="Times New Roman" w:hAnsi="Times New Roman" w:eastAsia="宋体" w:cs="Times New Roman"/>
                <w:szCs w:val="24"/>
                <w:lang w:val="en-US"/>
              </w:rPr>
            </w:pPr>
            <w:r>
              <w:rPr>
                <w:rFonts w:ascii="Times New Roman" w:hAnsi="Times New Roman" w:eastAsia="宋体" w:cs="Times New Roman"/>
                <w:szCs w:val="24"/>
                <w:lang w:val="en-US"/>
              </w:rPr>
              <w:t>项目采用注塑机，该机体模腔可自动连续完成热融、注塑、冷却脱模等一系列工序， 最终形成塑料桶雏形，塑料粒子在注塑机中加热融化成液态，热熔温度约在170-200℃，该温度高于塑料粒子的融化温度但是低于塑料粒子的分解温度</w:t>
            </w:r>
            <w:r>
              <w:rPr>
                <w:rFonts w:ascii="Times New Roman" w:hAnsi="Times New Roman" w:cs="Times New Roman"/>
                <w:lang w:val="en-US"/>
              </w:rPr>
              <w:t>，</w:t>
            </w:r>
            <w:r>
              <w:rPr>
                <w:rFonts w:ascii="Times New Roman" w:hAnsi="Times New Roman" w:eastAsia="宋体" w:cs="Times New Roman"/>
                <w:szCs w:val="24"/>
                <w:lang w:val="en-US"/>
              </w:rPr>
              <w:t>此过程产生有机废气经集气罩收集后通过UV光氧</w:t>
            </w:r>
            <w:r>
              <w:rPr>
                <w:rFonts w:hint="eastAsia" w:ascii="Times New Roman" w:hAnsi="Times New Roman" w:eastAsia="宋体" w:cs="Times New Roman"/>
                <w:szCs w:val="24"/>
                <w:lang w:val="en-US" w:eastAsia="zh-CN"/>
              </w:rPr>
              <w:t>催化</w:t>
            </w:r>
            <w:r>
              <w:rPr>
                <w:rFonts w:ascii="Times New Roman" w:hAnsi="Times New Roman" w:eastAsia="宋体" w:cs="Times New Roman"/>
                <w:szCs w:val="24"/>
                <w:lang w:val="en-US"/>
              </w:rPr>
              <w:t>+活性炭吸附装置1#处理，最终由30m高排气筒DA002外排。</w:t>
            </w:r>
          </w:p>
          <w:p>
            <w:pPr>
              <w:pStyle w:val="24"/>
              <w:snapToGrid w:val="0"/>
              <w:spacing w:line="360" w:lineRule="auto"/>
              <w:ind w:firstLine="480" w:firstLineChars="200"/>
              <w:rPr>
                <w:rFonts w:ascii="Times New Roman" w:hAnsi="Times New Roman" w:eastAsia="宋体" w:cs="Times New Roman"/>
                <w:szCs w:val="24"/>
                <w:lang w:val="en-US"/>
              </w:rPr>
            </w:pPr>
            <w:r>
              <w:rPr>
                <w:rFonts w:ascii="Times New Roman" w:hAnsi="Times New Roman" w:eastAsia="宋体" w:cs="Times New Roman"/>
                <w:szCs w:val="24"/>
                <w:lang w:val="en-US"/>
              </w:rPr>
              <w:t>此工序采用</w:t>
            </w:r>
            <w:r>
              <w:rPr>
                <w:rFonts w:hint="eastAsia" w:ascii="Times New Roman" w:hAnsi="Times New Roman" w:eastAsia="宋体" w:cs="Times New Roman"/>
                <w:szCs w:val="24"/>
                <w:lang w:val="en-US"/>
              </w:rPr>
              <w:t>外接冷却循环水池</w:t>
            </w:r>
            <w:r>
              <w:rPr>
                <w:rFonts w:ascii="Times New Roman" w:hAnsi="Times New Roman" w:eastAsia="宋体" w:cs="Times New Roman"/>
                <w:szCs w:val="24"/>
                <w:lang w:val="en-US"/>
              </w:rPr>
              <w:t>对</w:t>
            </w:r>
            <w:r>
              <w:rPr>
                <w:rFonts w:hint="eastAsia" w:ascii="Times New Roman" w:hAnsi="Times New Roman" w:eastAsia="宋体" w:cs="Times New Roman"/>
                <w:szCs w:val="24"/>
                <w:lang w:val="en-US"/>
              </w:rPr>
              <w:t>注塑机注塑</w:t>
            </w:r>
            <w:r>
              <w:rPr>
                <w:rFonts w:ascii="Times New Roman" w:hAnsi="Times New Roman" w:eastAsia="宋体" w:cs="Times New Roman"/>
                <w:szCs w:val="24"/>
                <w:lang w:val="en-US"/>
              </w:rPr>
              <w:t>部分进行冷却，</w:t>
            </w:r>
            <w:r>
              <w:rPr>
                <w:rFonts w:hint="eastAsia" w:ascii="Times New Roman" w:hAnsi="Times New Roman" w:eastAsia="宋体" w:cs="Times New Roman"/>
                <w:szCs w:val="24"/>
                <w:lang w:val="en-US"/>
              </w:rPr>
              <w:t>冷却循环水池</w:t>
            </w:r>
            <w:r>
              <w:rPr>
                <w:rFonts w:ascii="Times New Roman" w:hAnsi="Times New Roman" w:eastAsia="宋体" w:cs="Times New Roman"/>
                <w:szCs w:val="24"/>
                <w:lang w:val="en-US"/>
              </w:rPr>
              <w:t>冷却循环水循环使用，不产生生产废水。</w:t>
            </w:r>
          </w:p>
          <w:p>
            <w:pPr>
              <w:pStyle w:val="24"/>
              <w:snapToGrid w:val="0"/>
              <w:spacing w:line="360" w:lineRule="auto"/>
              <w:ind w:firstLine="480" w:firstLineChars="200"/>
              <w:rPr>
                <w:rFonts w:ascii="Times New Roman" w:hAnsi="Times New Roman" w:eastAsia="宋体" w:cs="Times New Roman"/>
                <w:szCs w:val="24"/>
                <w:lang w:val="en-US"/>
              </w:rPr>
            </w:pPr>
            <w:r>
              <w:rPr>
                <w:rFonts w:ascii="Times New Roman" w:hAnsi="Times New Roman" w:eastAsia="宋体" w:cs="Times New Roman"/>
                <w:szCs w:val="24"/>
                <w:lang w:val="en-US"/>
              </w:rPr>
              <w:t>5）吹膜：闭模后立即在型胚内通入压缩空气，使塑料型胚吹胀而紧贴在模具内壁上，经过脱模冷却得到中空制品。</w:t>
            </w:r>
          </w:p>
          <w:p>
            <w:pPr>
              <w:pStyle w:val="24"/>
              <w:snapToGrid w:val="0"/>
              <w:spacing w:line="360" w:lineRule="auto"/>
              <w:ind w:firstLine="480" w:firstLineChars="200"/>
              <w:rPr>
                <w:rFonts w:ascii="Times New Roman" w:hAnsi="Times New Roman" w:cs="Times New Roman"/>
                <w:lang w:val="en-US"/>
              </w:rPr>
            </w:pPr>
            <w:r>
              <w:rPr>
                <w:rFonts w:ascii="Times New Roman" w:hAnsi="Times New Roman" w:eastAsia="宋体" w:cs="Times New Roman"/>
                <w:szCs w:val="24"/>
                <w:lang w:val="en-US"/>
              </w:rPr>
              <w:t>6）冷却定型：成型后的半成品食品用塑料包装容器通过冷却水进行间接冷却，冷却水循环使用不外排。此工序会外接管道至冷却循环水池，用于吹膜</w:t>
            </w:r>
            <w:r>
              <w:rPr>
                <w:rFonts w:hint="eastAsia" w:ascii="Times New Roman" w:hAnsi="Times New Roman" w:eastAsia="宋体" w:cs="Times New Roman"/>
                <w:szCs w:val="24"/>
                <w:lang w:val="en-US"/>
              </w:rPr>
              <w:t>后的半成品</w:t>
            </w:r>
            <w:r>
              <w:rPr>
                <w:rFonts w:ascii="Times New Roman" w:hAnsi="Times New Roman" w:eastAsia="宋体" w:cs="Times New Roman"/>
                <w:szCs w:val="24"/>
                <w:lang w:val="en-US"/>
              </w:rPr>
              <w:t>食品用塑料包装容器</w:t>
            </w:r>
            <w:r>
              <w:rPr>
                <w:rFonts w:hint="eastAsia" w:ascii="Times New Roman" w:hAnsi="Times New Roman" w:eastAsia="宋体" w:cs="Times New Roman"/>
                <w:szCs w:val="24"/>
                <w:lang w:val="en-US"/>
              </w:rPr>
              <w:t>进行</w:t>
            </w:r>
            <w:r>
              <w:rPr>
                <w:rFonts w:ascii="Times New Roman" w:hAnsi="Times New Roman" w:eastAsia="宋体" w:cs="Times New Roman"/>
                <w:szCs w:val="24"/>
                <w:lang w:val="en-US"/>
              </w:rPr>
              <w:t>冷却，</w:t>
            </w:r>
            <w:r>
              <w:rPr>
                <w:rFonts w:hint="eastAsia" w:ascii="Times New Roman" w:hAnsi="Times New Roman" w:eastAsia="宋体" w:cs="Times New Roman"/>
                <w:szCs w:val="24"/>
                <w:lang w:val="en-US"/>
              </w:rPr>
              <w:t>半成品</w:t>
            </w:r>
            <w:r>
              <w:rPr>
                <w:rFonts w:ascii="Times New Roman" w:hAnsi="Times New Roman" w:eastAsia="宋体" w:cs="Times New Roman"/>
                <w:szCs w:val="24"/>
                <w:lang w:val="en-US"/>
              </w:rPr>
              <w:t>冷却水循环使用，不产生生产废水。</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7）修边：冷却定型后的成品进行修剪边角</w:t>
            </w:r>
            <w:r>
              <w:rPr>
                <w:rStyle w:val="37"/>
                <w:rFonts w:hint="eastAsia"/>
                <w:sz w:val="24"/>
              </w:rPr>
              <w:t>，</w:t>
            </w:r>
            <w:r>
              <w:rPr>
                <w:rStyle w:val="37"/>
                <w:rFonts w:hint="eastAsia"/>
                <w:sz w:val="24"/>
                <w:lang w:val="en-US"/>
              </w:rPr>
              <w:t>此工序会产生废边角料及不合格产品，产生的废边角料及不合格产品通过收集至破碎区进行破碎，</w:t>
            </w:r>
            <w:r>
              <w:rPr>
                <w:rFonts w:ascii="Times New Roman" w:hAnsi="Times New Roman" w:cs="Times New Roman"/>
                <w:lang w:val="en-US"/>
              </w:rPr>
              <w:t>经破碎机破碎</w:t>
            </w:r>
            <w:r>
              <w:rPr>
                <w:rFonts w:hint="eastAsia" w:ascii="Times New Roman" w:hAnsi="Times New Roman" w:cs="Times New Roman"/>
                <w:lang w:val="en-US"/>
              </w:rPr>
              <w:t>收集后暂存一般固废暂存间，由原辅料厂家进行回收</w:t>
            </w:r>
            <w:r>
              <w:rPr>
                <w:rFonts w:ascii="Times New Roman" w:hAnsi="Times New Roman" w:cs="Times New Roman"/>
                <w:lang w:val="en-US"/>
              </w:rPr>
              <w:t>。</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8）检验：对修边后的食品用塑料包装容器进行外观、尺寸检验，将合格管件包装入库。不合格产品进行破碎。</w:t>
            </w:r>
            <w:r>
              <w:rPr>
                <w:rStyle w:val="37"/>
                <w:rFonts w:hint="eastAsia"/>
                <w:sz w:val="24"/>
                <w:lang w:val="en-US"/>
              </w:rPr>
              <w:t>此工序会产生废边角料及不合格产品，产生的废边角料及不合格产品通过收集至破碎区进行破碎，</w:t>
            </w:r>
            <w:r>
              <w:rPr>
                <w:rFonts w:ascii="Times New Roman" w:hAnsi="Times New Roman" w:cs="Times New Roman"/>
                <w:lang w:val="en-US"/>
              </w:rPr>
              <w:t>经破碎机破碎</w:t>
            </w:r>
            <w:r>
              <w:rPr>
                <w:rFonts w:hint="eastAsia" w:ascii="Times New Roman" w:hAnsi="Times New Roman" w:cs="Times New Roman"/>
                <w:lang w:val="en-US"/>
              </w:rPr>
              <w:t>收集后暂存一般固废暂存间，由原辅料厂家进行回收</w:t>
            </w:r>
            <w:r>
              <w:rPr>
                <w:rFonts w:ascii="Times New Roman" w:hAnsi="Times New Roman" w:cs="Times New Roman"/>
                <w:lang w:val="en-US"/>
              </w:rPr>
              <w:t>。</w:t>
            </w:r>
          </w:p>
          <w:p>
            <w:pPr>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9）破碎：检查不合格的食品用塑料包装容器和边角料一同收集至破碎区，经破碎机破碎</w:t>
            </w:r>
            <w:r>
              <w:rPr>
                <w:rFonts w:hint="eastAsia" w:ascii="Times New Roman" w:hAnsi="Times New Roman" w:cs="Times New Roman"/>
                <w:lang w:val="en-US"/>
              </w:rPr>
              <w:t>收集后暂存一般固废暂存间，由厂家回收</w:t>
            </w:r>
            <w:r>
              <w:rPr>
                <w:rFonts w:ascii="Times New Roman" w:hAnsi="Times New Roman" w:cs="Times New Roman"/>
                <w:lang w:val="en-US"/>
              </w:rPr>
              <w:t>，该过程产生粉尘经集气罩收集后通过一台布袋除尘器1#处理，最终由30m高排气筒DA003外排。</w:t>
            </w:r>
          </w:p>
          <w:p>
            <w:pPr>
              <w:snapToGrid w:val="0"/>
              <w:spacing w:line="360" w:lineRule="auto"/>
              <w:ind w:firstLine="480" w:firstLineChars="200"/>
              <w:rPr>
                <w:rFonts w:ascii="Times New Roman" w:hAnsi="Times New Roman" w:cs="Times New Roman"/>
                <w:sz w:val="21"/>
                <w:lang w:val="en-US"/>
              </w:rPr>
            </w:pPr>
            <w:r>
              <w:rPr>
                <w:rFonts w:ascii="Times New Roman" w:hAnsi="Times New Roman" w:cs="Times New Roman"/>
                <w:lang w:val="en-US"/>
              </w:rPr>
              <w:t>10）成品入库：将检验完成后的成品入库待售。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pPr>
              <w:snapToGrid w:val="0"/>
              <w:rPr>
                <w:rFonts w:ascii="Times New Roman" w:hAnsi="Times New Roman" w:cs="Times New Roman"/>
                <w:sz w:val="21"/>
              </w:rPr>
            </w:pPr>
            <w:r>
              <w:rPr>
                <w:rFonts w:ascii="Times New Roman" w:hAnsi="Times New Roman" w:cs="Times New Roman"/>
              </w:rPr>
              <w:t>与项目有关的原有环境污染问题</w:t>
            </w:r>
          </w:p>
        </w:tc>
        <w:tc>
          <w:tcPr>
            <w:tcW w:w="8324" w:type="dxa"/>
            <w:vAlign w:val="center"/>
          </w:tcPr>
          <w:p>
            <w:pPr>
              <w:snapToGrid w:val="0"/>
              <w:spacing w:line="360" w:lineRule="auto"/>
              <w:ind w:firstLine="458" w:firstLineChars="200"/>
              <w:rPr>
                <w:rFonts w:ascii="Times New Roman" w:hAnsi="Times New Roman" w:cs="Times New Roman"/>
                <w:b/>
                <w:bCs/>
                <w:color w:val="000000" w:themeColor="text1"/>
                <w:spacing w:val="-6"/>
                <w:lang w:val="en-US"/>
                <w14:textFill>
                  <w14:solidFill>
                    <w14:schemeClr w14:val="tx1"/>
                  </w14:solidFill>
                </w14:textFill>
              </w:rPr>
            </w:pPr>
            <w:r>
              <w:rPr>
                <w:rFonts w:ascii="Times New Roman" w:hAnsi="Times New Roman" w:cs="Times New Roman"/>
                <w:b/>
                <w:bCs/>
                <w:color w:val="000000" w:themeColor="text1"/>
                <w:spacing w:val="-6"/>
                <w:lang w:val="en-US"/>
                <w14:textFill>
                  <w14:solidFill>
                    <w14:schemeClr w14:val="tx1"/>
                  </w14:solidFill>
                </w14:textFill>
              </w:rPr>
              <w:t>1、 依托云南俊腾达标准厂房开发有限公司情况</w:t>
            </w:r>
          </w:p>
          <w:p>
            <w:pPr>
              <w:snapToGrid w:val="0"/>
              <w:spacing w:line="360" w:lineRule="auto"/>
              <w:ind w:firstLine="456"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color w:val="000000" w:themeColor="text1"/>
                <w:spacing w:val="-6"/>
                <w:lang w:val="en-US"/>
                <w14:textFill>
                  <w14:solidFill>
                    <w14:schemeClr w14:val="tx1"/>
                  </w14:solidFill>
                </w14:textFill>
              </w:rPr>
              <w:t>（1）云南俊腾达标准厂房开发有限公司基本情况</w:t>
            </w:r>
          </w:p>
          <w:p>
            <w:pPr>
              <w:widowControl/>
              <w:adjustRightInd w:val="0"/>
              <w:snapToGrid w:val="0"/>
              <w:spacing w:line="360" w:lineRule="auto"/>
              <w:ind w:firstLine="456"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color w:val="000000" w:themeColor="text1"/>
                <w:spacing w:val="-6"/>
                <w:lang w:val="en-US"/>
                <w14:textFill>
                  <w14:solidFill>
                    <w14:schemeClr w14:val="tx1"/>
                  </w14:solidFill>
                </w14:textFill>
              </w:rPr>
              <w:t>云南俊腾达标准厂房开发有限公司成立于2013年1月23号，主要经营标准化厂房开发、建设、房地产开发，购买云南省昆明市晋宁工业园区晋城基地进行生产建设，厂区总占地面积160553.43m</w:t>
            </w:r>
            <w:r>
              <w:rPr>
                <w:rFonts w:ascii="Times New Roman" w:hAnsi="Times New Roman" w:cs="Times New Roman"/>
                <w:color w:val="000000" w:themeColor="text1"/>
                <w:spacing w:val="-6"/>
                <w:vertAlign w:val="superscript"/>
                <w:lang w:val="en-US"/>
                <w14:textFill>
                  <w14:solidFill>
                    <w14:schemeClr w14:val="tx1"/>
                  </w14:solidFill>
                </w14:textFill>
              </w:rPr>
              <w:t>2</w:t>
            </w:r>
            <w:r>
              <w:rPr>
                <w:rFonts w:ascii="Times New Roman" w:hAnsi="Times New Roman" w:cs="Times New Roman"/>
                <w:color w:val="000000" w:themeColor="text1"/>
                <w:spacing w:val="-6"/>
                <w:lang w:val="en-US"/>
                <w14:textFill>
                  <w14:solidFill>
                    <w14:schemeClr w14:val="tx1"/>
                  </w14:solidFill>
                </w14:textFill>
              </w:rPr>
              <w:t>，建设标准化生产厂房、道路广场等，云南俊腾达标准厂房开发有限公司已将厂区全部进行硬化，厂区内供水、供电、等辅助设施已经完善，云南俊腾达标准厂房开发有限公司已办理相关的环保手续，云南俊腾达标准厂房开发有限公司于201</w:t>
            </w:r>
            <w:r>
              <w:rPr>
                <w:rFonts w:hint="eastAsia" w:ascii="Times New Roman" w:hAnsi="Times New Roman" w:cs="Times New Roman"/>
                <w:color w:val="000000" w:themeColor="text1"/>
                <w:spacing w:val="-6"/>
                <w:lang w:val="en-US"/>
                <w14:textFill>
                  <w14:solidFill>
                    <w14:schemeClr w14:val="tx1"/>
                  </w14:solidFill>
                </w14:textFill>
              </w:rPr>
              <w:t>4</w:t>
            </w:r>
            <w:r>
              <w:rPr>
                <w:rFonts w:ascii="Times New Roman" w:hAnsi="Times New Roman" w:cs="Times New Roman"/>
                <w:color w:val="000000" w:themeColor="text1"/>
                <w:spacing w:val="-6"/>
                <w:lang w:val="en-US"/>
                <w14:textFill>
                  <w14:solidFill>
                    <w14:schemeClr w14:val="tx1"/>
                  </w14:solidFill>
                </w14:textFill>
              </w:rPr>
              <w:t>年</w:t>
            </w:r>
            <w:r>
              <w:rPr>
                <w:rFonts w:hint="eastAsia" w:ascii="Times New Roman" w:hAnsi="Times New Roman" w:cs="Times New Roman"/>
                <w:color w:val="000000" w:themeColor="text1"/>
                <w:spacing w:val="-6"/>
                <w:lang w:val="en-US"/>
                <w14:textFill>
                  <w14:solidFill>
                    <w14:schemeClr w14:val="tx1"/>
                  </w14:solidFill>
                </w14:textFill>
              </w:rPr>
              <w:t>6</w:t>
            </w:r>
            <w:r>
              <w:rPr>
                <w:rFonts w:ascii="Times New Roman" w:hAnsi="Times New Roman" w:cs="Times New Roman"/>
                <w:color w:val="000000" w:themeColor="text1"/>
                <w:spacing w:val="-6"/>
                <w:lang w:val="en-US"/>
                <w14:textFill>
                  <w14:solidFill>
                    <w14:schemeClr w14:val="tx1"/>
                  </w14:solidFill>
                </w14:textFill>
              </w:rPr>
              <w:t>月</w:t>
            </w:r>
            <w:r>
              <w:rPr>
                <w:rFonts w:hint="eastAsia" w:ascii="Times New Roman" w:hAnsi="Times New Roman" w:cs="Times New Roman"/>
                <w:color w:val="000000" w:themeColor="text1"/>
                <w:spacing w:val="-6"/>
                <w:lang w:val="en-US"/>
                <w14:textFill>
                  <w14:solidFill>
                    <w14:schemeClr w14:val="tx1"/>
                  </w14:solidFill>
                </w14:textFill>
              </w:rPr>
              <w:t>27</w:t>
            </w:r>
            <w:r>
              <w:rPr>
                <w:rFonts w:ascii="Times New Roman" w:hAnsi="Times New Roman" w:cs="Times New Roman"/>
                <w:color w:val="000000" w:themeColor="text1"/>
                <w:spacing w:val="-6"/>
                <w:lang w:val="en-US"/>
                <w14:textFill>
                  <w14:solidFill>
                    <w14:schemeClr w14:val="tx1"/>
                  </w14:solidFill>
                </w14:textFill>
              </w:rPr>
              <w:t>日取得《云南俊腾达房地产开发有限公司新建16万m</w:t>
            </w:r>
            <w:r>
              <w:rPr>
                <w:rFonts w:ascii="Times New Roman" w:hAnsi="Times New Roman" w:cs="Times New Roman"/>
                <w:color w:val="000000" w:themeColor="text1"/>
                <w:spacing w:val="-6"/>
                <w:vertAlign w:val="superscript"/>
                <w:lang w:val="en-US"/>
                <w14:textFill>
                  <w14:solidFill>
                    <w14:schemeClr w14:val="tx1"/>
                  </w14:solidFill>
                </w14:textFill>
              </w:rPr>
              <w:t>2</w:t>
            </w:r>
            <w:r>
              <w:rPr>
                <w:rFonts w:ascii="Times New Roman" w:hAnsi="Times New Roman" w:cs="Times New Roman"/>
                <w:color w:val="000000" w:themeColor="text1"/>
                <w:spacing w:val="-6"/>
                <w:lang w:val="en-US"/>
                <w14:textFill>
                  <w14:solidFill>
                    <w14:schemeClr w14:val="tx1"/>
                  </w14:solidFill>
                </w14:textFill>
              </w:rPr>
              <w:t>多层标准化厂房及办公生活区综合建设项目环境影响</w:t>
            </w:r>
            <w:r>
              <w:rPr>
                <w:rFonts w:hint="eastAsia" w:ascii="Times New Roman" w:hAnsi="Times New Roman" w:cs="Times New Roman"/>
                <w:color w:val="000000" w:themeColor="text1"/>
                <w:spacing w:val="-6"/>
                <w:lang w:val="en-US"/>
                <w14:textFill>
                  <w14:solidFill>
                    <w14:schemeClr w14:val="tx1"/>
                  </w14:solidFill>
                </w14:textFill>
              </w:rPr>
              <w:t>报告书</w:t>
            </w:r>
            <w:r>
              <w:rPr>
                <w:rFonts w:ascii="Times New Roman" w:hAnsi="Times New Roman" w:cs="Times New Roman"/>
                <w:color w:val="000000" w:themeColor="text1"/>
                <w:spacing w:val="-6"/>
                <w:lang w:val="en-US"/>
                <w14:textFill>
                  <w14:solidFill>
                    <w14:schemeClr w14:val="tx1"/>
                  </w14:solidFill>
                </w14:textFill>
              </w:rPr>
              <w:t>》昆环保复〔201</w:t>
            </w:r>
            <w:r>
              <w:rPr>
                <w:rFonts w:hint="eastAsia" w:ascii="Times New Roman" w:hAnsi="Times New Roman" w:cs="Times New Roman"/>
                <w:color w:val="000000" w:themeColor="text1"/>
                <w:spacing w:val="-6"/>
                <w:lang w:val="en-US"/>
                <w14:textFill>
                  <w14:solidFill>
                    <w14:schemeClr w14:val="tx1"/>
                  </w14:solidFill>
                </w14:textFill>
              </w:rPr>
              <w:t>4</w:t>
            </w:r>
            <w:r>
              <w:rPr>
                <w:rFonts w:ascii="Times New Roman" w:hAnsi="Times New Roman" w:cs="Times New Roman"/>
                <w:color w:val="000000" w:themeColor="text1"/>
                <w:spacing w:val="-6"/>
                <w:lang w:val="en-US"/>
                <w14:textFill>
                  <w14:solidFill>
                    <w14:schemeClr w14:val="tx1"/>
                  </w14:solidFill>
                </w14:textFill>
              </w:rPr>
              <w:t>〕</w:t>
            </w:r>
            <w:r>
              <w:rPr>
                <w:rFonts w:hint="eastAsia" w:ascii="Times New Roman" w:hAnsi="Times New Roman" w:cs="Times New Roman"/>
                <w:color w:val="000000" w:themeColor="text1"/>
                <w:spacing w:val="-6"/>
                <w:lang w:val="en-US"/>
                <w14:textFill>
                  <w14:solidFill>
                    <w14:schemeClr w14:val="tx1"/>
                  </w14:solidFill>
                </w14:textFill>
              </w:rPr>
              <w:t>311</w:t>
            </w:r>
            <w:r>
              <w:rPr>
                <w:rFonts w:ascii="Times New Roman" w:hAnsi="Times New Roman" w:cs="Times New Roman"/>
                <w:color w:val="000000" w:themeColor="text1"/>
                <w:spacing w:val="-6"/>
                <w:lang w:val="en-US"/>
                <w14:textFill>
                  <w14:solidFill>
                    <w14:schemeClr w14:val="tx1"/>
                  </w14:solidFill>
                </w14:textFill>
              </w:rPr>
              <w:t>号环评批复（批复见附件6），云南俊腾达标准厂房开发有限公司主要建设内容为标准化生产厂房，将已建设好的标准化厂房出售给昆明捌捌富山塑料制品有限公司进行生产建设。</w:t>
            </w:r>
          </w:p>
          <w:p>
            <w:pPr>
              <w:widowControl/>
              <w:adjustRightInd w:val="0"/>
              <w:snapToGrid w:val="0"/>
              <w:spacing w:line="360" w:lineRule="auto"/>
              <w:ind w:firstLine="480"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bCs/>
                <w:color w:val="000000"/>
              </w:rPr>
              <w:t>目前一期标准厂房建设已经完成，共建设25栋标准厂房，2栋倒班公寓、1栋产品研发中心、1栋商品展示间，总占地面积80115.6805 m</w:t>
            </w:r>
            <w:r>
              <w:rPr>
                <w:rFonts w:ascii="Times New Roman" w:hAnsi="Times New Roman" w:cs="Times New Roman"/>
                <w:bCs/>
                <w:color w:val="000000"/>
                <w:vertAlign w:val="superscript"/>
              </w:rPr>
              <w:t>2</w:t>
            </w:r>
            <w:r>
              <w:rPr>
                <w:rFonts w:ascii="Times New Roman" w:hAnsi="Times New Roman" w:cs="Times New Roman"/>
                <w:bCs/>
                <w:color w:val="000000"/>
              </w:rPr>
              <w:t>，总建筑面积160553.43 m</w:t>
            </w:r>
            <w:r>
              <w:rPr>
                <w:rFonts w:ascii="Times New Roman" w:hAnsi="Times New Roman" w:cs="Times New Roman"/>
                <w:bCs/>
                <w:color w:val="000000"/>
                <w:vertAlign w:val="superscript"/>
              </w:rPr>
              <w:t>2</w:t>
            </w:r>
            <w:r>
              <w:rPr>
                <w:rFonts w:ascii="Times New Roman" w:hAnsi="Times New Roman" w:cs="Times New Roman"/>
                <w:bCs/>
                <w:color w:val="000000"/>
              </w:rPr>
              <w:t>。目前，标准厂房尚未进行验收，</w:t>
            </w:r>
            <w:r>
              <w:rPr>
                <w:rFonts w:hint="eastAsia" w:ascii="Times New Roman" w:hAnsi="Times New Roman" w:cs="Times New Roman"/>
                <w:bCs/>
                <w:color w:val="000000"/>
                <w:lang w:val="en-US"/>
              </w:rPr>
              <w:t>应尽快进行验收，</w:t>
            </w:r>
            <w:r>
              <w:rPr>
                <w:rFonts w:ascii="Times New Roman" w:hAnsi="Times New Roman" w:cs="Times New Roman"/>
                <w:bCs/>
                <w:color w:val="000000"/>
              </w:rPr>
              <w:t>厂房内基础设施已投入使用。</w:t>
            </w:r>
          </w:p>
          <w:p>
            <w:pPr>
              <w:snapToGrid w:val="0"/>
              <w:spacing w:line="360" w:lineRule="auto"/>
              <w:ind w:firstLine="456"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color w:val="000000" w:themeColor="text1"/>
                <w:spacing w:val="-6"/>
                <w:lang w:val="en-US"/>
                <w14:textFill>
                  <w14:solidFill>
                    <w14:schemeClr w14:val="tx1"/>
                  </w14:solidFill>
                </w14:textFill>
              </w:rPr>
              <w:t>（2）云南俊腾达标准厂房开发有限公司已建设环保设施</w:t>
            </w:r>
          </w:p>
          <w:p>
            <w:pPr>
              <w:snapToGrid w:val="0"/>
              <w:spacing w:line="360" w:lineRule="auto"/>
              <w:ind w:firstLine="456"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color w:val="000000" w:themeColor="text1"/>
                <w:spacing w:val="-6"/>
                <w:lang w:val="en-US"/>
                <w14:textFill>
                  <w14:solidFill>
                    <w14:schemeClr w14:val="tx1"/>
                  </w14:solidFill>
                </w14:textFill>
              </w:rPr>
              <w:t>①雨污分流系统</w:t>
            </w:r>
          </w:p>
          <w:p>
            <w:pPr>
              <w:snapToGrid w:val="0"/>
              <w:spacing w:line="360" w:lineRule="auto"/>
              <w:ind w:firstLine="456"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color w:val="000000" w:themeColor="text1"/>
                <w:spacing w:val="-6"/>
                <w:lang w:val="en-US"/>
                <w14:textFill>
                  <w14:solidFill>
                    <w14:schemeClr w14:val="tx1"/>
                  </w14:solidFill>
                </w14:textFill>
              </w:rPr>
              <w:t>根据现场踏勘，云南俊腾达标准厂房开发有限公司厂区内采用雨污分流制，设置了雨水收集管网，收集厂区内雨水。</w:t>
            </w:r>
          </w:p>
          <w:p>
            <w:pPr>
              <w:snapToGrid w:val="0"/>
              <w:spacing w:line="360" w:lineRule="auto"/>
              <w:ind w:firstLine="456"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color w:val="000000" w:themeColor="text1"/>
                <w:spacing w:val="-6"/>
                <w:lang w:val="en-US"/>
                <w14:textFill>
                  <w14:solidFill>
                    <w14:schemeClr w14:val="tx1"/>
                  </w14:solidFill>
                </w14:textFill>
              </w:rPr>
              <w:t>②中水处理站</w:t>
            </w:r>
          </w:p>
          <w:p>
            <w:pPr>
              <w:snapToGrid w:val="0"/>
              <w:spacing w:line="360" w:lineRule="auto"/>
              <w:ind w:firstLine="456"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color w:val="000000" w:themeColor="text1"/>
                <w:spacing w:val="-6"/>
                <w:lang w:val="en-US"/>
                <w14:textFill>
                  <w14:solidFill>
                    <w14:schemeClr w14:val="tx1"/>
                  </w14:solidFill>
                </w14:textFill>
              </w:rPr>
              <w:t>云南俊腾达标准厂房开发有限公司已建了化粪池及中水处理站负责厂房内企业生活污水处理，其中建设50m</w:t>
            </w:r>
            <w:r>
              <w:rPr>
                <w:rFonts w:ascii="Times New Roman" w:hAnsi="Times New Roman" w:cs="Times New Roman"/>
                <w:color w:val="000000" w:themeColor="text1"/>
                <w:spacing w:val="-6"/>
                <w:vertAlign w:val="superscript"/>
                <w:lang w:val="en-US"/>
                <w14:textFill>
                  <w14:solidFill>
                    <w14:schemeClr w14:val="tx1"/>
                  </w14:solidFill>
                </w14:textFill>
              </w:rPr>
              <w:t>3</w:t>
            </w:r>
            <w:r>
              <w:rPr>
                <w:rFonts w:ascii="Times New Roman" w:hAnsi="Times New Roman" w:cs="Times New Roman"/>
                <w:color w:val="000000" w:themeColor="text1"/>
                <w:spacing w:val="-6"/>
                <w:lang w:val="en-US"/>
                <w14:textFill>
                  <w14:solidFill>
                    <w14:schemeClr w14:val="tx1"/>
                  </w14:solidFill>
                </w14:textFill>
              </w:rPr>
              <w:t>化类池6个，75 m</w:t>
            </w:r>
            <w:r>
              <w:rPr>
                <w:rFonts w:ascii="Times New Roman" w:hAnsi="Times New Roman" w:cs="Times New Roman"/>
                <w:color w:val="000000" w:themeColor="text1"/>
                <w:spacing w:val="-6"/>
                <w:vertAlign w:val="superscript"/>
                <w:lang w:val="en-US"/>
                <w14:textFill>
                  <w14:solidFill>
                    <w14:schemeClr w14:val="tx1"/>
                  </w14:solidFill>
                </w14:textFill>
              </w:rPr>
              <w:t>3</w:t>
            </w:r>
            <w:r>
              <w:rPr>
                <w:rFonts w:ascii="Times New Roman" w:hAnsi="Times New Roman" w:cs="Times New Roman"/>
                <w:color w:val="000000" w:themeColor="text1"/>
                <w:spacing w:val="-6"/>
                <w:lang w:val="en-US"/>
                <w14:textFill>
                  <w14:solidFill>
                    <w14:schemeClr w14:val="tx1"/>
                  </w14:solidFill>
                </w14:textFill>
              </w:rPr>
              <w:t>化粪池2 个，中水处理站1座，规模为150m</w:t>
            </w:r>
            <w:r>
              <w:rPr>
                <w:rFonts w:ascii="Times New Roman" w:hAnsi="Times New Roman" w:cs="Times New Roman"/>
                <w:color w:val="000000" w:themeColor="text1"/>
                <w:spacing w:val="-6"/>
                <w:vertAlign w:val="superscript"/>
                <w:lang w:val="en-US"/>
                <w14:textFill>
                  <w14:solidFill>
                    <w14:schemeClr w14:val="tx1"/>
                  </w14:solidFill>
                </w14:textFill>
              </w:rPr>
              <w:t>3</w:t>
            </w:r>
            <w:r>
              <w:rPr>
                <w:rFonts w:ascii="Times New Roman" w:hAnsi="Times New Roman" w:cs="Times New Roman"/>
                <w:color w:val="000000" w:themeColor="text1"/>
                <w:spacing w:val="-6"/>
                <w:lang w:val="en-US"/>
                <w14:textFill>
                  <w14:solidFill>
                    <w14:schemeClr w14:val="tx1"/>
                  </w14:solidFill>
                </w14:textFill>
              </w:rPr>
              <w:t>/d，厂房同时还建设了2000m</w:t>
            </w:r>
            <w:r>
              <w:rPr>
                <w:rFonts w:ascii="Times New Roman" w:hAnsi="Times New Roman" w:cs="Times New Roman"/>
                <w:color w:val="000000" w:themeColor="text1"/>
                <w:spacing w:val="-6"/>
                <w:vertAlign w:val="superscript"/>
                <w:lang w:val="en-US"/>
                <w14:textFill>
                  <w14:solidFill>
                    <w14:schemeClr w14:val="tx1"/>
                  </w14:solidFill>
                </w14:textFill>
              </w:rPr>
              <w:t xml:space="preserve">3 </w:t>
            </w:r>
            <w:r>
              <w:rPr>
                <w:rFonts w:ascii="Times New Roman" w:hAnsi="Times New Roman" w:cs="Times New Roman"/>
                <w:color w:val="000000" w:themeColor="text1"/>
                <w:spacing w:val="-6"/>
                <w:lang w:val="en-US"/>
                <w14:textFill>
                  <w14:solidFill>
                    <w14:schemeClr w14:val="tx1"/>
                  </w14:solidFill>
                </w14:textFill>
              </w:rPr>
              <w:t>景观水池一个，作为标准厂房中水回用水池，生活污水处理达到《城市污水再生水利用城市杂用水水质》（GB/T18920-2002） 标准后回用于厂区绿化、道路洒水等，不能回用部分处理</w:t>
            </w:r>
            <w:r>
              <w:rPr>
                <w:rFonts w:ascii="Times New Roman" w:hAnsi="Times New Roman" w:cs="Times New Roman"/>
                <w:kern w:val="2"/>
                <w:lang w:val="en-US" w:bidi="ar-SA"/>
              </w:rPr>
              <w:t>排入市政管网，最终进入淤泥河水质净化厂进行处理</w:t>
            </w:r>
            <w:r>
              <w:rPr>
                <w:rFonts w:ascii="Times New Roman" w:hAnsi="Times New Roman" w:cs="Times New Roman"/>
                <w:color w:val="000000" w:themeColor="text1"/>
                <w:spacing w:val="-6"/>
                <w:lang w:val="en-US"/>
                <w14:textFill>
                  <w14:solidFill>
                    <w14:schemeClr w14:val="tx1"/>
                  </w14:solidFill>
                </w14:textFill>
              </w:rPr>
              <w:t>。</w:t>
            </w:r>
          </w:p>
          <w:p>
            <w:pPr>
              <w:snapToGrid w:val="0"/>
              <w:spacing w:line="360" w:lineRule="auto"/>
              <w:ind w:firstLine="456" w:firstLineChars="200"/>
              <w:rPr>
                <w:rFonts w:ascii="Times New Roman" w:hAnsi="Times New Roman" w:cs="Times New Roman"/>
                <w:sz w:val="21"/>
                <w:lang w:val="en-US"/>
              </w:rPr>
            </w:pPr>
            <w:r>
              <w:rPr>
                <w:rFonts w:ascii="Times New Roman" w:hAnsi="Times New Roman" w:cs="Times New Roman"/>
                <w:color w:val="000000" w:themeColor="text1"/>
                <w:spacing w:val="-6"/>
                <w:lang w:val="en-US"/>
                <w14:textFill>
                  <w14:solidFill>
                    <w14:schemeClr w14:val="tx1"/>
                  </w14:solidFill>
                </w14:textFill>
              </w:rPr>
              <w:t>本项目依托云南俊腾达标准厂房开发有限公司</w:t>
            </w:r>
            <w:r>
              <w:rPr>
                <w:rFonts w:hint="eastAsia" w:ascii="Times New Roman" w:hAnsi="Times New Roman" w:cs="Times New Roman"/>
                <w:color w:val="000000" w:themeColor="text1"/>
                <w:spacing w:val="-6"/>
                <w:lang w:val="en-US"/>
                <w14:textFill>
                  <w14:solidFill>
                    <w14:schemeClr w14:val="tx1"/>
                  </w14:solidFill>
                </w14:textFill>
              </w:rPr>
              <w:t>在标准厂房内建设的</w:t>
            </w:r>
            <w:r>
              <w:rPr>
                <w:rFonts w:ascii="Times New Roman" w:hAnsi="Times New Roman" w:cs="Times New Roman"/>
                <w:color w:val="000000" w:themeColor="text1"/>
                <w:spacing w:val="-6"/>
                <w:lang w:val="en-US"/>
                <w14:textFill>
                  <w14:solidFill>
                    <w14:schemeClr w14:val="tx1"/>
                  </w14:solidFill>
                </w14:textFill>
              </w:rPr>
              <w:t>50m</w:t>
            </w:r>
            <w:r>
              <w:rPr>
                <w:rFonts w:ascii="Times New Roman" w:hAnsi="Times New Roman" w:cs="Times New Roman"/>
                <w:color w:val="000000" w:themeColor="text1"/>
                <w:spacing w:val="-6"/>
                <w:vertAlign w:val="superscript"/>
                <w:lang w:val="en-US"/>
                <w14:textFill>
                  <w14:solidFill>
                    <w14:schemeClr w14:val="tx1"/>
                  </w14:solidFill>
                </w14:textFill>
              </w:rPr>
              <w:t>3</w:t>
            </w:r>
            <w:r>
              <w:rPr>
                <w:rFonts w:ascii="Times New Roman" w:hAnsi="Times New Roman" w:cs="Times New Roman"/>
                <w:color w:val="000000" w:themeColor="text1"/>
                <w:spacing w:val="-6"/>
                <w:lang w:val="en-US"/>
                <w14:textFill>
                  <w14:solidFill>
                    <w14:schemeClr w14:val="tx1"/>
                  </w14:solidFill>
                </w14:textFill>
              </w:rPr>
              <w:t>化粪池</w:t>
            </w:r>
            <w:r>
              <w:rPr>
                <w:rFonts w:hint="eastAsia" w:ascii="Times New Roman" w:hAnsi="Times New Roman" w:cs="Times New Roman"/>
                <w:color w:val="000000" w:themeColor="text1"/>
                <w:spacing w:val="-6"/>
                <w:lang w:val="en-US"/>
                <w14:textFill>
                  <w14:solidFill>
                    <w14:schemeClr w14:val="tx1"/>
                  </w14:solidFill>
                </w14:textFill>
              </w:rPr>
              <w:t>与其他企业共</w:t>
            </w:r>
            <w:r>
              <w:rPr>
                <w:rFonts w:ascii="Times New Roman" w:hAnsi="Times New Roman" w:cs="Times New Roman"/>
                <w:color w:val="000000" w:themeColor="text1"/>
                <w:spacing w:val="-6"/>
                <w:lang w:val="en-US"/>
                <w14:textFill>
                  <w14:solidFill>
                    <w14:schemeClr w14:val="tx1"/>
                  </w14:solidFill>
                </w14:textFill>
              </w:rPr>
              <w:t>用于处理员工生活废水，达《城镇污水处理厂污染物排放标准》（GB18918-2002）表1一级A 标准后排入云南俊腾达标准厂房开发有限公司中水处理站处理，</w:t>
            </w:r>
            <w:r>
              <w:rPr>
                <w:rFonts w:ascii="Times New Roman" w:hAnsi="Times New Roman" w:cs="Times New Roman"/>
                <w:color w:val="000000"/>
                <w:lang w:val="en-US"/>
              </w:rPr>
              <w:t>最终回用于</w:t>
            </w:r>
            <w:r>
              <w:rPr>
                <w:rFonts w:ascii="Times New Roman" w:hAnsi="Times New Roman" w:cs="Times New Roman"/>
                <w:bCs/>
                <w:color w:val="000000"/>
              </w:rPr>
              <w:t>云南俊腾达房地产开发有限公司</w:t>
            </w:r>
            <w:r>
              <w:rPr>
                <w:rFonts w:ascii="Times New Roman" w:hAnsi="Times New Roman" w:cs="Times New Roman"/>
                <w:bCs/>
                <w:color w:val="000000"/>
                <w:lang w:val="en-US"/>
              </w:rPr>
              <w:t>厂区内道路浇水及绿化</w:t>
            </w:r>
            <w:r>
              <w:rPr>
                <w:rFonts w:hint="eastAsia" w:ascii="Times New Roman" w:hAnsi="Times New Roman" w:cs="Times New Roman"/>
                <w:bCs/>
                <w:color w:val="000000"/>
                <w:lang w:val="en-US"/>
              </w:rPr>
              <w:t>，不能回用部分</w:t>
            </w:r>
            <w:r>
              <w:rPr>
                <w:rFonts w:hint="eastAsia" w:ascii="Times New Roman" w:hAnsi="Times New Roman" w:cs="Times New Roman"/>
                <w:color w:val="000000" w:themeColor="text1"/>
                <w:spacing w:val="-6"/>
                <w:lang w:val="en-US"/>
                <w14:textFill>
                  <w14:solidFill>
                    <w14:schemeClr w14:val="tx1"/>
                  </w14:solidFill>
                </w14:textFill>
              </w:rPr>
              <w:t>，排入园区污水管网，最终进入淤泥河水质净化厂处理</w:t>
            </w:r>
            <w:r>
              <w:rPr>
                <w:rFonts w:ascii="Times New Roman" w:hAnsi="Times New Roman" w:cs="Times New Roman"/>
              </w:rPr>
              <w:t>。</w:t>
            </w:r>
          </w:p>
        </w:tc>
      </w:tr>
    </w:tbl>
    <w:p>
      <w:pPr>
        <w:snapToGrid w:val="0"/>
        <w:rPr>
          <w:rFonts w:ascii="Times New Roman" w:hAnsi="Times New Roman" w:cs="Times New Roman"/>
          <w:sz w:val="21"/>
        </w:rPr>
        <w:sectPr>
          <w:pgSz w:w="11910" w:h="16840"/>
          <w:pgMar w:top="1440" w:right="1417" w:bottom="1440" w:left="1417" w:header="0" w:footer="1043" w:gutter="0"/>
          <w:cols w:space="720" w:num="1"/>
        </w:sectPr>
      </w:pPr>
    </w:p>
    <w:p>
      <w:pPr>
        <w:pStyle w:val="14"/>
        <w:snapToGrid w:val="0"/>
        <w:jc w:val="center"/>
        <w:outlineLvl w:val="0"/>
        <w:rPr>
          <w:rFonts w:ascii="Times New Roman" w:hAnsi="Times New Roman" w:cs="Times New Roman"/>
        </w:rPr>
      </w:pPr>
      <w:bookmarkStart w:id="5" w:name="_Toc22283"/>
      <w:r>
        <w:rPr>
          <w:rFonts w:ascii="Times New Roman" w:hAnsi="Times New Roman" w:cs="Times New Roman"/>
        </w:rPr>
        <w:t>三、区域环境质量现状、环境保护目标及评价标准</w:t>
      </w:r>
      <w:bookmarkEnd w:id="5"/>
    </w:p>
    <w:tbl>
      <w:tblPr>
        <w:tblStyle w:val="26"/>
        <w:tblW w:w="49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8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57" w:type="dxa"/>
            <w:tcBorders>
              <w:tl2br w:val="nil"/>
              <w:tr2bl w:val="nil"/>
            </w:tcBorders>
          </w:tcPr>
          <w:p>
            <w:pPr>
              <w:pStyle w:val="46"/>
              <w:snapToGrid w:val="0"/>
              <w:spacing w:line="360" w:lineRule="auto"/>
              <w:ind w:firstLine="400" w:firstLineChars="200"/>
              <w:jc w:val="both"/>
              <w:rPr>
                <w:rFonts w:ascii="Times New Roman" w:hAnsi="Times New Roman" w:cs="Times New Roman"/>
                <w:sz w:val="20"/>
              </w:rPr>
            </w:pPr>
          </w:p>
          <w:p>
            <w:pPr>
              <w:pStyle w:val="46"/>
              <w:snapToGrid w:val="0"/>
              <w:spacing w:line="360" w:lineRule="auto"/>
              <w:ind w:firstLine="400" w:firstLineChars="200"/>
              <w:jc w:val="both"/>
              <w:rPr>
                <w:rFonts w:ascii="Times New Roman" w:hAnsi="Times New Roman" w:cs="Times New Roman"/>
                <w:sz w:val="20"/>
              </w:rPr>
            </w:pPr>
          </w:p>
          <w:p>
            <w:pPr>
              <w:pStyle w:val="46"/>
              <w:snapToGrid w:val="0"/>
              <w:spacing w:line="360" w:lineRule="auto"/>
              <w:ind w:firstLine="480" w:firstLineChars="200"/>
              <w:jc w:val="both"/>
              <w:rPr>
                <w:rFonts w:ascii="Times New Roman" w:hAnsi="Times New Roman" w:cs="Times New Roman"/>
              </w:rPr>
            </w:pPr>
          </w:p>
          <w:p>
            <w:pPr>
              <w:pStyle w:val="46"/>
              <w:snapToGrid w:val="0"/>
              <w:spacing w:line="360" w:lineRule="auto"/>
              <w:jc w:val="both"/>
              <w:rPr>
                <w:rFonts w:ascii="Times New Roman" w:hAnsi="Times New Roman" w:cs="Times New Roman"/>
                <w:sz w:val="21"/>
              </w:rPr>
            </w:pPr>
            <w:r>
              <w:rPr>
                <w:rFonts w:ascii="Times New Roman" w:hAnsi="Times New Roman" w:cs="Times New Roman"/>
              </w:rPr>
              <w:t>区域环境质量现状</w:t>
            </w:r>
            <w:r>
              <w:rPr>
                <w:rFonts w:ascii="Times New Roman" w:hAnsi="Times New Roman" w:cs="Times New Roman"/>
                <w:sz w:val="21"/>
              </w:rPr>
              <w:t xml:space="preserve"> </w:t>
            </w:r>
          </w:p>
        </w:tc>
        <w:tc>
          <w:tcPr>
            <w:tcW w:w="8147" w:type="dxa"/>
            <w:tcBorders>
              <w:tl2br w:val="nil"/>
              <w:tr2bl w:val="nil"/>
            </w:tcBorders>
          </w:tcPr>
          <w:p>
            <w:pPr>
              <w:snapToGrid w:val="0"/>
              <w:spacing w:line="360" w:lineRule="auto"/>
              <w:ind w:firstLine="482" w:firstLineChars="200"/>
              <w:jc w:val="both"/>
              <w:rPr>
                <w:rFonts w:ascii="Times New Roman" w:hAnsi="Times New Roman" w:cs="Times New Roman"/>
                <w:b/>
                <w:bCs/>
              </w:rPr>
            </w:pPr>
            <w:r>
              <w:rPr>
                <w:rFonts w:ascii="Times New Roman" w:hAnsi="Times New Roman" w:cs="Times New Roman"/>
                <w:b/>
                <w:bCs/>
                <w:lang w:val="en-US"/>
              </w:rPr>
              <w:t>1、</w:t>
            </w:r>
            <w:r>
              <w:rPr>
                <w:rFonts w:ascii="Times New Roman" w:hAnsi="Times New Roman" w:cs="Times New Roman"/>
                <w:b/>
                <w:bCs/>
              </w:rPr>
              <w:t>环境空气质量现状</w:t>
            </w:r>
          </w:p>
          <w:p>
            <w:pPr>
              <w:snapToGrid w:val="0"/>
              <w:spacing w:line="360" w:lineRule="auto"/>
              <w:ind w:firstLine="480" w:firstLineChars="200"/>
              <w:jc w:val="both"/>
              <w:rPr>
                <w:rFonts w:ascii="Times New Roman" w:hAnsi="Times New Roman" w:cs="Times New Roman"/>
              </w:rPr>
            </w:pPr>
            <w:r>
              <w:rPr>
                <w:rFonts w:ascii="Times New Roman" w:hAnsi="Times New Roman" w:cs="Times New Roman"/>
              </w:rPr>
              <w:t>（1）达标区判断</w:t>
            </w:r>
          </w:p>
          <w:p>
            <w:pPr>
              <w:autoSpaceDE/>
              <w:autoSpaceDN/>
              <w:spacing w:line="360" w:lineRule="auto"/>
              <w:ind w:firstLine="480" w:firstLineChars="200"/>
              <w:rPr>
                <w:rFonts w:ascii="Times New Roman" w:hAnsi="Times New Roman" w:cs="Times New Roman"/>
              </w:rPr>
            </w:pPr>
            <w:r>
              <w:rPr>
                <w:rFonts w:ascii="Times New Roman" w:hAnsi="Times New Roman" w:cs="Times New Roman"/>
                <w:color w:val="000000"/>
                <w:lang w:bidi="ar"/>
              </w:rPr>
              <w:t>本项目位于</w:t>
            </w:r>
            <w:r>
              <w:rPr>
                <w:rFonts w:ascii="Times New Roman" w:hAnsi="Times New Roman" w:cs="Times New Roman"/>
                <w:color w:val="000000"/>
              </w:rPr>
              <w:t>昆明市晋宁工业园区晋城基地，</w:t>
            </w:r>
            <w:r>
              <w:rPr>
                <w:rFonts w:ascii="Times New Roman" w:hAnsi="Times New Roman" w:cs="Times New Roman"/>
              </w:rPr>
              <w:t>所在区域环境空气质量执行《环境空气质量标准》(GB3095-2012)二级标准。</w:t>
            </w:r>
          </w:p>
          <w:p>
            <w:pPr>
              <w:pStyle w:val="12"/>
              <w:autoSpaceDE/>
              <w:autoSpaceDN/>
              <w:spacing w:before="0" w:line="360" w:lineRule="auto"/>
              <w:ind w:firstLine="480" w:firstLineChars="200"/>
              <w:rPr>
                <w:rFonts w:ascii="Times New Roman" w:hAnsi="Times New Roman" w:cs="Times New Roman"/>
                <w:lang w:val="en-US"/>
              </w:rPr>
            </w:pPr>
            <w:r>
              <w:rPr>
                <w:rFonts w:ascii="Times New Roman" w:hAnsi="Times New Roman" w:cs="Times New Roman"/>
              </w:rPr>
              <w:t>晋宁工业园区</w:t>
            </w:r>
            <w:r>
              <w:rPr>
                <w:rFonts w:ascii="Times New Roman" w:hAnsi="Times New Roman" w:cs="Times New Roman"/>
                <w:lang w:val="en-US"/>
              </w:rPr>
              <w:t>晋城</w:t>
            </w:r>
            <w:r>
              <w:rPr>
                <w:rFonts w:ascii="Times New Roman" w:hAnsi="Times New Roman" w:cs="Times New Roman"/>
              </w:rPr>
              <w:t>基地规划用地为居住、公共管理与公共服务设施用地以及工业用地，目前无严重大气污染物排放企业入驻，</w:t>
            </w:r>
            <w:r>
              <w:rPr>
                <w:rFonts w:ascii="Times New Roman" w:hAnsi="Times New Roman" w:cs="Times New Roman"/>
                <w:lang w:val="en-US"/>
              </w:rPr>
              <w:t>根据《2020年度昆明市生态环境状况公报》（2021年5月31日），2020年，各县（市）区环境空气质量总体保持良好，全年环境空气质量均达到二级标准，与2019年相比，石林县、富民县、寻甸县、嵩明县、安宁市、宜良县和禄劝县环境空气质量均有不同程度改善；晋宁区、东川区环境空气质量有所上升；阳宗海风景名胜区环境空气质量持平。</w:t>
            </w:r>
          </w:p>
          <w:p>
            <w:pPr>
              <w:pStyle w:val="12"/>
              <w:autoSpaceDE/>
              <w:autoSpaceDN/>
              <w:spacing w:before="0" w:line="360" w:lineRule="auto"/>
              <w:ind w:firstLine="480" w:firstLineChars="200"/>
              <w:rPr>
                <w:rFonts w:ascii="Times New Roman" w:hAnsi="Times New Roman" w:cs="Times New Roman"/>
                <w:color w:val="000000"/>
              </w:rPr>
            </w:pPr>
            <w:r>
              <w:rPr>
                <w:rFonts w:ascii="Times New Roman" w:hAnsi="Times New Roman" w:cs="Times New Roman"/>
                <w:lang w:val="en-US"/>
              </w:rPr>
              <w:t>对照晋宁区监测站（站点编号：530122001）2019年1月1日-2019年12月30日共计12个月的监测资料如下</w:t>
            </w:r>
            <w:r>
              <w:rPr>
                <w:rFonts w:ascii="Times New Roman" w:hAnsi="Times New Roman" w:cs="Times New Roman"/>
                <w:color w:val="000000"/>
              </w:rPr>
              <w:t>：</w:t>
            </w:r>
          </w:p>
          <w:p>
            <w:pPr>
              <w:pStyle w:val="10"/>
            </w:pPr>
            <w:r>
              <w:t>表3</w:t>
            </w:r>
            <w:r>
              <w:noBreakHyphen/>
            </w:r>
            <w:r>
              <w:fldChar w:fldCharType="begin"/>
            </w:r>
            <w:r>
              <w:instrText xml:space="preserve"> SEQ 表格 \* ARABIC \s 2 </w:instrText>
            </w:r>
            <w:r>
              <w:fldChar w:fldCharType="separate"/>
            </w:r>
            <w:r>
              <w:t>1</w:t>
            </w:r>
            <w:r>
              <w:fldChar w:fldCharType="end"/>
            </w:r>
            <w:r>
              <w:t>区域空气质量现状评价（晋宁区2019年空气质量监测数据统计）</w:t>
            </w:r>
          </w:p>
          <w:tbl>
            <w:tblPr>
              <w:tblStyle w:val="26"/>
              <w:tblW w:w="49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13"/>
              <w:gridCol w:w="2613"/>
              <w:gridCol w:w="1364"/>
              <w:gridCol w:w="1294"/>
              <w:gridCol w:w="916"/>
              <w:gridCol w:w="7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污染物</w:t>
                  </w:r>
                </w:p>
              </w:tc>
              <w:tc>
                <w:tcPr>
                  <w:tcW w:w="1638"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年评价指标</w:t>
                  </w: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现状浓度（μg/m³）</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标准值（μg/m³）</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占标率%</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SO</w:t>
                  </w:r>
                  <w:r>
                    <w:rPr>
                      <w:rFonts w:ascii="Times New Roman" w:cs="Times New Roman"/>
                      <w:color w:val="000000"/>
                      <w:sz w:val="21"/>
                      <w:szCs w:val="21"/>
                      <w:vertAlign w:val="subscript"/>
                    </w:rPr>
                    <w:t>2</w:t>
                  </w:r>
                </w:p>
              </w:tc>
              <w:tc>
                <w:tcPr>
                  <w:tcW w:w="1638" w:type="pct"/>
                  <w:vMerge w:val="restar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年平均质量浓度</w:t>
                  </w: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8</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60</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13.3</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NO</w:t>
                  </w:r>
                  <w:r>
                    <w:rPr>
                      <w:rFonts w:ascii="Times New Roman" w:cs="Times New Roman"/>
                      <w:color w:val="000000"/>
                      <w:sz w:val="21"/>
                      <w:szCs w:val="21"/>
                      <w:vertAlign w:val="subscript"/>
                    </w:rPr>
                    <w:t>2</w:t>
                  </w:r>
                </w:p>
              </w:tc>
              <w:tc>
                <w:tcPr>
                  <w:tcW w:w="1638" w:type="pct"/>
                  <w:vMerge w:val="continue"/>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15</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40</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37.5</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PM</w:t>
                  </w:r>
                  <w:r>
                    <w:rPr>
                      <w:rFonts w:ascii="Times New Roman" w:cs="Times New Roman"/>
                      <w:color w:val="000000"/>
                      <w:sz w:val="21"/>
                      <w:szCs w:val="21"/>
                      <w:vertAlign w:val="subscript"/>
                    </w:rPr>
                    <w:t>10</w:t>
                  </w:r>
                </w:p>
              </w:tc>
              <w:tc>
                <w:tcPr>
                  <w:tcW w:w="1638" w:type="pct"/>
                  <w:vMerge w:val="continue"/>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18</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70</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25.7</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PM</w:t>
                  </w:r>
                  <w:r>
                    <w:rPr>
                      <w:rFonts w:ascii="Times New Roman" w:cs="Times New Roman"/>
                      <w:color w:val="000000"/>
                      <w:sz w:val="21"/>
                      <w:szCs w:val="21"/>
                      <w:vertAlign w:val="subscript"/>
                    </w:rPr>
                    <w:t>2.5</w:t>
                  </w:r>
                </w:p>
              </w:tc>
              <w:tc>
                <w:tcPr>
                  <w:tcW w:w="1638" w:type="pct"/>
                  <w:vMerge w:val="continue"/>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10</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35</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25.5</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O</w:t>
                  </w:r>
                  <w:r>
                    <w:rPr>
                      <w:rFonts w:ascii="Times New Roman" w:cs="Times New Roman"/>
                      <w:color w:val="000000"/>
                      <w:sz w:val="21"/>
                      <w:szCs w:val="21"/>
                      <w:vertAlign w:val="subscript"/>
                    </w:rPr>
                    <w:t>3</w:t>
                  </w:r>
                </w:p>
              </w:tc>
              <w:tc>
                <w:tcPr>
                  <w:tcW w:w="1638" w:type="pct"/>
                  <w:vMerge w:val="continue"/>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93</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CO</w:t>
                  </w:r>
                </w:p>
              </w:tc>
              <w:tc>
                <w:tcPr>
                  <w:tcW w:w="1638" w:type="pct"/>
                  <w:vMerge w:val="continue"/>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1.0（mg/m³）</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SO</w:t>
                  </w:r>
                  <w:r>
                    <w:rPr>
                      <w:rFonts w:ascii="Times New Roman" w:cs="Times New Roman"/>
                      <w:color w:val="000000"/>
                      <w:sz w:val="21"/>
                      <w:szCs w:val="21"/>
                      <w:vertAlign w:val="subscript"/>
                    </w:rPr>
                    <w:t>2</w:t>
                  </w:r>
                </w:p>
              </w:tc>
              <w:tc>
                <w:tcPr>
                  <w:tcW w:w="1638"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24小时平均第98百分位数</w:t>
                  </w: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23</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150</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15.3</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NO</w:t>
                  </w:r>
                  <w:r>
                    <w:rPr>
                      <w:rFonts w:ascii="Times New Roman" w:cs="Times New Roman"/>
                      <w:color w:val="000000"/>
                      <w:sz w:val="21"/>
                      <w:szCs w:val="21"/>
                      <w:vertAlign w:val="subscript"/>
                    </w:rPr>
                    <w:t>2</w:t>
                  </w:r>
                </w:p>
              </w:tc>
              <w:tc>
                <w:tcPr>
                  <w:tcW w:w="1638"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24小时平均第98百分位数</w:t>
                  </w: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30</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80</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37.5</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PM</w:t>
                  </w:r>
                  <w:r>
                    <w:rPr>
                      <w:rFonts w:ascii="Times New Roman" w:cs="Times New Roman"/>
                      <w:color w:val="000000"/>
                      <w:sz w:val="21"/>
                      <w:szCs w:val="21"/>
                      <w:vertAlign w:val="subscript"/>
                    </w:rPr>
                    <w:t>10</w:t>
                  </w:r>
                </w:p>
              </w:tc>
              <w:tc>
                <w:tcPr>
                  <w:tcW w:w="1638"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24小时平均第95百分位数</w:t>
                  </w: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60</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150</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40.0</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PM</w:t>
                  </w:r>
                  <w:r>
                    <w:rPr>
                      <w:rFonts w:ascii="Times New Roman" w:cs="Times New Roman"/>
                      <w:color w:val="000000"/>
                      <w:sz w:val="21"/>
                      <w:szCs w:val="21"/>
                      <w:vertAlign w:val="subscript"/>
                    </w:rPr>
                    <w:t>2.5</w:t>
                  </w:r>
                </w:p>
              </w:tc>
              <w:tc>
                <w:tcPr>
                  <w:tcW w:w="1638"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24小时平均第95百分位数</w:t>
                  </w: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34</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75</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45.3</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O</w:t>
                  </w:r>
                  <w:r>
                    <w:rPr>
                      <w:rFonts w:ascii="Times New Roman" w:cs="Times New Roman"/>
                      <w:color w:val="000000"/>
                      <w:sz w:val="21"/>
                      <w:szCs w:val="21"/>
                      <w:vertAlign w:val="subscript"/>
                    </w:rPr>
                    <w:t>3</w:t>
                  </w:r>
                </w:p>
              </w:tc>
              <w:tc>
                <w:tcPr>
                  <w:tcW w:w="1638"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最大8小时平均第90百分位数</w:t>
                  </w: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141</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160</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88.1</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CO</w:t>
                  </w:r>
                </w:p>
              </w:tc>
              <w:tc>
                <w:tcPr>
                  <w:tcW w:w="1638"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24小时平均第95百分位数</w:t>
                  </w:r>
                </w:p>
              </w:tc>
              <w:tc>
                <w:tcPr>
                  <w:tcW w:w="855"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1.6（mg/m³）</w:t>
                  </w:r>
                </w:p>
              </w:tc>
              <w:tc>
                <w:tcPr>
                  <w:tcW w:w="811"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4（mg/m³）</w:t>
                  </w:r>
                </w:p>
              </w:tc>
              <w:tc>
                <w:tcPr>
                  <w:tcW w:w="57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40.0</w:t>
                  </w:r>
                </w:p>
              </w:tc>
              <w:tc>
                <w:tcPr>
                  <w:tcW w:w="484" w:type="pct"/>
                  <w:tcBorders>
                    <w:tl2br w:val="nil"/>
                    <w:tr2bl w:val="nil"/>
                  </w:tcBorders>
                  <w:vAlign w:val="center"/>
                </w:tcPr>
                <w:p>
                  <w:pPr>
                    <w:pStyle w:val="66"/>
                    <w:snapToGrid w:val="0"/>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bl>
          <w:p>
            <w:pPr>
              <w:pStyle w:val="15"/>
              <w:snapToGrid w:val="0"/>
              <w:ind w:firstLine="480"/>
              <w:rPr>
                <w:color w:val="000000"/>
              </w:rPr>
            </w:pPr>
            <w:r>
              <w:rPr>
                <w:color w:val="000000"/>
              </w:rPr>
              <w:t>根据收集的监测资料，对晋宁区2019年1月~12月的监测结果统计分析表明，二氧化硫（SO</w:t>
            </w:r>
            <w:r>
              <w:rPr>
                <w:color w:val="000000"/>
                <w:vertAlign w:val="subscript"/>
              </w:rPr>
              <w:t>2</w:t>
            </w:r>
            <w:r>
              <w:rPr>
                <w:color w:val="000000"/>
              </w:rPr>
              <w:t>）、二氧化氮（NO</w:t>
            </w:r>
            <w:r>
              <w:rPr>
                <w:color w:val="000000"/>
                <w:vertAlign w:val="subscript"/>
              </w:rPr>
              <w:t>2</w:t>
            </w:r>
            <w:r>
              <w:rPr>
                <w:color w:val="000000"/>
              </w:rPr>
              <w:t>）、可吸入颗粒物（PM</w:t>
            </w:r>
            <w:r>
              <w:rPr>
                <w:color w:val="000000"/>
                <w:vertAlign w:val="subscript"/>
              </w:rPr>
              <w:t>10</w:t>
            </w:r>
            <w:r>
              <w:rPr>
                <w:color w:val="000000"/>
              </w:rPr>
              <w:t>）、细颗粒物的年平均质量浓度，SO</w:t>
            </w:r>
            <w:r>
              <w:rPr>
                <w:color w:val="000000"/>
                <w:vertAlign w:val="subscript"/>
              </w:rPr>
              <w:t>2</w:t>
            </w:r>
            <w:r>
              <w:rPr>
                <w:color w:val="000000"/>
              </w:rPr>
              <w:t>和NO</w:t>
            </w:r>
            <w:r>
              <w:rPr>
                <w:color w:val="000000"/>
                <w:vertAlign w:val="subscript"/>
              </w:rPr>
              <w:t>2</w:t>
            </w:r>
            <w:r>
              <w:rPr>
                <w:color w:val="000000"/>
              </w:rPr>
              <w:t>的24小时平均第98百分位数，PM</w:t>
            </w:r>
            <w:r>
              <w:rPr>
                <w:color w:val="000000"/>
                <w:vertAlign w:val="subscript"/>
              </w:rPr>
              <w:t>10</w:t>
            </w:r>
            <w:r>
              <w:rPr>
                <w:color w:val="000000"/>
              </w:rPr>
              <w:t>、PM</w:t>
            </w:r>
            <w:r>
              <w:rPr>
                <w:color w:val="000000"/>
                <w:vertAlign w:val="subscript"/>
              </w:rPr>
              <w:t>2.5</w:t>
            </w:r>
            <w:r>
              <w:rPr>
                <w:color w:val="000000"/>
              </w:rPr>
              <w:t>、CO的24小时平均第95百分位数、O</w:t>
            </w:r>
            <w:r>
              <w:rPr>
                <w:color w:val="000000"/>
                <w:vertAlign w:val="subscript"/>
              </w:rPr>
              <w:t>3</w:t>
            </w:r>
            <w:r>
              <w:rPr>
                <w:color w:val="000000"/>
              </w:rPr>
              <w:t>的最大8小时平均第90百分位数均满足相关标准限值要求，项目所在的晋宁区环境空气质量属于达标区。</w:t>
            </w:r>
          </w:p>
          <w:p>
            <w:pPr>
              <w:pStyle w:val="15"/>
              <w:snapToGrid w:val="0"/>
              <w:ind w:firstLine="480"/>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（2）大气环境质量现状监测评价</w:t>
            </w:r>
          </w:p>
          <w:p>
            <w:pPr>
              <w:snapToGrid w:val="0"/>
              <w:spacing w:line="360" w:lineRule="auto"/>
              <w:ind w:firstLine="480"/>
              <w:jc w:val="both"/>
              <w:rPr>
                <w:rFonts w:ascii="Times New Roman" w:hAnsi="Times New Roman" w:cs="Times New Roman"/>
                <w:lang w:val="en-US"/>
              </w:rPr>
            </w:pPr>
            <w:r>
              <w:rPr>
                <w:rFonts w:hint="eastAsia" w:ascii="Times New Roman" w:hAnsi="Times New Roman" w:cs="Times New Roman"/>
                <w:lang w:val="en-US"/>
              </w:rPr>
              <w:t>①非甲烷总烃</w:t>
            </w:r>
          </w:p>
          <w:p>
            <w:pPr>
              <w:snapToGrid w:val="0"/>
              <w:spacing w:line="360" w:lineRule="auto"/>
              <w:ind w:firstLine="480"/>
              <w:jc w:val="both"/>
              <w:rPr>
                <w:rFonts w:ascii="Times New Roman" w:hAnsi="Times New Roman" w:cs="Times New Roman"/>
              </w:rPr>
            </w:pPr>
            <w:r>
              <w:rPr>
                <w:rFonts w:ascii="Times New Roman" w:hAnsi="Times New Roman" w:cs="Times New Roman"/>
              </w:rPr>
              <w:t>项目非甲烷总烃现状数据引用晋城基地内云南汇津环保科技有限公司委托云南佳测环境检测科技有限公司对年产10000m</w:t>
            </w:r>
            <w:r>
              <w:rPr>
                <w:rFonts w:ascii="Times New Roman" w:hAnsi="Times New Roman" w:cs="Times New Roman"/>
                <w:vertAlign w:val="superscript"/>
                <w:lang w:val="en-US"/>
              </w:rPr>
              <w:t>3</w:t>
            </w:r>
            <w:r>
              <w:rPr>
                <w:rFonts w:ascii="Times New Roman" w:hAnsi="Times New Roman" w:cs="Times New Roman"/>
              </w:rPr>
              <w:t>玻璃钢化粪池生产项目项目区厂址中心进行的监测数据（见附件</w:t>
            </w:r>
            <w:r>
              <w:rPr>
                <w:rFonts w:ascii="Times New Roman" w:hAnsi="Times New Roman" w:cs="Times New Roman"/>
                <w:lang w:val="en-US"/>
              </w:rPr>
              <w:t>7</w:t>
            </w:r>
            <w:r>
              <w:rPr>
                <w:rFonts w:ascii="Times New Roman" w:hAnsi="Times New Roman" w:cs="Times New Roman"/>
              </w:rPr>
              <w:t>）。云南汇津环保科技有限公司</w:t>
            </w:r>
            <w:r>
              <w:rPr>
                <w:rFonts w:ascii="Times New Roman" w:hAnsi="Times New Roman" w:cs="Times New Roman"/>
                <w:color w:val="000000"/>
              </w:rPr>
              <w:t>年产10000m</w:t>
            </w:r>
            <w:r>
              <w:rPr>
                <w:rFonts w:ascii="Times New Roman" w:hAnsi="Times New Roman" w:cs="Times New Roman"/>
                <w:color w:val="000000"/>
                <w:vertAlign w:val="superscript"/>
                <w:lang w:val="en-US"/>
              </w:rPr>
              <w:t>3</w:t>
            </w:r>
            <w:r>
              <w:rPr>
                <w:rFonts w:ascii="Times New Roman" w:hAnsi="Times New Roman" w:cs="Times New Roman"/>
                <w:color w:val="000000"/>
              </w:rPr>
              <w:t>玻璃钢化粪池生产项目</w:t>
            </w:r>
            <w:r>
              <w:rPr>
                <w:rFonts w:ascii="Times New Roman" w:hAnsi="Times New Roman" w:cs="Times New Roman"/>
              </w:rPr>
              <w:t>位于本项目西北方向约</w:t>
            </w:r>
            <w:r>
              <w:rPr>
                <w:rFonts w:ascii="Times New Roman" w:hAnsi="Times New Roman" w:cs="Times New Roman"/>
                <w:lang w:val="en-US"/>
              </w:rPr>
              <w:t>2451</w:t>
            </w:r>
            <w:r>
              <w:rPr>
                <w:rFonts w:ascii="Times New Roman" w:hAnsi="Times New Roman" w:cs="Times New Roman"/>
              </w:rPr>
              <w:t>m，云南汇津环保科技有限公司</w:t>
            </w:r>
            <w:r>
              <w:rPr>
                <w:rFonts w:ascii="Times New Roman" w:hAnsi="Times New Roman" w:cs="Times New Roman"/>
                <w:color w:val="000000"/>
              </w:rPr>
              <w:t>年产10000m</w:t>
            </w:r>
            <w:r>
              <w:rPr>
                <w:rFonts w:ascii="Times New Roman" w:hAnsi="Times New Roman" w:cs="Times New Roman"/>
                <w:color w:val="000000"/>
                <w:vertAlign w:val="superscript"/>
                <w:lang w:val="en-US"/>
              </w:rPr>
              <w:t>3</w:t>
            </w:r>
            <w:r>
              <w:rPr>
                <w:rFonts w:ascii="Times New Roman" w:hAnsi="Times New Roman" w:cs="Times New Roman"/>
                <w:color w:val="000000"/>
              </w:rPr>
              <w:t>玻璃钢化粪池生产项目</w:t>
            </w:r>
            <w:r>
              <w:rPr>
                <w:rFonts w:ascii="Times New Roman" w:hAnsi="Times New Roman" w:cs="Times New Roman"/>
                <w:color w:val="000000"/>
                <w:lang w:val="en-US"/>
              </w:rPr>
              <w:t>污染因子为非甲烷总烃，与本项目污染因子相同</w:t>
            </w:r>
            <w:r>
              <w:rPr>
                <w:rFonts w:ascii="Times New Roman" w:hAnsi="Times New Roman" w:cs="Times New Roman"/>
              </w:rPr>
              <w:t>。因此，引用晋城基地《云南汇津环保科技有限公司</w:t>
            </w:r>
            <w:r>
              <w:rPr>
                <w:rFonts w:ascii="Times New Roman" w:hAnsi="Times New Roman" w:cs="Times New Roman"/>
                <w:color w:val="000000"/>
              </w:rPr>
              <w:t>年产10000m³玻璃钢化粪池生产项目</w:t>
            </w:r>
            <w:r>
              <w:rPr>
                <w:rFonts w:ascii="Times New Roman" w:hAnsi="Times New Roman" w:cs="Times New Roman"/>
              </w:rPr>
              <w:t>环境影响报告表》中环境质量现状调查的监测数据可行，监测时间为2020年6月26日至7月2日，监测结果见表3-2。本项目区与引用项目位置见下图3-2。</w:t>
            </w:r>
          </w:p>
          <w:p>
            <w:pPr>
              <w:snapToGrid w:val="0"/>
              <w:spacing w:line="360" w:lineRule="auto"/>
              <w:ind w:firstLine="482"/>
              <w:rPr>
                <w:rFonts w:ascii="Times New Roman" w:hAnsi="Times New Roman" w:cs="Times New Roman"/>
              </w:rPr>
            </w:pPr>
            <w:r>
              <w:rPr>
                <w:rFonts w:ascii="Times New Roman" w:hAnsi="Times New Roman" w:cs="Times New Roman"/>
              </w:rPr>
              <w:t>①监测项目：非甲烷总烃</w:t>
            </w:r>
          </w:p>
          <w:p>
            <w:pPr>
              <w:snapToGrid w:val="0"/>
              <w:spacing w:line="360" w:lineRule="auto"/>
              <w:ind w:firstLine="482"/>
              <w:rPr>
                <w:rFonts w:ascii="Times New Roman" w:hAnsi="Times New Roman" w:cs="Times New Roman"/>
              </w:rPr>
            </w:pPr>
            <w:r>
              <w:rPr>
                <w:rFonts w:ascii="Times New Roman" w:hAnsi="Times New Roman" w:cs="Times New Roman"/>
              </w:rPr>
              <w:t>②监测时间：2020年6月26日-7月2日</w:t>
            </w:r>
          </w:p>
          <w:p>
            <w:pPr>
              <w:snapToGrid w:val="0"/>
              <w:spacing w:line="360" w:lineRule="auto"/>
              <w:ind w:firstLine="482"/>
              <w:rPr>
                <w:rFonts w:ascii="Times New Roman" w:hAnsi="Times New Roman" w:cs="Times New Roman"/>
              </w:rPr>
            </w:pPr>
            <w:r>
              <w:rPr>
                <w:rFonts w:ascii="Times New Roman" w:hAnsi="Times New Roman" w:cs="Times New Roman"/>
              </w:rPr>
              <w:t>③监测点位：年产10000m</w:t>
            </w:r>
            <w:r>
              <w:rPr>
                <w:rFonts w:ascii="Times New Roman" w:hAnsi="Times New Roman" w:cs="Times New Roman"/>
                <w:vertAlign w:val="superscript"/>
                <w:lang w:val="en-US"/>
              </w:rPr>
              <w:t>3</w:t>
            </w:r>
            <w:r>
              <w:rPr>
                <w:rFonts w:ascii="Times New Roman" w:hAnsi="Times New Roman" w:cs="Times New Roman"/>
              </w:rPr>
              <w:t>玻璃钢化粪池生产项目厂址中心</w:t>
            </w:r>
          </w:p>
          <w:p>
            <w:pPr>
              <w:snapToGrid w:val="0"/>
              <w:spacing w:line="360" w:lineRule="auto"/>
              <w:ind w:firstLine="482"/>
              <w:rPr>
                <w:rFonts w:ascii="Times New Roman" w:hAnsi="Times New Roman" w:cs="Times New Roman"/>
              </w:rPr>
            </w:pPr>
            <w:r>
              <w:rPr>
                <w:rFonts w:ascii="Times New Roman" w:hAnsi="Times New Roman" w:cs="Times New Roman"/>
              </w:rPr>
              <w:t>④监测频率：连续7天</w:t>
            </w:r>
          </w:p>
          <w:p>
            <w:pPr>
              <w:snapToGrid w:val="0"/>
              <w:spacing w:line="360" w:lineRule="auto"/>
              <w:ind w:firstLine="482"/>
              <w:rPr>
                <w:rFonts w:ascii="Times New Roman" w:hAnsi="Times New Roman" w:cs="Times New Roman"/>
              </w:rPr>
            </w:pPr>
            <w:r>
              <w:rPr>
                <w:rFonts w:ascii="Times New Roman" w:hAnsi="Times New Roman" w:cs="Times New Roman"/>
              </w:rPr>
              <w:t>⑤监测结果及评价</w:t>
            </w:r>
          </w:p>
          <w:p>
            <w:pPr>
              <w:pStyle w:val="10"/>
              <w:ind w:firstLine="422"/>
              <w:rPr>
                <w:color w:val="000000"/>
              </w:rPr>
            </w:pPr>
            <w:r>
              <w:t>表3-2 云南汇津环保科技有限公司环境空气质量监测数据  单位：mg/m³</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2377"/>
              <w:gridCol w:w="2066"/>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trPr>
              <w:tc>
                <w:tcPr>
                  <w:tcW w:w="1061" w:type="pct"/>
                  <w:vMerge w:val="restart"/>
                  <w:vAlign w:val="center"/>
                </w:tcPr>
                <w:p>
                  <w:pPr>
                    <w:pStyle w:val="43"/>
                    <w:tabs>
                      <w:tab w:val="left" w:pos="5530"/>
                    </w:tabs>
                    <w:rPr>
                      <w:kern w:val="2"/>
                      <w:lang w:val="en-US"/>
                    </w:rPr>
                  </w:pPr>
                  <w:r>
                    <w:rPr>
                      <w:rFonts w:hint="eastAsia"/>
                      <w:kern w:val="2"/>
                      <w:lang w:val="en-US"/>
                    </w:rPr>
                    <w:t>监测点</w:t>
                  </w:r>
                </w:p>
              </w:tc>
              <w:tc>
                <w:tcPr>
                  <w:tcW w:w="2731" w:type="pct"/>
                  <w:gridSpan w:val="2"/>
                  <w:vMerge w:val="restart"/>
                  <w:vAlign w:val="center"/>
                </w:tcPr>
                <w:p>
                  <w:pPr>
                    <w:pStyle w:val="43"/>
                    <w:tabs>
                      <w:tab w:val="left" w:pos="5530"/>
                    </w:tabs>
                    <w:rPr>
                      <w:kern w:val="2"/>
                      <w:lang w:val="en-US"/>
                    </w:rPr>
                  </w:pPr>
                  <w:r>
                    <w:rPr>
                      <w:rFonts w:hint="eastAsia"/>
                      <w:kern w:val="2"/>
                      <w:lang w:val="en-US"/>
                    </w:rPr>
                    <w:t>监测时间</w:t>
                  </w:r>
                </w:p>
              </w:tc>
              <w:tc>
                <w:tcPr>
                  <w:tcW w:w="1207" w:type="pct"/>
                  <w:vAlign w:val="center"/>
                </w:tcPr>
                <w:p>
                  <w:pPr>
                    <w:pStyle w:val="43"/>
                    <w:tabs>
                      <w:tab w:val="left" w:pos="5530"/>
                    </w:tabs>
                    <w:rPr>
                      <w:kern w:val="2"/>
                      <w:lang w:val="en-US"/>
                    </w:rPr>
                  </w:pPr>
                  <w:r>
                    <w:rPr>
                      <w:rFonts w:hint="eastAsia"/>
                      <w:kern w:val="2"/>
                      <w:lang w:val="en-US"/>
                    </w:rPr>
                    <w:t>污染物浓度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trPr>
              <w:tc>
                <w:tcPr>
                  <w:tcW w:w="1061" w:type="pct"/>
                  <w:vMerge w:val="continue"/>
                  <w:vAlign w:val="center"/>
                </w:tcPr>
                <w:p>
                  <w:pPr>
                    <w:pStyle w:val="43"/>
                    <w:tabs>
                      <w:tab w:val="left" w:pos="5530"/>
                    </w:tabs>
                    <w:rPr>
                      <w:kern w:val="2"/>
                      <w:lang w:val="en-US"/>
                    </w:rPr>
                  </w:pPr>
                </w:p>
              </w:tc>
              <w:tc>
                <w:tcPr>
                  <w:tcW w:w="2731" w:type="pct"/>
                  <w:gridSpan w:val="2"/>
                  <w:vMerge w:val="continue"/>
                  <w:vAlign w:val="center"/>
                </w:tcPr>
                <w:p>
                  <w:pPr>
                    <w:pStyle w:val="43"/>
                    <w:tabs>
                      <w:tab w:val="left" w:pos="5530"/>
                    </w:tabs>
                    <w:rPr>
                      <w:kern w:val="2"/>
                      <w:lang w:val="en-US"/>
                    </w:rPr>
                  </w:pPr>
                </w:p>
              </w:tc>
              <w:tc>
                <w:tcPr>
                  <w:tcW w:w="1207" w:type="pct"/>
                  <w:vAlign w:val="center"/>
                </w:tcPr>
                <w:p>
                  <w:pPr>
                    <w:pStyle w:val="43"/>
                    <w:tabs>
                      <w:tab w:val="left" w:pos="5530"/>
                    </w:tabs>
                    <w:rPr>
                      <w:kern w:val="2"/>
                      <w:lang w:val="en-US"/>
                    </w:rPr>
                  </w:pPr>
                  <w:r>
                    <w:rPr>
                      <w:rFonts w:hint="eastAsia"/>
                      <w:kern w:val="2"/>
                      <w:lang w:val="en-US"/>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61" w:type="pct"/>
                  <w:vMerge w:val="restart"/>
                  <w:vAlign w:val="center"/>
                </w:tcPr>
                <w:p>
                  <w:pPr>
                    <w:pStyle w:val="43"/>
                    <w:tabs>
                      <w:tab w:val="left" w:pos="5530"/>
                    </w:tabs>
                    <w:rPr>
                      <w:kern w:val="2"/>
                      <w:lang w:val="en-US"/>
                    </w:rPr>
                  </w:pPr>
                  <w:r>
                    <w:rPr>
                      <w:rFonts w:hint="eastAsia"/>
                      <w:kern w:val="2"/>
                      <w:lang w:val="en-US"/>
                    </w:rPr>
                    <w:t>厂址中心</w:t>
                  </w:r>
                </w:p>
              </w:tc>
              <w:tc>
                <w:tcPr>
                  <w:tcW w:w="1461" w:type="pct"/>
                  <w:vMerge w:val="restart"/>
                  <w:vAlign w:val="center"/>
                </w:tcPr>
                <w:p>
                  <w:pPr>
                    <w:pStyle w:val="43"/>
                    <w:tabs>
                      <w:tab w:val="left" w:pos="5530"/>
                    </w:tabs>
                    <w:rPr>
                      <w:kern w:val="2"/>
                      <w:lang w:val="en-US"/>
                    </w:rPr>
                  </w:pPr>
                  <w:r>
                    <w:rPr>
                      <w:rFonts w:hint="eastAsia"/>
                      <w:kern w:val="2"/>
                      <w:lang w:val="en-US"/>
                    </w:rPr>
                    <w:t>2020-06-26</w:t>
                  </w:r>
                </w:p>
              </w:tc>
              <w:tc>
                <w:tcPr>
                  <w:tcW w:w="1270" w:type="pct"/>
                  <w:vAlign w:val="center"/>
                </w:tcPr>
                <w:p>
                  <w:pPr>
                    <w:pStyle w:val="43"/>
                    <w:tabs>
                      <w:tab w:val="left" w:pos="5530"/>
                    </w:tabs>
                    <w:rPr>
                      <w:kern w:val="2"/>
                      <w:lang w:val="en-US"/>
                    </w:rPr>
                  </w:pPr>
                  <w:r>
                    <w:rPr>
                      <w:rFonts w:hint="eastAsia"/>
                      <w:kern w:val="2"/>
                      <w:lang w:val="en-US"/>
                    </w:rPr>
                    <w:t>HQ1-1-1</w:t>
                  </w:r>
                </w:p>
              </w:tc>
              <w:tc>
                <w:tcPr>
                  <w:tcW w:w="1207" w:type="pct"/>
                  <w:vAlign w:val="center"/>
                </w:tcPr>
                <w:p>
                  <w:pPr>
                    <w:pStyle w:val="43"/>
                    <w:tabs>
                      <w:tab w:val="left" w:pos="5530"/>
                    </w:tabs>
                    <w:rPr>
                      <w:kern w:val="2"/>
                      <w:lang w:val="en-US"/>
                    </w:rPr>
                  </w:pPr>
                  <w:r>
                    <w:rPr>
                      <w:rFonts w:hint="eastAsia"/>
                      <w:kern w:val="2"/>
                      <w:lang w:val="en-US"/>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HQ1-1-2</w:t>
                  </w:r>
                </w:p>
              </w:tc>
              <w:tc>
                <w:tcPr>
                  <w:tcW w:w="1207" w:type="pct"/>
                  <w:vAlign w:val="center"/>
                </w:tcPr>
                <w:p>
                  <w:pPr>
                    <w:pStyle w:val="43"/>
                    <w:tabs>
                      <w:tab w:val="left" w:pos="5530"/>
                    </w:tabs>
                    <w:rPr>
                      <w:kern w:val="2"/>
                      <w:lang w:val="en-US"/>
                    </w:rPr>
                  </w:pPr>
                  <w:r>
                    <w:rPr>
                      <w:rFonts w:hint="eastAsia"/>
                      <w:kern w:val="2"/>
                      <w:lang w:val="en-US"/>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HQ1-1-3</w:t>
                  </w:r>
                </w:p>
              </w:tc>
              <w:tc>
                <w:tcPr>
                  <w:tcW w:w="1207" w:type="pct"/>
                  <w:vAlign w:val="center"/>
                </w:tcPr>
                <w:p>
                  <w:pPr>
                    <w:pStyle w:val="43"/>
                    <w:tabs>
                      <w:tab w:val="left" w:pos="5530"/>
                    </w:tabs>
                    <w:rPr>
                      <w:kern w:val="2"/>
                      <w:lang w:val="en-US"/>
                    </w:rPr>
                  </w:pPr>
                  <w:r>
                    <w:rPr>
                      <w:rFonts w:hint="eastAsia"/>
                      <w:kern w:val="2"/>
                      <w:lang w:val="en-US"/>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HQ1-1-4</w:t>
                  </w:r>
                </w:p>
              </w:tc>
              <w:tc>
                <w:tcPr>
                  <w:tcW w:w="1207" w:type="pct"/>
                  <w:vAlign w:val="center"/>
                </w:tcPr>
                <w:p>
                  <w:pPr>
                    <w:pStyle w:val="43"/>
                    <w:tabs>
                      <w:tab w:val="left" w:pos="5530"/>
                    </w:tabs>
                    <w:rPr>
                      <w:kern w:val="2"/>
                      <w:lang w:val="en-US"/>
                    </w:rPr>
                  </w:pPr>
                  <w:r>
                    <w:rPr>
                      <w:rFonts w:hint="eastAsia"/>
                      <w:kern w:val="2"/>
                      <w:lang w:val="en-US"/>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restart"/>
                  <w:vAlign w:val="center"/>
                </w:tcPr>
                <w:p>
                  <w:pPr>
                    <w:pStyle w:val="43"/>
                    <w:tabs>
                      <w:tab w:val="left" w:pos="5530"/>
                    </w:tabs>
                    <w:rPr>
                      <w:kern w:val="2"/>
                      <w:lang w:val="en-US"/>
                    </w:rPr>
                  </w:pPr>
                  <w:r>
                    <w:rPr>
                      <w:rFonts w:hint="eastAsia"/>
                      <w:kern w:val="2"/>
                      <w:lang w:val="en-US"/>
                    </w:rPr>
                    <w:t>2020-06-27</w:t>
                  </w:r>
                </w:p>
              </w:tc>
              <w:tc>
                <w:tcPr>
                  <w:tcW w:w="1270" w:type="pct"/>
                  <w:vAlign w:val="center"/>
                </w:tcPr>
                <w:p>
                  <w:pPr>
                    <w:pStyle w:val="43"/>
                    <w:tabs>
                      <w:tab w:val="left" w:pos="5530"/>
                    </w:tabs>
                    <w:rPr>
                      <w:kern w:val="2"/>
                      <w:lang w:val="en-US"/>
                    </w:rPr>
                  </w:pPr>
                  <w:r>
                    <w:rPr>
                      <w:rFonts w:hint="eastAsia"/>
                      <w:kern w:val="2"/>
                      <w:lang w:val="en-US"/>
                    </w:rPr>
                    <w:t>HQ1-2-1</w:t>
                  </w:r>
                </w:p>
              </w:tc>
              <w:tc>
                <w:tcPr>
                  <w:tcW w:w="1207" w:type="pct"/>
                  <w:vAlign w:val="center"/>
                </w:tcPr>
                <w:p>
                  <w:pPr>
                    <w:pStyle w:val="43"/>
                    <w:tabs>
                      <w:tab w:val="left" w:pos="5530"/>
                    </w:tabs>
                    <w:rPr>
                      <w:kern w:val="2"/>
                      <w:lang w:val="en-US"/>
                    </w:rPr>
                  </w:pPr>
                  <w:r>
                    <w:rPr>
                      <w:rFonts w:hint="eastAsia"/>
                      <w:kern w:val="2"/>
                      <w:lang w:val="en-US"/>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HQ1-2-2</w:t>
                  </w:r>
                </w:p>
              </w:tc>
              <w:tc>
                <w:tcPr>
                  <w:tcW w:w="1207" w:type="pct"/>
                  <w:vAlign w:val="center"/>
                </w:tcPr>
                <w:p>
                  <w:pPr>
                    <w:pStyle w:val="43"/>
                    <w:tabs>
                      <w:tab w:val="left" w:pos="5530"/>
                    </w:tabs>
                    <w:rPr>
                      <w:kern w:val="2"/>
                      <w:lang w:val="en-US"/>
                    </w:rPr>
                  </w:pPr>
                  <w:r>
                    <w:rPr>
                      <w:rFonts w:hint="eastAsia"/>
                      <w:kern w:val="2"/>
                      <w:lang w:val="en-US"/>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HQ1-2-3</w:t>
                  </w:r>
                </w:p>
              </w:tc>
              <w:tc>
                <w:tcPr>
                  <w:tcW w:w="1207" w:type="pct"/>
                  <w:vAlign w:val="center"/>
                </w:tcPr>
                <w:p>
                  <w:pPr>
                    <w:pStyle w:val="43"/>
                    <w:tabs>
                      <w:tab w:val="left" w:pos="5530"/>
                    </w:tabs>
                    <w:rPr>
                      <w:kern w:val="2"/>
                      <w:lang w:val="en-US"/>
                    </w:rPr>
                  </w:pPr>
                  <w:r>
                    <w:rPr>
                      <w:rFonts w:hint="eastAsia"/>
                      <w:kern w:val="2"/>
                      <w:lang w:val="en-US"/>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HQ1-2-4</w:t>
                  </w:r>
                </w:p>
              </w:tc>
              <w:tc>
                <w:tcPr>
                  <w:tcW w:w="1207" w:type="pct"/>
                  <w:vAlign w:val="center"/>
                </w:tcPr>
                <w:p>
                  <w:pPr>
                    <w:pStyle w:val="43"/>
                    <w:tabs>
                      <w:tab w:val="left" w:pos="5530"/>
                    </w:tabs>
                    <w:rPr>
                      <w:kern w:val="2"/>
                      <w:lang w:val="en-US"/>
                    </w:rPr>
                  </w:pPr>
                  <w:r>
                    <w:rPr>
                      <w:rFonts w:hint="eastAsia"/>
                      <w:kern w:val="2"/>
                      <w:lang w:val="en-US"/>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restart"/>
                  <w:vAlign w:val="center"/>
                </w:tcPr>
                <w:p>
                  <w:pPr>
                    <w:pStyle w:val="43"/>
                    <w:tabs>
                      <w:tab w:val="left" w:pos="5530"/>
                    </w:tabs>
                    <w:rPr>
                      <w:kern w:val="2"/>
                      <w:lang w:val="en-US"/>
                    </w:rPr>
                  </w:pPr>
                  <w:r>
                    <w:rPr>
                      <w:rFonts w:hint="eastAsia"/>
                      <w:kern w:val="2"/>
                      <w:lang w:val="en-US"/>
                    </w:rPr>
                    <w:t>2020-06-28</w:t>
                  </w:r>
                </w:p>
              </w:tc>
              <w:tc>
                <w:tcPr>
                  <w:tcW w:w="1270" w:type="pct"/>
                  <w:vAlign w:val="center"/>
                </w:tcPr>
                <w:p>
                  <w:pPr>
                    <w:pStyle w:val="43"/>
                    <w:tabs>
                      <w:tab w:val="left" w:pos="5530"/>
                    </w:tabs>
                    <w:rPr>
                      <w:kern w:val="2"/>
                      <w:lang w:val="en-US"/>
                    </w:rPr>
                  </w:pPr>
                  <w:r>
                    <w:rPr>
                      <w:rFonts w:hint="eastAsia"/>
                      <w:kern w:val="2"/>
                      <w:lang w:val="en-US"/>
                    </w:rPr>
                    <w:t>HQ1-3-1</w:t>
                  </w:r>
                </w:p>
              </w:tc>
              <w:tc>
                <w:tcPr>
                  <w:tcW w:w="1207" w:type="pct"/>
                  <w:vAlign w:val="center"/>
                </w:tcPr>
                <w:p>
                  <w:pPr>
                    <w:pStyle w:val="43"/>
                    <w:tabs>
                      <w:tab w:val="left" w:pos="5530"/>
                    </w:tabs>
                    <w:rPr>
                      <w:kern w:val="2"/>
                      <w:lang w:val="en-US"/>
                    </w:rPr>
                  </w:pPr>
                  <w:r>
                    <w:rPr>
                      <w:rFonts w:hint="eastAsia"/>
                      <w:kern w:val="2"/>
                      <w:lang w:val="en-US"/>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HQ1-3-2</w:t>
                  </w:r>
                </w:p>
              </w:tc>
              <w:tc>
                <w:tcPr>
                  <w:tcW w:w="1207" w:type="pct"/>
                  <w:vAlign w:val="center"/>
                </w:tcPr>
                <w:p>
                  <w:pPr>
                    <w:pStyle w:val="43"/>
                    <w:tabs>
                      <w:tab w:val="left" w:pos="5530"/>
                    </w:tabs>
                    <w:rPr>
                      <w:kern w:val="2"/>
                      <w:lang w:val="en-US"/>
                    </w:rPr>
                  </w:pPr>
                  <w:r>
                    <w:rPr>
                      <w:rFonts w:hint="eastAsia"/>
                      <w:kern w:val="2"/>
                      <w:lang w:val="en-US"/>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HQ1-3-3</w:t>
                  </w:r>
                </w:p>
              </w:tc>
              <w:tc>
                <w:tcPr>
                  <w:tcW w:w="1207" w:type="pct"/>
                  <w:vAlign w:val="center"/>
                </w:tcPr>
                <w:p>
                  <w:pPr>
                    <w:pStyle w:val="43"/>
                    <w:tabs>
                      <w:tab w:val="left" w:pos="5530"/>
                    </w:tabs>
                    <w:rPr>
                      <w:kern w:val="2"/>
                      <w:lang w:val="en-US"/>
                    </w:rPr>
                  </w:pPr>
                  <w:r>
                    <w:rPr>
                      <w:rFonts w:hint="eastAsia"/>
                      <w:kern w:val="2"/>
                      <w:lang w:val="en-US"/>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HQ1-3-4</w:t>
                  </w:r>
                </w:p>
              </w:tc>
              <w:tc>
                <w:tcPr>
                  <w:tcW w:w="1207" w:type="pct"/>
                  <w:vAlign w:val="center"/>
                </w:tcPr>
                <w:p>
                  <w:pPr>
                    <w:pStyle w:val="43"/>
                    <w:tabs>
                      <w:tab w:val="left" w:pos="5530"/>
                    </w:tabs>
                    <w:rPr>
                      <w:kern w:val="2"/>
                      <w:lang w:val="en-US"/>
                    </w:rPr>
                  </w:pPr>
                  <w:r>
                    <w:rPr>
                      <w:rFonts w:hint="eastAsia"/>
                      <w:kern w:val="2"/>
                      <w:lang w:val="en-US"/>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restart"/>
                  <w:vAlign w:val="center"/>
                </w:tcPr>
                <w:p>
                  <w:pPr>
                    <w:pStyle w:val="43"/>
                    <w:tabs>
                      <w:tab w:val="left" w:pos="5530"/>
                    </w:tabs>
                    <w:rPr>
                      <w:kern w:val="2"/>
                      <w:lang w:val="en-US"/>
                    </w:rPr>
                  </w:pPr>
                  <w:r>
                    <w:rPr>
                      <w:rFonts w:hint="eastAsia"/>
                      <w:kern w:val="2"/>
                      <w:lang w:val="en-US"/>
                    </w:rPr>
                    <w:t>2020-06-29</w:t>
                  </w:r>
                </w:p>
              </w:tc>
              <w:tc>
                <w:tcPr>
                  <w:tcW w:w="1270" w:type="pct"/>
                  <w:vAlign w:val="center"/>
                </w:tcPr>
                <w:p>
                  <w:pPr>
                    <w:pStyle w:val="43"/>
                    <w:tabs>
                      <w:tab w:val="left" w:pos="5530"/>
                    </w:tabs>
                    <w:rPr>
                      <w:kern w:val="2"/>
                      <w:lang w:val="en-US"/>
                    </w:rPr>
                  </w:pPr>
                  <w:r>
                    <w:rPr>
                      <w:rFonts w:hint="eastAsia"/>
                      <w:kern w:val="2"/>
                      <w:lang w:val="en-US"/>
                    </w:rPr>
                    <w:t>HQ1-4-1</w:t>
                  </w:r>
                </w:p>
              </w:tc>
              <w:tc>
                <w:tcPr>
                  <w:tcW w:w="1207" w:type="pct"/>
                  <w:vAlign w:val="center"/>
                </w:tcPr>
                <w:p>
                  <w:pPr>
                    <w:pStyle w:val="43"/>
                    <w:tabs>
                      <w:tab w:val="left" w:pos="5530"/>
                    </w:tabs>
                    <w:rPr>
                      <w:kern w:val="2"/>
                      <w:lang w:val="en-US"/>
                    </w:rPr>
                  </w:pPr>
                  <w:r>
                    <w:rPr>
                      <w:rFonts w:hint="eastAsia"/>
                      <w:kern w:val="2"/>
                      <w:lang w:val="en-US"/>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HQ1-4-2</w:t>
                  </w:r>
                </w:p>
              </w:tc>
              <w:tc>
                <w:tcPr>
                  <w:tcW w:w="1207" w:type="pct"/>
                  <w:vAlign w:val="center"/>
                </w:tcPr>
                <w:p>
                  <w:pPr>
                    <w:pStyle w:val="43"/>
                    <w:tabs>
                      <w:tab w:val="left" w:pos="5530"/>
                    </w:tabs>
                    <w:rPr>
                      <w:kern w:val="2"/>
                      <w:lang w:val="en-US"/>
                    </w:rPr>
                  </w:pPr>
                  <w:r>
                    <w:rPr>
                      <w:rFonts w:hint="eastAsia"/>
                      <w:kern w:val="2"/>
                      <w:lang w:val="en-US"/>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HQ1-4-3</w:t>
                  </w:r>
                </w:p>
              </w:tc>
              <w:tc>
                <w:tcPr>
                  <w:tcW w:w="1207" w:type="pct"/>
                  <w:vAlign w:val="center"/>
                </w:tcPr>
                <w:p>
                  <w:pPr>
                    <w:pStyle w:val="43"/>
                    <w:tabs>
                      <w:tab w:val="left" w:pos="5530"/>
                    </w:tabs>
                    <w:rPr>
                      <w:kern w:val="2"/>
                      <w:lang w:val="en-US"/>
                    </w:rPr>
                  </w:pPr>
                  <w:r>
                    <w:rPr>
                      <w:rFonts w:hint="eastAsia"/>
                      <w:kern w:val="2"/>
                      <w:lang w:val="en-US"/>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HQ1-4-4</w:t>
                  </w:r>
                </w:p>
              </w:tc>
              <w:tc>
                <w:tcPr>
                  <w:tcW w:w="1207" w:type="pct"/>
                  <w:vAlign w:val="center"/>
                </w:tcPr>
                <w:p>
                  <w:pPr>
                    <w:pStyle w:val="43"/>
                    <w:tabs>
                      <w:tab w:val="left" w:pos="5530"/>
                    </w:tabs>
                    <w:rPr>
                      <w:kern w:val="2"/>
                      <w:lang w:val="en-US"/>
                    </w:rPr>
                  </w:pPr>
                  <w:r>
                    <w:rPr>
                      <w:rFonts w:hint="eastAsia"/>
                      <w:kern w:val="2"/>
                      <w:lang w:val="en-US"/>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restart"/>
                  <w:vAlign w:val="center"/>
                </w:tcPr>
                <w:p>
                  <w:pPr>
                    <w:pStyle w:val="43"/>
                    <w:tabs>
                      <w:tab w:val="left" w:pos="5530"/>
                    </w:tabs>
                    <w:rPr>
                      <w:kern w:val="2"/>
                      <w:lang w:val="en-US"/>
                    </w:rPr>
                  </w:pPr>
                  <w:r>
                    <w:rPr>
                      <w:rFonts w:hint="eastAsia"/>
                      <w:kern w:val="2"/>
                      <w:lang w:val="en-US"/>
                    </w:rPr>
                    <w:t>2020-06-30</w:t>
                  </w:r>
                </w:p>
              </w:tc>
              <w:tc>
                <w:tcPr>
                  <w:tcW w:w="1270" w:type="pct"/>
                  <w:vAlign w:val="center"/>
                </w:tcPr>
                <w:p>
                  <w:pPr>
                    <w:pStyle w:val="43"/>
                    <w:tabs>
                      <w:tab w:val="left" w:pos="5530"/>
                    </w:tabs>
                    <w:rPr>
                      <w:kern w:val="2"/>
                      <w:lang w:val="en-US"/>
                    </w:rPr>
                  </w:pPr>
                  <w:r>
                    <w:rPr>
                      <w:rFonts w:hint="eastAsia"/>
                      <w:kern w:val="2"/>
                      <w:lang w:val="en-US"/>
                    </w:rPr>
                    <w:t>HQ1-5-1</w:t>
                  </w:r>
                </w:p>
              </w:tc>
              <w:tc>
                <w:tcPr>
                  <w:tcW w:w="1207" w:type="pct"/>
                  <w:vAlign w:val="center"/>
                </w:tcPr>
                <w:p>
                  <w:pPr>
                    <w:pStyle w:val="43"/>
                    <w:tabs>
                      <w:tab w:val="left" w:pos="5530"/>
                    </w:tabs>
                    <w:rPr>
                      <w:kern w:val="2"/>
                      <w:lang w:val="en-US"/>
                    </w:rPr>
                  </w:pPr>
                  <w:r>
                    <w:rPr>
                      <w:rFonts w:hint="eastAsia"/>
                      <w:kern w:val="2"/>
                      <w:lang w:val="en-US"/>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HQ1-5-2</w:t>
                  </w:r>
                </w:p>
              </w:tc>
              <w:tc>
                <w:tcPr>
                  <w:tcW w:w="1207" w:type="pct"/>
                  <w:vAlign w:val="center"/>
                </w:tcPr>
                <w:p>
                  <w:pPr>
                    <w:pStyle w:val="43"/>
                    <w:tabs>
                      <w:tab w:val="left" w:pos="5530"/>
                    </w:tabs>
                    <w:rPr>
                      <w:kern w:val="2"/>
                      <w:lang w:val="en-US"/>
                    </w:rPr>
                  </w:pPr>
                  <w:r>
                    <w:rPr>
                      <w:rFonts w:hint="eastAsia"/>
                      <w:kern w:val="2"/>
                      <w:lang w:val="en-US"/>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HQ1-5-3</w:t>
                  </w:r>
                </w:p>
              </w:tc>
              <w:tc>
                <w:tcPr>
                  <w:tcW w:w="1207" w:type="pct"/>
                  <w:vAlign w:val="center"/>
                </w:tcPr>
                <w:p>
                  <w:pPr>
                    <w:pStyle w:val="43"/>
                    <w:tabs>
                      <w:tab w:val="left" w:pos="5530"/>
                    </w:tabs>
                    <w:rPr>
                      <w:kern w:val="2"/>
                      <w:lang w:val="en-US"/>
                    </w:rPr>
                  </w:pPr>
                  <w:r>
                    <w:rPr>
                      <w:rFonts w:hint="eastAsia"/>
                      <w:kern w:val="2"/>
                      <w:lang w:val="en-US"/>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HQ1-5-4</w:t>
                  </w:r>
                </w:p>
              </w:tc>
              <w:tc>
                <w:tcPr>
                  <w:tcW w:w="1207" w:type="pct"/>
                  <w:vAlign w:val="center"/>
                </w:tcPr>
                <w:p>
                  <w:pPr>
                    <w:pStyle w:val="43"/>
                    <w:tabs>
                      <w:tab w:val="left" w:pos="5530"/>
                    </w:tabs>
                    <w:rPr>
                      <w:kern w:val="2"/>
                      <w:lang w:val="en-US"/>
                    </w:rPr>
                  </w:pPr>
                  <w:r>
                    <w:rPr>
                      <w:rFonts w:hint="eastAsia"/>
                      <w:kern w:val="2"/>
                      <w:lang w:val="en-US"/>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exact"/>
              </w:trPr>
              <w:tc>
                <w:tcPr>
                  <w:tcW w:w="1061" w:type="pct"/>
                  <w:vMerge w:val="continue"/>
                  <w:vAlign w:val="center"/>
                </w:tcPr>
                <w:p>
                  <w:pPr>
                    <w:pStyle w:val="43"/>
                    <w:tabs>
                      <w:tab w:val="left" w:pos="5530"/>
                    </w:tabs>
                    <w:rPr>
                      <w:kern w:val="2"/>
                      <w:lang w:val="en-US"/>
                    </w:rPr>
                  </w:pPr>
                </w:p>
              </w:tc>
              <w:tc>
                <w:tcPr>
                  <w:tcW w:w="1461" w:type="pct"/>
                  <w:vMerge w:val="restart"/>
                  <w:vAlign w:val="center"/>
                </w:tcPr>
                <w:p>
                  <w:pPr>
                    <w:pStyle w:val="43"/>
                    <w:tabs>
                      <w:tab w:val="left" w:pos="5530"/>
                    </w:tabs>
                    <w:rPr>
                      <w:kern w:val="2"/>
                      <w:lang w:val="en-US"/>
                    </w:rPr>
                  </w:pPr>
                  <w:r>
                    <w:rPr>
                      <w:rFonts w:hint="eastAsia"/>
                      <w:kern w:val="2"/>
                      <w:lang w:val="en-US"/>
                    </w:rPr>
                    <w:t>2020-07-01</w:t>
                  </w:r>
                </w:p>
              </w:tc>
              <w:tc>
                <w:tcPr>
                  <w:tcW w:w="1270" w:type="pct"/>
                  <w:vAlign w:val="center"/>
                </w:tcPr>
                <w:p>
                  <w:pPr>
                    <w:pStyle w:val="43"/>
                    <w:tabs>
                      <w:tab w:val="left" w:pos="5530"/>
                    </w:tabs>
                    <w:rPr>
                      <w:kern w:val="2"/>
                      <w:lang w:val="en-US"/>
                    </w:rPr>
                  </w:pPr>
                  <w:r>
                    <w:rPr>
                      <w:rFonts w:hint="eastAsia"/>
                      <w:kern w:val="2"/>
                      <w:lang w:val="en-US"/>
                    </w:rPr>
                    <w:t>HQ1-6-1</w:t>
                  </w:r>
                </w:p>
              </w:tc>
              <w:tc>
                <w:tcPr>
                  <w:tcW w:w="1207" w:type="pct"/>
                  <w:vAlign w:val="center"/>
                </w:tcPr>
                <w:p>
                  <w:pPr>
                    <w:pStyle w:val="43"/>
                    <w:tabs>
                      <w:tab w:val="left" w:pos="5530"/>
                    </w:tabs>
                    <w:rPr>
                      <w:kern w:val="2"/>
                      <w:lang w:val="en-US"/>
                    </w:rPr>
                  </w:pPr>
                  <w:r>
                    <w:rPr>
                      <w:rFonts w:hint="eastAsia"/>
                      <w:kern w:val="2"/>
                      <w:lang w:val="en-US"/>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HQ1-6-2</w:t>
                  </w:r>
                </w:p>
              </w:tc>
              <w:tc>
                <w:tcPr>
                  <w:tcW w:w="1207" w:type="pct"/>
                  <w:vAlign w:val="center"/>
                </w:tcPr>
                <w:p>
                  <w:pPr>
                    <w:pStyle w:val="43"/>
                    <w:tabs>
                      <w:tab w:val="left" w:pos="5530"/>
                    </w:tabs>
                    <w:rPr>
                      <w:kern w:val="2"/>
                      <w:lang w:val="en-US"/>
                    </w:rPr>
                  </w:pPr>
                  <w:r>
                    <w:rPr>
                      <w:rFonts w:hint="eastAsia"/>
                      <w:kern w:val="2"/>
                      <w:lang w:val="en-US"/>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HQ1-6-3</w:t>
                  </w:r>
                </w:p>
              </w:tc>
              <w:tc>
                <w:tcPr>
                  <w:tcW w:w="1207" w:type="pct"/>
                  <w:vAlign w:val="center"/>
                </w:tcPr>
                <w:p>
                  <w:pPr>
                    <w:pStyle w:val="43"/>
                    <w:tabs>
                      <w:tab w:val="left" w:pos="5530"/>
                    </w:tabs>
                    <w:rPr>
                      <w:kern w:val="2"/>
                      <w:lang w:val="en-US"/>
                    </w:rPr>
                  </w:pPr>
                  <w:r>
                    <w:rPr>
                      <w:rFonts w:hint="eastAsia"/>
                      <w:kern w:val="2"/>
                      <w:lang w:val="en-US"/>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HQ1-6-4</w:t>
                  </w:r>
                </w:p>
              </w:tc>
              <w:tc>
                <w:tcPr>
                  <w:tcW w:w="1207" w:type="pct"/>
                  <w:vAlign w:val="center"/>
                </w:tcPr>
                <w:p>
                  <w:pPr>
                    <w:pStyle w:val="43"/>
                    <w:tabs>
                      <w:tab w:val="left" w:pos="5530"/>
                    </w:tabs>
                    <w:rPr>
                      <w:kern w:val="2"/>
                      <w:lang w:val="en-US"/>
                    </w:rPr>
                  </w:pPr>
                  <w:r>
                    <w:rPr>
                      <w:rFonts w:hint="eastAsia"/>
                      <w:kern w:val="2"/>
                      <w:lang w:val="en-US"/>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1061" w:type="pct"/>
                  <w:vMerge w:val="continue"/>
                  <w:vAlign w:val="center"/>
                </w:tcPr>
                <w:p>
                  <w:pPr>
                    <w:pStyle w:val="43"/>
                    <w:tabs>
                      <w:tab w:val="left" w:pos="5530"/>
                    </w:tabs>
                    <w:rPr>
                      <w:kern w:val="2"/>
                      <w:lang w:val="en-US"/>
                    </w:rPr>
                  </w:pPr>
                </w:p>
              </w:tc>
              <w:tc>
                <w:tcPr>
                  <w:tcW w:w="1461" w:type="pct"/>
                  <w:vMerge w:val="restart"/>
                  <w:vAlign w:val="center"/>
                </w:tcPr>
                <w:p>
                  <w:pPr>
                    <w:pStyle w:val="43"/>
                    <w:tabs>
                      <w:tab w:val="left" w:pos="5530"/>
                    </w:tabs>
                    <w:rPr>
                      <w:kern w:val="2"/>
                      <w:lang w:val="en-US"/>
                    </w:rPr>
                  </w:pPr>
                  <w:r>
                    <w:rPr>
                      <w:rFonts w:hint="eastAsia"/>
                      <w:kern w:val="2"/>
                      <w:lang w:val="en-US"/>
                    </w:rPr>
                    <w:t>2020-07-02</w:t>
                  </w:r>
                </w:p>
              </w:tc>
              <w:tc>
                <w:tcPr>
                  <w:tcW w:w="1270" w:type="pct"/>
                  <w:vAlign w:val="center"/>
                </w:tcPr>
                <w:p>
                  <w:pPr>
                    <w:pStyle w:val="43"/>
                    <w:tabs>
                      <w:tab w:val="left" w:pos="5530"/>
                    </w:tabs>
                    <w:rPr>
                      <w:kern w:val="2"/>
                      <w:lang w:val="en-US"/>
                    </w:rPr>
                  </w:pPr>
                  <w:r>
                    <w:rPr>
                      <w:rFonts w:hint="eastAsia"/>
                      <w:kern w:val="2"/>
                      <w:lang w:val="en-US"/>
                    </w:rPr>
                    <w:t>HQ1-7-1</w:t>
                  </w:r>
                </w:p>
              </w:tc>
              <w:tc>
                <w:tcPr>
                  <w:tcW w:w="1207" w:type="pct"/>
                  <w:vAlign w:val="center"/>
                </w:tcPr>
                <w:p>
                  <w:pPr>
                    <w:pStyle w:val="43"/>
                    <w:tabs>
                      <w:tab w:val="left" w:pos="5530"/>
                    </w:tabs>
                    <w:rPr>
                      <w:kern w:val="2"/>
                      <w:lang w:val="en-US"/>
                    </w:rPr>
                  </w:pPr>
                  <w:r>
                    <w:rPr>
                      <w:rFonts w:hint="eastAsia"/>
                      <w:kern w:val="2"/>
                      <w:lang w:val="en-US"/>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HQ1-7-2</w:t>
                  </w:r>
                </w:p>
              </w:tc>
              <w:tc>
                <w:tcPr>
                  <w:tcW w:w="1207" w:type="pct"/>
                  <w:vAlign w:val="center"/>
                </w:tcPr>
                <w:p>
                  <w:pPr>
                    <w:pStyle w:val="43"/>
                    <w:tabs>
                      <w:tab w:val="left" w:pos="5530"/>
                    </w:tabs>
                    <w:rPr>
                      <w:kern w:val="2"/>
                      <w:lang w:val="en-US"/>
                    </w:rPr>
                  </w:pPr>
                  <w:r>
                    <w:rPr>
                      <w:rFonts w:hint="eastAsia"/>
                      <w:kern w:val="2"/>
                      <w:lang w:val="en-US"/>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HQ1-7-3</w:t>
                  </w:r>
                </w:p>
              </w:tc>
              <w:tc>
                <w:tcPr>
                  <w:tcW w:w="1207" w:type="pct"/>
                  <w:vAlign w:val="center"/>
                </w:tcPr>
                <w:p>
                  <w:pPr>
                    <w:pStyle w:val="43"/>
                    <w:tabs>
                      <w:tab w:val="left" w:pos="5530"/>
                    </w:tabs>
                    <w:rPr>
                      <w:kern w:val="2"/>
                      <w:lang w:val="en-US"/>
                    </w:rPr>
                  </w:pPr>
                  <w:r>
                    <w:rPr>
                      <w:rFonts w:hint="eastAsia"/>
                      <w:kern w:val="2"/>
                      <w:lang w:val="en-US"/>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exact"/>
              </w:trPr>
              <w:tc>
                <w:tcPr>
                  <w:tcW w:w="1061" w:type="pct"/>
                  <w:vMerge w:val="continue"/>
                  <w:vAlign w:val="center"/>
                </w:tcPr>
                <w:p>
                  <w:pPr>
                    <w:pStyle w:val="43"/>
                    <w:tabs>
                      <w:tab w:val="left" w:pos="5530"/>
                    </w:tabs>
                    <w:rPr>
                      <w:kern w:val="2"/>
                      <w:lang w:val="en-US"/>
                    </w:rPr>
                  </w:pPr>
                </w:p>
              </w:tc>
              <w:tc>
                <w:tcPr>
                  <w:tcW w:w="1461" w:type="pct"/>
                  <w:vMerge w:val="continue"/>
                  <w:vAlign w:val="center"/>
                </w:tcPr>
                <w:p>
                  <w:pPr>
                    <w:pStyle w:val="43"/>
                    <w:tabs>
                      <w:tab w:val="left" w:pos="5530"/>
                    </w:tabs>
                    <w:rPr>
                      <w:kern w:val="2"/>
                      <w:lang w:val="en-US"/>
                    </w:rPr>
                  </w:pPr>
                </w:p>
              </w:tc>
              <w:tc>
                <w:tcPr>
                  <w:tcW w:w="1270" w:type="pct"/>
                  <w:vAlign w:val="center"/>
                </w:tcPr>
                <w:p>
                  <w:pPr>
                    <w:pStyle w:val="43"/>
                    <w:tabs>
                      <w:tab w:val="left" w:pos="5530"/>
                    </w:tabs>
                    <w:rPr>
                      <w:kern w:val="2"/>
                      <w:lang w:val="en-US"/>
                    </w:rPr>
                  </w:pPr>
                  <w:r>
                    <w:rPr>
                      <w:rFonts w:hint="eastAsia"/>
                      <w:kern w:val="2"/>
                      <w:lang w:val="en-US"/>
                    </w:rPr>
                    <w:t>HQ1-7-4</w:t>
                  </w:r>
                </w:p>
              </w:tc>
              <w:tc>
                <w:tcPr>
                  <w:tcW w:w="1207" w:type="pct"/>
                  <w:vAlign w:val="center"/>
                </w:tcPr>
                <w:p>
                  <w:pPr>
                    <w:pStyle w:val="43"/>
                    <w:tabs>
                      <w:tab w:val="left" w:pos="5530"/>
                    </w:tabs>
                    <w:rPr>
                      <w:kern w:val="2"/>
                      <w:lang w:val="en-US"/>
                    </w:rPr>
                  </w:pPr>
                  <w:r>
                    <w:rPr>
                      <w:rFonts w:hint="eastAsia"/>
                      <w:kern w:val="2"/>
                      <w:lang w:val="en-US"/>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3792" w:type="pct"/>
                  <w:gridSpan w:val="3"/>
                  <w:vAlign w:val="center"/>
                </w:tcPr>
                <w:p>
                  <w:pPr>
                    <w:pStyle w:val="43"/>
                    <w:tabs>
                      <w:tab w:val="left" w:pos="5530"/>
                    </w:tabs>
                    <w:rPr>
                      <w:kern w:val="2"/>
                      <w:lang w:val="en-US"/>
                    </w:rPr>
                  </w:pPr>
                  <w:r>
                    <w:rPr>
                      <w:rFonts w:hint="eastAsia"/>
                      <w:kern w:val="2"/>
                      <w:lang w:val="en-US"/>
                    </w:rPr>
                    <w:t>标准值</w:t>
                  </w:r>
                </w:p>
              </w:tc>
              <w:tc>
                <w:tcPr>
                  <w:tcW w:w="1207" w:type="pct"/>
                  <w:vAlign w:val="center"/>
                </w:tcPr>
                <w:p>
                  <w:pPr>
                    <w:pStyle w:val="43"/>
                    <w:tabs>
                      <w:tab w:val="left" w:pos="5530"/>
                    </w:tabs>
                    <w:rPr>
                      <w:kern w:val="2"/>
                      <w:lang w:val="en-US"/>
                    </w:rPr>
                  </w:pPr>
                  <w:r>
                    <w:rPr>
                      <w:rFonts w:hint="eastAsia"/>
                      <w:kern w:val="2"/>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3792" w:type="pct"/>
                  <w:gridSpan w:val="3"/>
                  <w:vAlign w:val="center"/>
                </w:tcPr>
                <w:p>
                  <w:pPr>
                    <w:pStyle w:val="43"/>
                    <w:tabs>
                      <w:tab w:val="left" w:pos="5530"/>
                    </w:tabs>
                    <w:rPr>
                      <w:kern w:val="2"/>
                      <w:lang w:val="en-US"/>
                    </w:rPr>
                  </w:pPr>
                  <w:r>
                    <w:rPr>
                      <w:rFonts w:hint="eastAsia"/>
                      <w:kern w:val="2"/>
                      <w:lang w:val="en-US"/>
                    </w:rPr>
                    <w:t>超标倍数</w:t>
                  </w:r>
                </w:p>
              </w:tc>
              <w:tc>
                <w:tcPr>
                  <w:tcW w:w="1207" w:type="pct"/>
                  <w:vAlign w:val="center"/>
                </w:tcPr>
                <w:p>
                  <w:pPr>
                    <w:pStyle w:val="43"/>
                    <w:tabs>
                      <w:tab w:val="left" w:pos="5530"/>
                    </w:tabs>
                    <w:rPr>
                      <w:kern w:val="2"/>
                      <w:lang w:val="en-US"/>
                    </w:rPr>
                  </w:pPr>
                  <w:r>
                    <w:rPr>
                      <w:rFonts w:hint="eastAsia"/>
                      <w:kern w:val="2"/>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3792" w:type="pct"/>
                  <w:gridSpan w:val="3"/>
                  <w:vAlign w:val="center"/>
                </w:tcPr>
                <w:p>
                  <w:pPr>
                    <w:pStyle w:val="43"/>
                    <w:tabs>
                      <w:tab w:val="left" w:pos="5530"/>
                    </w:tabs>
                    <w:rPr>
                      <w:kern w:val="2"/>
                      <w:lang w:val="en-US"/>
                    </w:rPr>
                  </w:pPr>
                  <w:r>
                    <w:rPr>
                      <w:rFonts w:hint="eastAsia"/>
                      <w:kern w:val="2"/>
                      <w:lang w:val="en-US"/>
                    </w:rPr>
                    <w:t>达标情况</w:t>
                  </w:r>
                </w:p>
              </w:tc>
              <w:tc>
                <w:tcPr>
                  <w:tcW w:w="1207" w:type="pct"/>
                  <w:vAlign w:val="center"/>
                </w:tcPr>
                <w:p>
                  <w:pPr>
                    <w:pStyle w:val="43"/>
                    <w:tabs>
                      <w:tab w:val="left" w:pos="5530"/>
                    </w:tabs>
                    <w:rPr>
                      <w:kern w:val="2"/>
                      <w:lang w:val="en-US"/>
                    </w:rPr>
                  </w:pPr>
                  <w:r>
                    <w:rPr>
                      <w:rFonts w:hint="eastAsia"/>
                      <w:kern w:val="2"/>
                      <w:lang w:val="en-US"/>
                    </w:rPr>
                    <w:t>达标</w:t>
                  </w:r>
                </w:p>
              </w:tc>
            </w:tr>
          </w:tbl>
          <w:p>
            <w:pPr>
              <w:pStyle w:val="14"/>
              <w:ind w:firstLine="105" w:firstLineChars="50"/>
              <w:contextualSpacing/>
              <w:rPr>
                <w:b/>
                <w:color w:val="000000"/>
                <w:szCs w:val="28"/>
                <w:lang w:val="en-US"/>
              </w:rPr>
            </w:pPr>
            <w:r>
              <w:rPr>
                <w:color w:val="000000"/>
                <w:kern w:val="2"/>
                <w:sz w:val="21"/>
                <w:szCs w:val="21"/>
                <w:lang w:val="en-US"/>
              </w:rPr>
              <w:t>注：</w:t>
            </w:r>
            <w:r>
              <w:rPr>
                <w:rFonts w:hint="eastAsia"/>
                <w:color w:val="000000"/>
                <w:kern w:val="2"/>
                <w:sz w:val="21"/>
                <w:szCs w:val="21"/>
                <w:lang w:val="en-US"/>
              </w:rPr>
              <w:t>“检出限+L”表示检测结果低于分析方法检出限</w:t>
            </w:r>
            <w:r>
              <w:rPr>
                <w:color w:val="000000"/>
                <w:kern w:val="2"/>
                <w:sz w:val="21"/>
                <w:szCs w:val="21"/>
                <w:lang w:val="en-US"/>
              </w:rPr>
              <w:t>。</w:t>
            </w:r>
          </w:p>
          <w:p>
            <w:pPr>
              <w:snapToGrid w:val="0"/>
              <w:spacing w:line="360" w:lineRule="auto"/>
              <w:ind w:firstLine="480"/>
              <w:rPr>
                <w:rFonts w:ascii="Times New Roman" w:hAnsi="Times New Roman" w:cs="Times New Roman"/>
              </w:rPr>
            </w:pPr>
            <w:r>
              <w:rPr>
                <w:rFonts w:ascii="Times New Roman" w:hAnsi="Times New Roman" w:cs="Times New Roman"/>
              </w:rPr>
              <w:t>根据监测结果分析，监测点非甲烷总烃浓度</w:t>
            </w:r>
            <w:r>
              <w:rPr>
                <w:rFonts w:ascii="Times New Roman" w:hAnsi="Times New Roman" w:cs="Times New Roman"/>
                <w:color w:val="000000"/>
              </w:rPr>
              <w:t>满足</w:t>
            </w:r>
            <w:r>
              <w:rPr>
                <w:rFonts w:hint="eastAsia" w:hAnsi="Times New Roman" w:cs="Times New Roman"/>
              </w:rPr>
              <w:t>《大气污染物综合排放标准详解》的浓度限值要求。</w:t>
            </w:r>
            <w:r>
              <w:rPr>
                <w:rFonts w:ascii="Times New Roman" w:hAnsi="Times New Roman" w:cs="Times New Roman"/>
                <w:lang w:val="en-US" w:bidi="ar-SA"/>
              </w:rPr>
              <w:drawing>
                <wp:inline distT="0" distB="0" distL="114300" distR="114300">
                  <wp:extent cx="5169535" cy="3890010"/>
                  <wp:effectExtent l="0" t="0" r="12065" b="15240"/>
                  <wp:docPr id="2" name="图片 2" descr="5af0b9784d8f2063beb5d399a91c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af0b9784d8f2063beb5d399a91ced3"/>
                          <pic:cNvPicPr>
                            <a:picLocks noChangeAspect="1"/>
                          </pic:cNvPicPr>
                        </pic:nvPicPr>
                        <pic:blipFill>
                          <a:blip r:embed="rId25"/>
                          <a:stretch>
                            <a:fillRect/>
                          </a:stretch>
                        </pic:blipFill>
                        <pic:spPr>
                          <a:xfrm>
                            <a:off x="0" y="0"/>
                            <a:ext cx="5169535" cy="3890010"/>
                          </a:xfrm>
                          <a:prstGeom prst="rect">
                            <a:avLst/>
                          </a:prstGeom>
                        </pic:spPr>
                      </pic:pic>
                    </a:graphicData>
                  </a:graphic>
                </wp:inline>
              </w:drawing>
            </w:r>
            <w:r>
              <w:rPr>
                <w:rFonts w:ascii="Times New Roman" w:hAnsi="Times New Roman" w:cs="Times New Roman"/>
                <w:lang w:val="en-US" w:bidi="ar-SA"/>
              </w:rPr>
              <mc:AlternateContent>
                <mc:Choice Requires="wps">
                  <w:drawing>
                    <wp:anchor distT="0" distB="0" distL="114300" distR="114300" simplePos="0" relativeHeight="251662336" behindDoc="0" locked="0" layoutInCell="1" allowOverlap="1">
                      <wp:simplePos x="0" y="0"/>
                      <wp:positionH relativeFrom="column">
                        <wp:posOffset>913765</wp:posOffset>
                      </wp:positionH>
                      <wp:positionV relativeFrom="paragraph">
                        <wp:posOffset>521335</wp:posOffset>
                      </wp:positionV>
                      <wp:extent cx="1362075" cy="3238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1.95pt;margin-top:41.05pt;height:25.5pt;width:107.25pt;z-index:251662336;mso-width-relative:page;mso-height-relative:page;" filled="f" stroked="f" coordsize="21600,21600" o:gfxdata="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emLzTVAAAACgEAAA8AAAAAAAAAAQAgAAAAIgAAAGRycy9kb3du&#10;cmV2LnhtbFBLAQIUABQAAAAIAIdO4kADe8x0OwIAAGgEAAAOAAAAAAAAAAEAIAAAACQBAABkcnMv&#10;ZTJvRG9jLnhtbFBLBQYAAAAABgAGAFkBAADRBQAAAAA=&#10;">
                      <v:fill on="f" focussize="0,0"/>
                      <v:stroke on="f" weight="0.5pt"/>
                      <v:imagedata o:title=""/>
                      <o:lock v:ext="edit" aspectratio="f"/>
                      <v:textbox style="mso-fit-shape-to-text:t;">
                        <w:txbxContent>
                          <w:p/>
                        </w:txbxContent>
                      </v:textbox>
                    </v:shape>
                  </w:pict>
                </mc:Fallback>
              </mc:AlternateContent>
            </w:r>
          </w:p>
          <w:p>
            <w:pPr>
              <w:pStyle w:val="17"/>
              <w:adjustRightInd w:val="0"/>
              <w:snapToGrid w:val="0"/>
              <w:ind w:firstLine="422"/>
              <w:jc w:val="center"/>
              <w:rPr>
                <w:rFonts w:ascii="Times New Roman" w:hAnsi="Times New Roman" w:cs="Times New Roman"/>
                <w:b/>
                <w:bCs/>
                <w:color w:val="000000"/>
                <w:szCs w:val="21"/>
              </w:rPr>
            </w:pPr>
            <w:r>
              <w:rPr>
                <w:rFonts w:ascii="Times New Roman" w:hAnsi="Times New Roman" w:cs="Times New Roman"/>
                <w:b/>
                <w:bCs/>
                <w:color w:val="000000"/>
                <w:szCs w:val="21"/>
              </w:rPr>
              <w:t>图3-</w:t>
            </w:r>
            <w:r>
              <w:rPr>
                <w:rFonts w:ascii="Times New Roman" w:hAnsi="Times New Roman" w:cs="Times New Roman"/>
                <w:b/>
                <w:bCs/>
                <w:color w:val="000000"/>
                <w:szCs w:val="21"/>
                <w:lang w:val="en-US"/>
              </w:rPr>
              <w:t>3</w:t>
            </w:r>
            <w:r>
              <w:rPr>
                <w:rFonts w:ascii="Times New Roman" w:hAnsi="Times New Roman" w:cs="Times New Roman"/>
                <w:b/>
                <w:bCs/>
                <w:color w:val="000000"/>
                <w:szCs w:val="21"/>
              </w:rPr>
              <w:t>与引用项目位置关系图</w:t>
            </w:r>
          </w:p>
          <w:p>
            <w:pPr>
              <w:snapToGrid w:val="0"/>
              <w:spacing w:line="360" w:lineRule="auto"/>
              <w:ind w:firstLine="480"/>
              <w:jc w:val="both"/>
              <w:rPr>
                <w:lang w:val="en-US"/>
              </w:rPr>
            </w:pPr>
            <w:r>
              <w:rPr>
                <w:rFonts w:hint="eastAsia" w:ascii="Times New Roman" w:hAnsi="Times New Roman" w:cs="Times New Roman"/>
                <w:lang w:val="en-US"/>
              </w:rPr>
              <w:t>②TSP</w:t>
            </w:r>
          </w:p>
          <w:p>
            <w:pPr>
              <w:snapToGrid w:val="0"/>
              <w:spacing w:line="360" w:lineRule="auto"/>
              <w:ind w:firstLine="480"/>
              <w:jc w:val="both"/>
              <w:rPr>
                <w:rFonts w:ascii="Times New Roman" w:hAnsi="Times New Roman" w:cs="Times New Roman"/>
              </w:rPr>
            </w:pPr>
            <w:r>
              <w:rPr>
                <w:rFonts w:ascii="Times New Roman" w:hAnsi="Times New Roman" w:cs="Times New Roman"/>
              </w:rPr>
              <w:t>项目</w:t>
            </w:r>
            <w:r>
              <w:rPr>
                <w:rFonts w:hint="eastAsia" w:ascii="Times New Roman" w:hAnsi="Times New Roman" w:cs="Times New Roman"/>
                <w:lang w:val="en-US"/>
              </w:rPr>
              <w:t>TSP</w:t>
            </w:r>
            <w:r>
              <w:rPr>
                <w:rFonts w:ascii="Times New Roman" w:hAnsi="Times New Roman" w:cs="Times New Roman"/>
              </w:rPr>
              <w:t>现状数据引用</w:t>
            </w:r>
            <w:r>
              <w:rPr>
                <w:rFonts w:hint="eastAsia" w:ascii="Times New Roman" w:hAnsi="Times New Roman" w:cs="Times New Roman"/>
                <w:lang w:val="en-US"/>
              </w:rPr>
              <w:t>云南省晋宁区晋宁工业园区</w:t>
            </w:r>
            <w:r>
              <w:rPr>
                <w:rFonts w:ascii="Times New Roman" w:hAnsi="Times New Roman" w:cs="Times New Roman"/>
              </w:rPr>
              <w:t>晋城基地内</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ascii="Times New Roman" w:hAnsi="Times New Roman" w:cs="Times New Roman"/>
              </w:rPr>
              <w:t>委托</w:t>
            </w:r>
            <w:r>
              <w:rPr>
                <w:rFonts w:hint="eastAsia" w:ascii="Times New Roman" w:hAnsi="Times New Roman" w:cs="Times New Roman"/>
                <w:lang w:val="en-US"/>
              </w:rPr>
              <w:t>云南建牛生物科技有限公司</w:t>
            </w:r>
            <w:r>
              <w:rPr>
                <w:rFonts w:ascii="Times New Roman" w:hAnsi="Times New Roman" w:cs="Times New Roman"/>
              </w:rPr>
              <w:t>对</w:t>
            </w:r>
            <w:r>
              <w:rPr>
                <w:rFonts w:hint="eastAsia" w:ascii="Times New Roman" w:hAnsi="Times New Roman" w:cs="Times New Roman"/>
                <w:lang w:val="en-US"/>
              </w:rPr>
              <w:t>新型稀贵金属合金材料类生产项目</w:t>
            </w:r>
            <w:r>
              <w:rPr>
                <w:rFonts w:ascii="Times New Roman" w:hAnsi="Times New Roman" w:cs="Times New Roman"/>
              </w:rPr>
              <w:t>项目区厂址中心进行的监测数据（见附件</w:t>
            </w:r>
            <w:r>
              <w:rPr>
                <w:rFonts w:hint="eastAsia" w:ascii="Times New Roman" w:hAnsi="Times New Roman" w:cs="Times New Roman"/>
                <w:lang w:val="en-US"/>
              </w:rPr>
              <w:t>10</w:t>
            </w:r>
            <w:r>
              <w:rPr>
                <w:rFonts w:ascii="Times New Roman" w:hAnsi="Times New Roman" w:cs="Times New Roman"/>
              </w:rPr>
              <w:t>）。</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hint="eastAsia" w:ascii="Times New Roman" w:hAnsi="Times New Roman" w:cs="Times New Roman"/>
                <w:lang w:val="en-US"/>
              </w:rPr>
              <w:t>新型稀贵金属合金材料类生产项目</w:t>
            </w:r>
            <w:r>
              <w:rPr>
                <w:rFonts w:ascii="Times New Roman" w:hAnsi="Times New Roman" w:cs="Times New Roman"/>
              </w:rPr>
              <w:t>位于本项目</w:t>
            </w:r>
            <w:r>
              <w:rPr>
                <w:rFonts w:hint="eastAsia" w:ascii="Times New Roman" w:hAnsi="Times New Roman" w:cs="Times New Roman"/>
                <w:lang w:val="en-US"/>
              </w:rPr>
              <w:t>东南</w:t>
            </w:r>
            <w:r>
              <w:rPr>
                <w:rFonts w:ascii="Times New Roman" w:hAnsi="Times New Roman" w:cs="Times New Roman"/>
              </w:rPr>
              <w:t>方向约</w:t>
            </w:r>
            <w:r>
              <w:rPr>
                <w:rFonts w:hint="eastAsia" w:ascii="Times New Roman" w:hAnsi="Times New Roman" w:cs="Times New Roman"/>
                <w:lang w:val="en-US"/>
              </w:rPr>
              <w:t>82</w:t>
            </w:r>
            <w:r>
              <w:rPr>
                <w:rFonts w:ascii="Times New Roman" w:hAnsi="Times New Roman" w:cs="Times New Roman"/>
              </w:rPr>
              <w:t>m，</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hint="eastAsia" w:ascii="Times New Roman" w:hAnsi="Times New Roman" w:cs="Times New Roman"/>
                <w:lang w:val="en-US"/>
              </w:rPr>
              <w:t>新型稀贵金属合金材料类生产项目</w:t>
            </w:r>
            <w:r>
              <w:rPr>
                <w:rFonts w:ascii="Times New Roman" w:hAnsi="Times New Roman" w:cs="Times New Roman"/>
                <w:lang w:val="en-US"/>
              </w:rPr>
              <w:t>污染因子为</w:t>
            </w:r>
            <w:r>
              <w:rPr>
                <w:rFonts w:hint="eastAsia" w:ascii="Times New Roman" w:hAnsi="Times New Roman" w:cs="Times New Roman"/>
                <w:lang w:val="en-US"/>
              </w:rPr>
              <w:t>TSP</w:t>
            </w:r>
            <w:r>
              <w:rPr>
                <w:rFonts w:ascii="Times New Roman" w:hAnsi="Times New Roman" w:cs="Times New Roman"/>
                <w:lang w:val="en-US"/>
              </w:rPr>
              <w:t>，与本项目污染因子相同</w:t>
            </w:r>
            <w:r>
              <w:rPr>
                <w:rFonts w:ascii="Times New Roman" w:hAnsi="Times New Roman" w:cs="Times New Roman"/>
              </w:rPr>
              <w:t>。因此，引用</w:t>
            </w:r>
            <w:r>
              <w:rPr>
                <w:rFonts w:hint="eastAsia" w:ascii="Times New Roman" w:hAnsi="Times New Roman" w:cs="Times New Roman"/>
                <w:lang w:val="en-US"/>
              </w:rPr>
              <w:t>云南省晋宁区晋宁工业园区</w:t>
            </w:r>
            <w:r>
              <w:rPr>
                <w:rFonts w:ascii="Times New Roman" w:hAnsi="Times New Roman" w:cs="Times New Roman"/>
              </w:rPr>
              <w:t>晋城基地《</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hint="eastAsia" w:ascii="Times New Roman" w:hAnsi="Times New Roman" w:cs="Times New Roman"/>
                <w:lang w:val="en-US"/>
              </w:rPr>
              <w:t>新型稀贵金属合金材料类生产项目</w:t>
            </w:r>
            <w:r>
              <w:rPr>
                <w:rFonts w:ascii="Times New Roman" w:hAnsi="Times New Roman" w:cs="Times New Roman"/>
              </w:rPr>
              <w:t>环境影响报告表》中环境质量现状调查的监测数据可行，监测时间为2020年</w:t>
            </w:r>
            <w:r>
              <w:rPr>
                <w:rFonts w:hint="eastAsia" w:ascii="Times New Roman" w:hAnsi="Times New Roman" w:cs="Times New Roman"/>
                <w:lang w:val="en-US"/>
              </w:rPr>
              <w:t>9</w:t>
            </w:r>
            <w:r>
              <w:rPr>
                <w:rFonts w:ascii="Times New Roman" w:hAnsi="Times New Roman" w:cs="Times New Roman"/>
              </w:rPr>
              <w:t>月2</w:t>
            </w:r>
            <w:r>
              <w:rPr>
                <w:rFonts w:hint="eastAsia" w:ascii="Times New Roman" w:hAnsi="Times New Roman" w:cs="Times New Roman"/>
                <w:lang w:val="en-US"/>
              </w:rPr>
              <w:t>1</w:t>
            </w:r>
            <w:r>
              <w:rPr>
                <w:rFonts w:ascii="Times New Roman" w:hAnsi="Times New Roman" w:cs="Times New Roman"/>
              </w:rPr>
              <w:t>日至</w:t>
            </w:r>
            <w:r>
              <w:rPr>
                <w:rFonts w:hint="eastAsia" w:ascii="Times New Roman" w:hAnsi="Times New Roman" w:cs="Times New Roman"/>
                <w:lang w:val="en-US"/>
              </w:rPr>
              <w:t>9</w:t>
            </w:r>
            <w:r>
              <w:rPr>
                <w:rFonts w:ascii="Times New Roman" w:hAnsi="Times New Roman" w:cs="Times New Roman"/>
              </w:rPr>
              <w:t>月</w:t>
            </w:r>
            <w:r>
              <w:rPr>
                <w:rFonts w:hint="eastAsia" w:ascii="Times New Roman" w:hAnsi="Times New Roman" w:cs="Times New Roman"/>
                <w:lang w:val="en-US"/>
              </w:rPr>
              <w:t>27</w:t>
            </w:r>
            <w:r>
              <w:rPr>
                <w:rFonts w:ascii="Times New Roman" w:hAnsi="Times New Roman" w:cs="Times New Roman"/>
              </w:rPr>
              <w:t>日，监测结果见表3-</w:t>
            </w:r>
            <w:r>
              <w:rPr>
                <w:rFonts w:hint="eastAsia" w:ascii="Times New Roman" w:hAnsi="Times New Roman" w:cs="Times New Roman"/>
                <w:lang w:val="en-US"/>
              </w:rPr>
              <w:t>3</w:t>
            </w:r>
            <w:r>
              <w:rPr>
                <w:rFonts w:ascii="Times New Roman" w:hAnsi="Times New Roman" w:cs="Times New Roman"/>
              </w:rPr>
              <w:t>。本项目区与引用项目位置见下图3-</w:t>
            </w:r>
            <w:r>
              <w:rPr>
                <w:rFonts w:hint="eastAsia" w:ascii="Times New Roman" w:hAnsi="Times New Roman" w:cs="Times New Roman"/>
                <w:lang w:val="en-US"/>
              </w:rPr>
              <w:t>4</w:t>
            </w:r>
            <w:r>
              <w:rPr>
                <w:rFonts w:ascii="Times New Roman" w:hAnsi="Times New Roman" w:cs="Times New Roman"/>
              </w:rPr>
              <w:t>。</w:t>
            </w:r>
          </w:p>
          <w:p>
            <w:pPr>
              <w:snapToGrid w:val="0"/>
              <w:spacing w:line="360" w:lineRule="auto"/>
              <w:ind w:firstLine="482"/>
              <w:rPr>
                <w:rFonts w:ascii="Times New Roman" w:hAnsi="Times New Roman" w:cs="Times New Roman"/>
              </w:rPr>
            </w:pPr>
            <w:r>
              <w:rPr>
                <w:rFonts w:ascii="Times New Roman" w:hAnsi="Times New Roman" w:cs="Times New Roman"/>
              </w:rPr>
              <w:t>①监测项目：</w:t>
            </w:r>
            <w:r>
              <w:rPr>
                <w:rFonts w:hint="eastAsia" w:ascii="Times New Roman" w:hAnsi="Times New Roman" w:cs="Times New Roman"/>
                <w:lang w:val="en-US"/>
              </w:rPr>
              <w:t>TSP</w:t>
            </w:r>
          </w:p>
          <w:p>
            <w:pPr>
              <w:snapToGrid w:val="0"/>
              <w:spacing w:line="360" w:lineRule="auto"/>
              <w:ind w:firstLine="482"/>
              <w:rPr>
                <w:rFonts w:ascii="Times New Roman" w:hAnsi="Times New Roman" w:cs="Times New Roman"/>
              </w:rPr>
            </w:pPr>
            <w:r>
              <w:rPr>
                <w:rFonts w:ascii="Times New Roman" w:hAnsi="Times New Roman" w:cs="Times New Roman"/>
              </w:rPr>
              <w:t>②监测时间：2020年</w:t>
            </w:r>
            <w:r>
              <w:rPr>
                <w:rFonts w:hint="eastAsia" w:ascii="Times New Roman" w:hAnsi="Times New Roman" w:cs="Times New Roman"/>
                <w:lang w:val="en-US"/>
              </w:rPr>
              <w:t>9</w:t>
            </w:r>
            <w:r>
              <w:rPr>
                <w:rFonts w:ascii="Times New Roman" w:hAnsi="Times New Roman" w:cs="Times New Roman"/>
              </w:rPr>
              <w:t>月2</w:t>
            </w:r>
            <w:r>
              <w:rPr>
                <w:rFonts w:hint="eastAsia" w:ascii="Times New Roman" w:hAnsi="Times New Roman" w:cs="Times New Roman"/>
                <w:lang w:val="en-US"/>
              </w:rPr>
              <w:t>1</w:t>
            </w:r>
            <w:r>
              <w:rPr>
                <w:rFonts w:ascii="Times New Roman" w:hAnsi="Times New Roman" w:cs="Times New Roman"/>
              </w:rPr>
              <w:t>日-</w:t>
            </w:r>
            <w:r>
              <w:rPr>
                <w:rFonts w:hint="eastAsia" w:ascii="Times New Roman" w:hAnsi="Times New Roman" w:cs="Times New Roman"/>
                <w:lang w:val="en-US"/>
              </w:rPr>
              <w:t>9</w:t>
            </w:r>
            <w:r>
              <w:rPr>
                <w:rFonts w:ascii="Times New Roman" w:hAnsi="Times New Roman" w:cs="Times New Roman"/>
              </w:rPr>
              <w:t>月</w:t>
            </w:r>
            <w:r>
              <w:rPr>
                <w:rFonts w:hint="eastAsia" w:ascii="Times New Roman" w:hAnsi="Times New Roman" w:cs="Times New Roman"/>
                <w:lang w:val="en-US"/>
              </w:rPr>
              <w:t>27</w:t>
            </w:r>
            <w:r>
              <w:rPr>
                <w:rFonts w:ascii="Times New Roman" w:hAnsi="Times New Roman" w:cs="Times New Roman"/>
              </w:rPr>
              <w:t>日</w:t>
            </w:r>
          </w:p>
          <w:p>
            <w:pPr>
              <w:snapToGrid w:val="0"/>
              <w:spacing w:line="360" w:lineRule="auto"/>
              <w:ind w:firstLine="482"/>
              <w:rPr>
                <w:rFonts w:ascii="Times New Roman" w:hAnsi="Times New Roman" w:cs="Times New Roman"/>
              </w:rPr>
            </w:pPr>
            <w:r>
              <w:rPr>
                <w:rFonts w:ascii="Times New Roman" w:hAnsi="Times New Roman" w:cs="Times New Roman"/>
              </w:rPr>
              <w:t>③监测点位：</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hint="eastAsia" w:ascii="Times New Roman" w:hAnsi="Times New Roman" w:cs="Times New Roman"/>
                <w:lang w:val="en-US"/>
              </w:rPr>
              <w:t>新型稀贵金属合金材料类生产项目</w:t>
            </w:r>
            <w:r>
              <w:rPr>
                <w:rFonts w:ascii="Times New Roman" w:hAnsi="Times New Roman" w:cs="Times New Roman"/>
              </w:rPr>
              <w:t>厂址中心</w:t>
            </w:r>
          </w:p>
          <w:p>
            <w:pPr>
              <w:snapToGrid w:val="0"/>
              <w:spacing w:line="360" w:lineRule="auto"/>
              <w:ind w:firstLine="482"/>
              <w:rPr>
                <w:rFonts w:ascii="Times New Roman" w:hAnsi="Times New Roman" w:cs="Times New Roman"/>
              </w:rPr>
            </w:pPr>
            <w:r>
              <w:rPr>
                <w:rFonts w:ascii="Times New Roman" w:hAnsi="Times New Roman" w:cs="Times New Roman"/>
              </w:rPr>
              <w:t>④监测频率：连续7天</w:t>
            </w:r>
          </w:p>
          <w:p>
            <w:pPr>
              <w:snapToGrid w:val="0"/>
              <w:spacing w:line="360" w:lineRule="auto"/>
              <w:ind w:firstLine="482"/>
              <w:rPr>
                <w:rFonts w:ascii="Times New Roman" w:hAnsi="Times New Roman" w:cs="Times New Roman"/>
              </w:rPr>
            </w:pPr>
            <w:r>
              <w:rPr>
                <w:rFonts w:ascii="Times New Roman" w:hAnsi="Times New Roman" w:cs="Times New Roman"/>
              </w:rPr>
              <w:t>⑤监测结果及评价</w:t>
            </w:r>
          </w:p>
          <w:p>
            <w:pPr>
              <w:pStyle w:val="10"/>
            </w:pPr>
            <w:r>
              <w:t>表3-</w:t>
            </w:r>
            <w:r>
              <w:rPr>
                <w:rFonts w:hint="eastAsia"/>
              </w:rPr>
              <w:t>3</w:t>
            </w:r>
            <w:r>
              <w:t xml:space="preserve"> </w:t>
            </w:r>
            <w:r>
              <w:rPr>
                <w:rFonts w:hint="eastAsia"/>
              </w:rPr>
              <w:t>云南景太科技有限公司TSP日均值检测结果</w:t>
            </w:r>
            <w:r>
              <w:t>：</w:t>
            </w:r>
            <w:r>
              <w:rPr>
                <w:rFonts w:hint="eastAsia"/>
              </w:rPr>
              <w:t>u</w:t>
            </w:r>
            <w:r>
              <w:t>g/m³</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035"/>
              <w:gridCol w:w="1007"/>
              <w:gridCol w:w="807"/>
              <w:gridCol w:w="590"/>
              <w:gridCol w:w="671"/>
              <w:gridCol w:w="603"/>
              <w:gridCol w:w="644"/>
              <w:gridCol w:w="412"/>
              <w:gridCol w:w="219"/>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jc w:val="center"/>
              </w:trPr>
              <w:tc>
                <w:tcPr>
                  <w:tcW w:w="1559" w:type="dxa"/>
                  <w:tcBorders>
                    <w:tl2br w:val="nil"/>
                    <w:tr2bl w:val="nil"/>
                  </w:tcBorders>
                  <w:vAlign w:val="center"/>
                </w:tcPr>
                <w:p>
                  <w:pPr>
                    <w:pStyle w:val="47"/>
                  </w:pPr>
                  <w:r>
                    <w:t>采样点</w:t>
                  </w:r>
                </w:p>
              </w:tc>
              <w:tc>
                <w:tcPr>
                  <w:tcW w:w="1037" w:type="dxa"/>
                  <w:tcBorders>
                    <w:tl2br w:val="nil"/>
                    <w:tr2bl w:val="nil"/>
                  </w:tcBorders>
                  <w:vAlign w:val="center"/>
                </w:tcPr>
                <w:p>
                  <w:pPr>
                    <w:pStyle w:val="47"/>
                  </w:pPr>
                  <w:r>
                    <w:t>采样日期</w:t>
                  </w:r>
                </w:p>
              </w:tc>
              <w:tc>
                <w:tcPr>
                  <w:tcW w:w="1009" w:type="dxa"/>
                  <w:tcBorders>
                    <w:tl2br w:val="nil"/>
                    <w:tr2bl w:val="nil"/>
                  </w:tcBorders>
                  <w:vAlign w:val="center"/>
                </w:tcPr>
                <w:p>
                  <w:pPr>
                    <w:pStyle w:val="47"/>
                  </w:pPr>
                  <w:r>
                    <w:rPr>
                      <w:rFonts w:hint="eastAsia"/>
                    </w:rPr>
                    <w:t>采样点位</w:t>
                  </w:r>
                </w:p>
              </w:tc>
              <w:tc>
                <w:tcPr>
                  <w:tcW w:w="808" w:type="dxa"/>
                  <w:tcBorders>
                    <w:tl2br w:val="nil"/>
                    <w:tr2bl w:val="nil"/>
                  </w:tcBorders>
                  <w:vAlign w:val="center"/>
                </w:tcPr>
                <w:p>
                  <w:pPr>
                    <w:pStyle w:val="47"/>
                  </w:pPr>
                  <w:r>
                    <w:rPr>
                      <w:rFonts w:hint="eastAsia"/>
                    </w:rPr>
                    <w:t>9-21</w:t>
                  </w:r>
                </w:p>
              </w:tc>
              <w:tc>
                <w:tcPr>
                  <w:tcW w:w="591" w:type="dxa"/>
                  <w:tcBorders>
                    <w:tl2br w:val="nil"/>
                    <w:tr2bl w:val="nil"/>
                  </w:tcBorders>
                  <w:vAlign w:val="center"/>
                </w:tcPr>
                <w:p>
                  <w:pPr>
                    <w:pStyle w:val="47"/>
                  </w:pPr>
                  <w:r>
                    <w:rPr>
                      <w:rFonts w:hint="eastAsia"/>
                    </w:rPr>
                    <w:t>9-22</w:t>
                  </w:r>
                </w:p>
              </w:tc>
              <w:tc>
                <w:tcPr>
                  <w:tcW w:w="672" w:type="dxa"/>
                  <w:tcBorders>
                    <w:tl2br w:val="nil"/>
                    <w:tr2bl w:val="nil"/>
                  </w:tcBorders>
                  <w:vAlign w:val="center"/>
                </w:tcPr>
                <w:p>
                  <w:pPr>
                    <w:pStyle w:val="47"/>
                  </w:pPr>
                  <w:r>
                    <w:rPr>
                      <w:rFonts w:hint="eastAsia"/>
                    </w:rPr>
                    <w:t>9-23</w:t>
                  </w:r>
                </w:p>
              </w:tc>
              <w:tc>
                <w:tcPr>
                  <w:tcW w:w="604" w:type="dxa"/>
                  <w:tcBorders>
                    <w:tl2br w:val="nil"/>
                    <w:tr2bl w:val="nil"/>
                  </w:tcBorders>
                  <w:vAlign w:val="center"/>
                </w:tcPr>
                <w:p>
                  <w:pPr>
                    <w:pStyle w:val="47"/>
                  </w:pPr>
                  <w:r>
                    <w:rPr>
                      <w:rFonts w:hint="eastAsia"/>
                    </w:rPr>
                    <w:t>9-24</w:t>
                  </w:r>
                </w:p>
              </w:tc>
              <w:tc>
                <w:tcPr>
                  <w:tcW w:w="645" w:type="dxa"/>
                  <w:tcBorders>
                    <w:tl2br w:val="nil"/>
                    <w:tr2bl w:val="nil"/>
                  </w:tcBorders>
                  <w:vAlign w:val="center"/>
                </w:tcPr>
                <w:p>
                  <w:pPr>
                    <w:pStyle w:val="47"/>
                  </w:pPr>
                  <w:r>
                    <w:rPr>
                      <w:rFonts w:hint="eastAsia"/>
                    </w:rPr>
                    <w:t>9-25</w:t>
                  </w:r>
                </w:p>
              </w:tc>
              <w:tc>
                <w:tcPr>
                  <w:tcW w:w="632" w:type="dxa"/>
                  <w:gridSpan w:val="2"/>
                  <w:tcBorders>
                    <w:tl2br w:val="nil"/>
                    <w:tr2bl w:val="nil"/>
                  </w:tcBorders>
                  <w:vAlign w:val="center"/>
                </w:tcPr>
                <w:p>
                  <w:pPr>
                    <w:pStyle w:val="47"/>
                  </w:pPr>
                  <w:r>
                    <w:rPr>
                      <w:rFonts w:hint="eastAsia"/>
                    </w:rPr>
                    <w:t>9-26</w:t>
                  </w:r>
                </w:p>
              </w:tc>
              <w:tc>
                <w:tcPr>
                  <w:tcW w:w="585" w:type="dxa"/>
                  <w:tcBorders>
                    <w:tl2br w:val="nil"/>
                    <w:tr2bl w:val="nil"/>
                  </w:tcBorders>
                  <w:vAlign w:val="center"/>
                </w:tcPr>
                <w:p>
                  <w:pPr>
                    <w:pStyle w:val="47"/>
                  </w:pPr>
                  <w:r>
                    <w:rPr>
                      <w:rFonts w:hint="eastAsia"/>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559" w:type="dxa"/>
                  <w:vMerge w:val="restart"/>
                  <w:tcBorders>
                    <w:tl2br w:val="nil"/>
                    <w:tr2bl w:val="nil"/>
                  </w:tcBorders>
                  <w:vAlign w:val="center"/>
                </w:tcPr>
                <w:p>
                  <w:pPr>
                    <w:pStyle w:val="47"/>
                    <w:rPr>
                      <w:b w:val="0"/>
                      <w:bCs w:val="0"/>
                    </w:rPr>
                  </w:pPr>
                  <w:r>
                    <w:rPr>
                      <w:rFonts w:hint="eastAsia"/>
                      <w:b w:val="0"/>
                      <w:bCs w:val="0"/>
                    </w:rPr>
                    <w:t>云南景太科技有限公司新型稀贵金属合金材料类生产项目</w:t>
                  </w:r>
                  <w:r>
                    <w:rPr>
                      <w:b w:val="0"/>
                      <w:bCs w:val="0"/>
                    </w:rPr>
                    <w:t>厂址中心</w:t>
                  </w:r>
                </w:p>
              </w:tc>
              <w:tc>
                <w:tcPr>
                  <w:tcW w:w="1037" w:type="dxa"/>
                  <w:vMerge w:val="restart"/>
                  <w:tcBorders>
                    <w:tl2br w:val="nil"/>
                    <w:tr2bl w:val="nil"/>
                  </w:tcBorders>
                  <w:vAlign w:val="center"/>
                </w:tcPr>
                <w:p>
                  <w:pPr>
                    <w:pStyle w:val="47"/>
                    <w:rPr>
                      <w:b w:val="0"/>
                      <w:bCs w:val="0"/>
                    </w:rPr>
                  </w:pPr>
                  <w:r>
                    <w:rPr>
                      <w:rFonts w:hint="eastAsia"/>
                      <w:b w:val="0"/>
                      <w:bCs w:val="0"/>
                    </w:rPr>
                    <w:t>TSP</w:t>
                  </w:r>
                </w:p>
              </w:tc>
              <w:tc>
                <w:tcPr>
                  <w:tcW w:w="1009" w:type="dxa"/>
                  <w:tcBorders>
                    <w:tl2br w:val="nil"/>
                    <w:tr2bl w:val="nil"/>
                  </w:tcBorders>
                  <w:vAlign w:val="center"/>
                </w:tcPr>
                <w:p>
                  <w:pPr>
                    <w:pStyle w:val="47"/>
                    <w:rPr>
                      <w:b w:val="0"/>
                      <w:bCs w:val="0"/>
                    </w:rPr>
                  </w:pPr>
                  <w:r>
                    <w:rPr>
                      <w:rFonts w:hint="eastAsia"/>
                      <w:b w:val="0"/>
                      <w:bCs w:val="0"/>
                    </w:rPr>
                    <w:t>项目区西南侧1#</w:t>
                  </w:r>
                </w:p>
              </w:tc>
              <w:tc>
                <w:tcPr>
                  <w:tcW w:w="808" w:type="dxa"/>
                  <w:tcBorders>
                    <w:tl2br w:val="nil"/>
                    <w:tr2bl w:val="nil"/>
                  </w:tcBorders>
                  <w:vAlign w:val="center"/>
                </w:tcPr>
                <w:p>
                  <w:pPr>
                    <w:pStyle w:val="47"/>
                    <w:rPr>
                      <w:b w:val="0"/>
                      <w:bCs w:val="0"/>
                    </w:rPr>
                  </w:pPr>
                  <w:r>
                    <w:rPr>
                      <w:rFonts w:hint="eastAsia"/>
                      <w:b w:val="0"/>
                      <w:bCs w:val="0"/>
                    </w:rPr>
                    <w:t>85</w:t>
                  </w:r>
                </w:p>
              </w:tc>
              <w:tc>
                <w:tcPr>
                  <w:tcW w:w="591" w:type="dxa"/>
                  <w:tcBorders>
                    <w:tl2br w:val="nil"/>
                    <w:tr2bl w:val="nil"/>
                  </w:tcBorders>
                  <w:vAlign w:val="center"/>
                </w:tcPr>
                <w:p>
                  <w:pPr>
                    <w:pStyle w:val="47"/>
                    <w:rPr>
                      <w:b w:val="0"/>
                      <w:bCs w:val="0"/>
                    </w:rPr>
                  </w:pPr>
                  <w:r>
                    <w:rPr>
                      <w:rFonts w:hint="eastAsia"/>
                      <w:b w:val="0"/>
                      <w:bCs w:val="0"/>
                    </w:rPr>
                    <w:t>90</w:t>
                  </w:r>
                </w:p>
              </w:tc>
              <w:tc>
                <w:tcPr>
                  <w:tcW w:w="672" w:type="dxa"/>
                  <w:tcBorders>
                    <w:tl2br w:val="nil"/>
                    <w:tr2bl w:val="nil"/>
                  </w:tcBorders>
                  <w:vAlign w:val="center"/>
                </w:tcPr>
                <w:p>
                  <w:pPr>
                    <w:pStyle w:val="47"/>
                    <w:rPr>
                      <w:b w:val="0"/>
                      <w:bCs w:val="0"/>
                    </w:rPr>
                  </w:pPr>
                  <w:r>
                    <w:rPr>
                      <w:rFonts w:hint="eastAsia"/>
                      <w:b w:val="0"/>
                      <w:bCs w:val="0"/>
                    </w:rPr>
                    <w:t>83</w:t>
                  </w:r>
                </w:p>
              </w:tc>
              <w:tc>
                <w:tcPr>
                  <w:tcW w:w="604" w:type="dxa"/>
                  <w:tcBorders>
                    <w:tl2br w:val="nil"/>
                    <w:tr2bl w:val="nil"/>
                  </w:tcBorders>
                  <w:vAlign w:val="center"/>
                </w:tcPr>
                <w:p>
                  <w:pPr>
                    <w:pStyle w:val="47"/>
                    <w:rPr>
                      <w:b w:val="0"/>
                      <w:bCs w:val="0"/>
                    </w:rPr>
                  </w:pPr>
                  <w:r>
                    <w:rPr>
                      <w:rFonts w:hint="eastAsia"/>
                      <w:b w:val="0"/>
                      <w:bCs w:val="0"/>
                    </w:rPr>
                    <w:t>75</w:t>
                  </w:r>
                </w:p>
              </w:tc>
              <w:tc>
                <w:tcPr>
                  <w:tcW w:w="645" w:type="dxa"/>
                  <w:tcBorders>
                    <w:tl2br w:val="nil"/>
                    <w:tr2bl w:val="nil"/>
                  </w:tcBorders>
                  <w:vAlign w:val="center"/>
                </w:tcPr>
                <w:p>
                  <w:pPr>
                    <w:pStyle w:val="47"/>
                    <w:rPr>
                      <w:b w:val="0"/>
                      <w:bCs w:val="0"/>
                    </w:rPr>
                  </w:pPr>
                  <w:r>
                    <w:rPr>
                      <w:rFonts w:hint="eastAsia"/>
                      <w:b w:val="0"/>
                      <w:bCs w:val="0"/>
                    </w:rPr>
                    <w:t>81</w:t>
                  </w:r>
                </w:p>
              </w:tc>
              <w:tc>
                <w:tcPr>
                  <w:tcW w:w="632" w:type="dxa"/>
                  <w:gridSpan w:val="2"/>
                  <w:tcBorders>
                    <w:tl2br w:val="nil"/>
                    <w:tr2bl w:val="nil"/>
                  </w:tcBorders>
                  <w:vAlign w:val="center"/>
                </w:tcPr>
                <w:p>
                  <w:pPr>
                    <w:pStyle w:val="47"/>
                    <w:rPr>
                      <w:b w:val="0"/>
                      <w:bCs w:val="0"/>
                    </w:rPr>
                  </w:pPr>
                  <w:r>
                    <w:rPr>
                      <w:rFonts w:hint="eastAsia"/>
                      <w:b w:val="0"/>
                      <w:bCs w:val="0"/>
                    </w:rPr>
                    <w:t>88</w:t>
                  </w:r>
                </w:p>
              </w:tc>
              <w:tc>
                <w:tcPr>
                  <w:tcW w:w="585" w:type="dxa"/>
                  <w:tcBorders>
                    <w:tl2br w:val="nil"/>
                    <w:tr2bl w:val="nil"/>
                  </w:tcBorders>
                  <w:vAlign w:val="center"/>
                </w:tcPr>
                <w:p>
                  <w:pPr>
                    <w:pStyle w:val="47"/>
                    <w:rPr>
                      <w:b w:val="0"/>
                      <w:bCs w:val="0"/>
                    </w:rPr>
                  </w:pPr>
                  <w:r>
                    <w:rPr>
                      <w:rFonts w:hint="eastAsia"/>
                      <w:b w:val="0"/>
                      <w:bCs w:val="0"/>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559" w:type="dxa"/>
                  <w:vMerge w:val="continue"/>
                  <w:tcBorders>
                    <w:tl2br w:val="nil"/>
                    <w:tr2bl w:val="nil"/>
                  </w:tcBorders>
                  <w:vAlign w:val="center"/>
                </w:tcPr>
                <w:p>
                  <w:pPr>
                    <w:pStyle w:val="47"/>
                    <w:rPr>
                      <w:b w:val="0"/>
                      <w:bCs w:val="0"/>
                    </w:rPr>
                  </w:pPr>
                </w:p>
              </w:tc>
              <w:tc>
                <w:tcPr>
                  <w:tcW w:w="1037" w:type="dxa"/>
                  <w:vMerge w:val="continue"/>
                  <w:tcBorders>
                    <w:tl2br w:val="nil"/>
                    <w:tr2bl w:val="nil"/>
                  </w:tcBorders>
                  <w:vAlign w:val="center"/>
                </w:tcPr>
                <w:p>
                  <w:pPr>
                    <w:pStyle w:val="47"/>
                    <w:rPr>
                      <w:b w:val="0"/>
                      <w:bCs w:val="0"/>
                    </w:rPr>
                  </w:pPr>
                </w:p>
              </w:tc>
              <w:tc>
                <w:tcPr>
                  <w:tcW w:w="1009" w:type="dxa"/>
                  <w:tcBorders>
                    <w:tl2br w:val="nil"/>
                    <w:tr2bl w:val="nil"/>
                  </w:tcBorders>
                  <w:vAlign w:val="center"/>
                </w:tcPr>
                <w:p>
                  <w:pPr>
                    <w:pStyle w:val="47"/>
                    <w:rPr>
                      <w:b w:val="0"/>
                      <w:bCs w:val="0"/>
                    </w:rPr>
                  </w:pPr>
                  <w:r>
                    <w:rPr>
                      <w:rFonts w:hint="eastAsia"/>
                      <w:b w:val="0"/>
                      <w:bCs w:val="0"/>
                    </w:rPr>
                    <w:t>项目区东北侧2#</w:t>
                  </w:r>
                </w:p>
              </w:tc>
              <w:tc>
                <w:tcPr>
                  <w:tcW w:w="808" w:type="dxa"/>
                  <w:tcBorders>
                    <w:tl2br w:val="nil"/>
                    <w:tr2bl w:val="nil"/>
                  </w:tcBorders>
                  <w:vAlign w:val="center"/>
                </w:tcPr>
                <w:p>
                  <w:pPr>
                    <w:pStyle w:val="47"/>
                    <w:rPr>
                      <w:b w:val="0"/>
                      <w:bCs w:val="0"/>
                    </w:rPr>
                  </w:pPr>
                  <w:r>
                    <w:rPr>
                      <w:rFonts w:hint="eastAsia"/>
                      <w:b w:val="0"/>
                      <w:bCs w:val="0"/>
                    </w:rPr>
                    <w:t>72</w:t>
                  </w:r>
                </w:p>
              </w:tc>
              <w:tc>
                <w:tcPr>
                  <w:tcW w:w="591" w:type="dxa"/>
                  <w:tcBorders>
                    <w:tl2br w:val="nil"/>
                    <w:tr2bl w:val="nil"/>
                  </w:tcBorders>
                  <w:vAlign w:val="center"/>
                </w:tcPr>
                <w:p>
                  <w:pPr>
                    <w:pStyle w:val="47"/>
                    <w:rPr>
                      <w:b w:val="0"/>
                      <w:bCs w:val="0"/>
                    </w:rPr>
                  </w:pPr>
                  <w:r>
                    <w:rPr>
                      <w:rFonts w:hint="eastAsia"/>
                      <w:b w:val="0"/>
                      <w:bCs w:val="0"/>
                    </w:rPr>
                    <w:t>81</w:t>
                  </w:r>
                </w:p>
              </w:tc>
              <w:tc>
                <w:tcPr>
                  <w:tcW w:w="672" w:type="dxa"/>
                  <w:tcBorders>
                    <w:tl2br w:val="nil"/>
                    <w:tr2bl w:val="nil"/>
                  </w:tcBorders>
                  <w:vAlign w:val="center"/>
                </w:tcPr>
                <w:p>
                  <w:pPr>
                    <w:pStyle w:val="47"/>
                    <w:rPr>
                      <w:b w:val="0"/>
                      <w:bCs w:val="0"/>
                    </w:rPr>
                  </w:pPr>
                  <w:r>
                    <w:rPr>
                      <w:rFonts w:hint="eastAsia"/>
                      <w:b w:val="0"/>
                      <w:bCs w:val="0"/>
                    </w:rPr>
                    <w:t>76</w:t>
                  </w:r>
                </w:p>
              </w:tc>
              <w:tc>
                <w:tcPr>
                  <w:tcW w:w="604" w:type="dxa"/>
                  <w:tcBorders>
                    <w:tl2br w:val="nil"/>
                    <w:tr2bl w:val="nil"/>
                  </w:tcBorders>
                  <w:vAlign w:val="center"/>
                </w:tcPr>
                <w:p>
                  <w:pPr>
                    <w:pStyle w:val="47"/>
                    <w:rPr>
                      <w:b w:val="0"/>
                      <w:bCs w:val="0"/>
                    </w:rPr>
                  </w:pPr>
                  <w:r>
                    <w:rPr>
                      <w:rFonts w:hint="eastAsia"/>
                      <w:b w:val="0"/>
                      <w:bCs w:val="0"/>
                    </w:rPr>
                    <w:t>70</w:t>
                  </w:r>
                </w:p>
              </w:tc>
              <w:tc>
                <w:tcPr>
                  <w:tcW w:w="645" w:type="dxa"/>
                  <w:tcBorders>
                    <w:tl2br w:val="nil"/>
                    <w:tr2bl w:val="nil"/>
                  </w:tcBorders>
                  <w:vAlign w:val="center"/>
                </w:tcPr>
                <w:p>
                  <w:pPr>
                    <w:pStyle w:val="47"/>
                    <w:rPr>
                      <w:b w:val="0"/>
                      <w:bCs w:val="0"/>
                    </w:rPr>
                  </w:pPr>
                  <w:r>
                    <w:rPr>
                      <w:rFonts w:hint="eastAsia"/>
                      <w:b w:val="0"/>
                      <w:bCs w:val="0"/>
                    </w:rPr>
                    <w:t>74</w:t>
                  </w:r>
                </w:p>
              </w:tc>
              <w:tc>
                <w:tcPr>
                  <w:tcW w:w="632" w:type="dxa"/>
                  <w:gridSpan w:val="2"/>
                  <w:tcBorders>
                    <w:tl2br w:val="nil"/>
                    <w:tr2bl w:val="nil"/>
                  </w:tcBorders>
                  <w:vAlign w:val="center"/>
                </w:tcPr>
                <w:p>
                  <w:pPr>
                    <w:pStyle w:val="47"/>
                    <w:rPr>
                      <w:b w:val="0"/>
                      <w:bCs w:val="0"/>
                    </w:rPr>
                  </w:pPr>
                  <w:r>
                    <w:rPr>
                      <w:rFonts w:hint="eastAsia"/>
                      <w:b w:val="0"/>
                      <w:bCs w:val="0"/>
                    </w:rPr>
                    <w:t>85</w:t>
                  </w:r>
                </w:p>
              </w:tc>
              <w:tc>
                <w:tcPr>
                  <w:tcW w:w="585" w:type="dxa"/>
                  <w:tcBorders>
                    <w:tl2br w:val="nil"/>
                    <w:tr2bl w:val="nil"/>
                  </w:tcBorders>
                  <w:vAlign w:val="center"/>
                </w:tcPr>
                <w:p>
                  <w:pPr>
                    <w:pStyle w:val="47"/>
                    <w:rPr>
                      <w:b w:val="0"/>
                      <w:bCs w:val="0"/>
                    </w:rPr>
                  </w:pPr>
                  <w:r>
                    <w:rPr>
                      <w:rFonts w:hint="eastAsia"/>
                      <w:b w:val="0"/>
                      <w:bCs w:val="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8" w:type="dxa"/>
                  <w:gridSpan w:val="9"/>
                  <w:tcBorders>
                    <w:tl2br w:val="nil"/>
                    <w:tr2bl w:val="nil"/>
                  </w:tcBorders>
                </w:tcPr>
                <w:p>
                  <w:pPr>
                    <w:pStyle w:val="47"/>
                    <w:jc w:val="left"/>
                    <w:rPr>
                      <w:b w:val="0"/>
                      <w:bCs w:val="0"/>
                    </w:rPr>
                  </w:pPr>
                  <w:r>
                    <w:rPr>
                      <w:b w:val="0"/>
                      <w:bCs w:val="0"/>
                    </w:rPr>
                    <w:t>备注：“数据+L”表示低于检测方法的检出限</w:t>
                  </w:r>
                </w:p>
              </w:tc>
              <w:tc>
                <w:tcPr>
                  <w:tcW w:w="804" w:type="dxa"/>
                  <w:gridSpan w:val="2"/>
                  <w:tcBorders>
                    <w:tl2br w:val="nil"/>
                    <w:tr2bl w:val="nil"/>
                  </w:tcBorders>
                </w:tcPr>
                <w:p>
                  <w:pPr>
                    <w:pStyle w:val="47"/>
                    <w:jc w:val="left"/>
                    <w:rPr>
                      <w:b w:val="0"/>
                      <w:bCs w:val="0"/>
                    </w:rPr>
                  </w:pPr>
                </w:p>
              </w:tc>
            </w:tr>
          </w:tbl>
          <w:p>
            <w:pPr>
              <w:pStyle w:val="14"/>
              <w:snapToGrid w:val="0"/>
              <w:spacing w:line="360" w:lineRule="auto"/>
              <w:ind w:firstLine="105" w:firstLineChars="50"/>
              <w:contextualSpacing/>
              <w:rPr>
                <w:rFonts w:ascii="Times New Roman" w:hAnsi="Times New Roman" w:cs="Times New Roman" w:eastAsiaTheme="minorEastAsia"/>
                <w:color w:val="000000"/>
                <w:kern w:val="2"/>
                <w:szCs w:val="28"/>
                <w:lang w:val="en-US"/>
              </w:rPr>
            </w:pPr>
            <w:r>
              <w:rPr>
                <w:rFonts w:ascii="Times New Roman" w:hAnsi="Times New Roman" w:cs="Times New Roman" w:eastAsiaTheme="minorEastAsia"/>
                <w:color w:val="000000"/>
                <w:kern w:val="2"/>
                <w:sz w:val="21"/>
                <w:szCs w:val="21"/>
                <w:lang w:val="en-US"/>
              </w:rPr>
              <w:t>注：“检出限+L”表示检测结果低于分析方法检出限。</w:t>
            </w:r>
          </w:p>
          <w:p>
            <w:pPr>
              <w:snapToGrid w:val="0"/>
              <w:spacing w:line="360" w:lineRule="auto"/>
              <w:ind w:firstLine="480"/>
              <w:rPr>
                <w:rFonts w:ascii="Times New Roman" w:hAnsi="Times New Roman" w:cs="Times New Roman"/>
              </w:rPr>
            </w:pPr>
            <w:r>
              <w:rPr>
                <w:rFonts w:ascii="Times New Roman" w:hAnsi="Times New Roman" w:cs="Times New Roman"/>
              </w:rPr>
              <w:t>根据监测结果分析，监测点</w:t>
            </w:r>
            <w:r>
              <w:rPr>
                <w:rFonts w:hint="eastAsia" w:ascii="Times New Roman" w:hAnsi="Times New Roman" w:cs="Times New Roman"/>
                <w:lang w:val="en-US"/>
              </w:rPr>
              <w:t>TSP</w:t>
            </w:r>
            <w:r>
              <w:rPr>
                <w:rFonts w:ascii="Times New Roman" w:hAnsi="Times New Roman" w:cs="Times New Roman"/>
              </w:rPr>
              <w:t>浓度</w:t>
            </w:r>
            <w:r>
              <w:rPr>
                <w:rFonts w:ascii="Times New Roman" w:hAnsi="Times New Roman" w:cs="Times New Roman"/>
                <w:color w:val="000000"/>
              </w:rPr>
              <w:t>满足</w:t>
            </w:r>
            <w:r>
              <w:rPr>
                <w:rFonts w:hint="default" w:ascii="Times New Roman" w:hAnsi="Times New Roman" w:cs="Times New Roman"/>
              </w:rPr>
              <w:t>《环境空气质量标准》（GB3095-2012）二级标准限值要求</w:t>
            </w:r>
            <w:r>
              <w:rPr>
                <w:rFonts w:hint="eastAsia" w:ascii="Times New Roman" w:hAnsi="Times New Roman" w:cs="Times New Roman"/>
                <w:color w:val="000000"/>
              </w:rPr>
              <w:t>。</w:t>
            </w:r>
            <w:r>
              <w:rPr>
                <w:rFonts w:ascii="Times New Roman" w:hAnsi="Times New Roman" w:cs="Times New Roman"/>
                <w:lang w:val="en-US" w:bidi="ar-SA"/>
              </w:rPr>
              <w:drawing>
                <wp:inline distT="0" distB="0" distL="114300" distR="114300">
                  <wp:extent cx="5169535" cy="3394710"/>
                  <wp:effectExtent l="0" t="0" r="12065" b="15240"/>
                  <wp:docPr id="18" name="图片 18" descr="C:\Users\AI\Desktop\2f64a9ea98e66c4dbdd57f7ccd0ddce.png2f64a9ea98e66c4dbdd57f7ccd0d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I\Desktop\2f64a9ea98e66c4dbdd57f7ccd0ddce.png2f64a9ea98e66c4dbdd57f7ccd0ddce"/>
                          <pic:cNvPicPr>
                            <a:picLocks noChangeAspect="1"/>
                          </pic:cNvPicPr>
                        </pic:nvPicPr>
                        <pic:blipFill>
                          <a:blip r:embed="rId26"/>
                          <a:srcRect/>
                          <a:stretch>
                            <a:fillRect/>
                          </a:stretch>
                        </pic:blipFill>
                        <pic:spPr>
                          <a:xfrm>
                            <a:off x="0" y="0"/>
                            <a:ext cx="5169535" cy="3394710"/>
                          </a:xfrm>
                          <a:prstGeom prst="rect">
                            <a:avLst/>
                          </a:prstGeom>
                        </pic:spPr>
                      </pic:pic>
                    </a:graphicData>
                  </a:graphic>
                </wp:inline>
              </w:drawing>
            </w:r>
            <w:r>
              <w:rPr>
                <w:rFonts w:ascii="Times New Roman" w:hAnsi="Times New Roman" w:cs="Times New Roman"/>
                <w:lang w:val="en-US" w:bidi="ar-SA"/>
              </w:rPr>
              <mc:AlternateContent>
                <mc:Choice Requires="wps">
                  <w:drawing>
                    <wp:anchor distT="0" distB="0" distL="114300" distR="114300" simplePos="0" relativeHeight="251667456" behindDoc="0" locked="0" layoutInCell="1" allowOverlap="1">
                      <wp:simplePos x="0" y="0"/>
                      <wp:positionH relativeFrom="column">
                        <wp:posOffset>913765</wp:posOffset>
                      </wp:positionH>
                      <wp:positionV relativeFrom="paragraph">
                        <wp:posOffset>521335</wp:posOffset>
                      </wp:positionV>
                      <wp:extent cx="1362075" cy="3238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1.95pt;margin-top:41.05pt;height:25.5pt;width:107.25pt;z-index:251667456;mso-width-relative:page;mso-height-relative:page;" filled="f" stroked="f" coordsize="21600,21600" o:gfxdata="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Hpi801QAAAAoBAAAPAAAAAAAAAAEAIAAAACIAAABkcnMvZG93&#10;bnJldi54bWxQSwECFAAUAAAACACHTuJALbJZ9TwCAABoBAAADgAAAAAAAAABACAAAAAkAQAAZHJz&#10;L2Uyb0RvYy54bWxQSwUGAAAAAAYABgBZAQAA0gUAAAAA&#10;">
                      <v:fill on="f" focussize="0,0"/>
                      <v:stroke on="f" weight="0.5pt"/>
                      <v:imagedata o:title=""/>
                      <o:lock v:ext="edit" aspectratio="f"/>
                      <v:textbox style="mso-fit-shape-to-text:t;">
                        <w:txbxContent>
                          <w:p/>
                        </w:txbxContent>
                      </v:textbox>
                    </v:shape>
                  </w:pict>
                </mc:Fallback>
              </mc:AlternateContent>
            </w:r>
          </w:p>
          <w:p>
            <w:pPr>
              <w:pStyle w:val="17"/>
              <w:adjustRightInd w:val="0"/>
              <w:snapToGrid w:val="0"/>
              <w:ind w:firstLine="422"/>
              <w:jc w:val="center"/>
            </w:pPr>
            <w:r>
              <w:rPr>
                <w:rFonts w:ascii="Times New Roman" w:hAnsi="Times New Roman" w:cs="Times New Roman"/>
                <w:b/>
                <w:bCs/>
                <w:color w:val="000000"/>
                <w:szCs w:val="21"/>
              </w:rPr>
              <w:t>图3-</w:t>
            </w:r>
            <w:r>
              <w:rPr>
                <w:rFonts w:hint="eastAsia" w:ascii="Times New Roman" w:hAnsi="Times New Roman" w:cs="Times New Roman"/>
                <w:b/>
                <w:bCs/>
                <w:color w:val="000000"/>
                <w:szCs w:val="21"/>
                <w:lang w:val="en-US"/>
              </w:rPr>
              <w:t>4</w:t>
            </w:r>
            <w:r>
              <w:rPr>
                <w:rFonts w:ascii="Times New Roman" w:hAnsi="Times New Roman" w:cs="Times New Roman"/>
                <w:b/>
                <w:bCs/>
                <w:color w:val="000000"/>
                <w:szCs w:val="21"/>
              </w:rPr>
              <w:t>与引用项目位置关系图</w:t>
            </w:r>
          </w:p>
          <w:p>
            <w:pPr>
              <w:snapToGrid w:val="0"/>
              <w:spacing w:line="360" w:lineRule="auto"/>
              <w:ind w:firstLine="482"/>
              <w:rPr>
                <w:rFonts w:ascii="Times New Roman" w:hAnsi="Times New Roman" w:cs="Times New Roman"/>
                <w:b/>
                <w:bCs/>
              </w:rPr>
            </w:pPr>
            <w:r>
              <w:rPr>
                <w:rFonts w:ascii="Times New Roman" w:hAnsi="Times New Roman" w:cs="Times New Roman"/>
                <w:lang w:val="en-US" w:bidi="ar-SA"/>
              </w:rPr>
              <mc:AlternateContent>
                <mc:Choice Requires="wps">
                  <w:drawing>
                    <wp:anchor distT="0" distB="0" distL="114300" distR="114300" simplePos="0" relativeHeight="251660288" behindDoc="0" locked="0" layoutInCell="1" allowOverlap="1">
                      <wp:simplePos x="0" y="0"/>
                      <wp:positionH relativeFrom="column">
                        <wp:posOffset>4223385</wp:posOffset>
                      </wp:positionH>
                      <wp:positionV relativeFrom="paragraph">
                        <wp:posOffset>7482840</wp:posOffset>
                      </wp:positionV>
                      <wp:extent cx="1259840" cy="2857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259840" cy="285750"/>
                              </a:xfrm>
                              <a:prstGeom prst="rect">
                                <a:avLst/>
                              </a:prstGeom>
                              <a:noFill/>
                              <a:ln>
                                <a:noFill/>
                              </a:ln>
                            </wps:spPr>
                            <wps:txbx>
                              <w:txbxContent>
                                <w:p>
                                  <w:pPr>
                                    <w:rPr>
                                      <w:sz w:val="30"/>
                                      <w:szCs w:val="30"/>
                                    </w:rPr>
                                  </w:pPr>
                                  <w:r>
                                    <w:rPr>
                                      <w:rFonts w:hint="eastAsia"/>
                                      <w:sz w:val="30"/>
                                      <w:szCs w:val="30"/>
                                    </w:rPr>
                                    <w:t>本项目</w:t>
                                  </w:r>
                                </w:p>
                              </w:txbxContent>
                            </wps:txbx>
                            <wps:bodyPr>
                              <a:spAutoFit/>
                            </wps:bodyPr>
                          </wps:wsp>
                        </a:graphicData>
                      </a:graphic>
                    </wp:anchor>
                  </w:drawing>
                </mc:Choice>
                <mc:Fallback>
                  <w:pict>
                    <v:shape id="_x0000_s1026" o:spid="_x0000_s1026" o:spt="202" type="#_x0000_t202" style="position:absolute;left:0pt;margin-left:332.55pt;margin-top:589.2pt;height:22.5pt;width:99.2pt;z-index:251660288;mso-width-relative:page;mso-height-relative:page;" filled="f" stroked="f" coordsize="21600,21600" o:gfxdata="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yqCb2gAAAA0BAAAPAAAAAAAAAAEAIAAAACIAAABkcnMvZG93bnJldi54bWxQSwECFAAUAAAACACH&#10;TuJAfGnkArABAABcAwAADgAAAAAAAAABACAAAAApAQAAZHJzL2Uyb0RvYy54bWxQSwUGAAAAAAYA&#10;BgBZAQAASwUAAAAA&#10;">
                      <v:fill on="f" focussize="0,0"/>
                      <v:stroke on="f"/>
                      <v:imagedata o:title=""/>
                      <o:lock v:ext="edit" aspectratio="f"/>
                      <v:textbox style="mso-fit-shape-to-text:t;">
                        <w:txbxContent>
                          <w:p>
                            <w:pPr>
                              <w:rPr>
                                <w:sz w:val="30"/>
                                <w:szCs w:val="30"/>
                              </w:rPr>
                            </w:pPr>
                            <w:r>
                              <w:rPr>
                                <w:rFonts w:hint="eastAsia"/>
                                <w:sz w:val="30"/>
                                <w:szCs w:val="30"/>
                              </w:rPr>
                              <w:t>本项目</w:t>
                            </w:r>
                          </w:p>
                        </w:txbxContent>
                      </v:textbox>
                    </v:shape>
                  </w:pict>
                </mc:Fallback>
              </mc:AlternateContent>
            </w:r>
            <w:r>
              <w:rPr>
                <w:rFonts w:ascii="Times New Roman" w:hAnsi="Times New Roman" w:cs="Times New Roman"/>
                <w:lang w:val="en-US" w:bidi="ar-SA"/>
              </w:rPr>
              <mc:AlternateContent>
                <mc:Choice Requires="wps">
                  <w:drawing>
                    <wp:anchor distT="0" distB="0" distL="114300" distR="114300" simplePos="0" relativeHeight="251659264" behindDoc="0" locked="0" layoutInCell="1" allowOverlap="1">
                      <wp:simplePos x="0" y="0"/>
                      <wp:positionH relativeFrom="column">
                        <wp:posOffset>4070985</wp:posOffset>
                      </wp:positionH>
                      <wp:positionV relativeFrom="paragraph">
                        <wp:posOffset>7330440</wp:posOffset>
                      </wp:positionV>
                      <wp:extent cx="1259840" cy="2857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259840" cy="285750"/>
                              </a:xfrm>
                              <a:prstGeom prst="rect">
                                <a:avLst/>
                              </a:prstGeom>
                              <a:noFill/>
                              <a:ln>
                                <a:noFill/>
                              </a:ln>
                            </wps:spPr>
                            <wps:txbx>
                              <w:txbxContent>
                                <w:p>
                                  <w:pPr>
                                    <w:rPr>
                                      <w:sz w:val="30"/>
                                      <w:szCs w:val="30"/>
                                    </w:rPr>
                                  </w:pPr>
                                  <w:r>
                                    <w:rPr>
                                      <w:rFonts w:hint="eastAsia"/>
                                      <w:sz w:val="30"/>
                                      <w:szCs w:val="30"/>
                                    </w:rPr>
                                    <w:t>本项目</w:t>
                                  </w:r>
                                </w:p>
                              </w:txbxContent>
                            </wps:txbx>
                            <wps:bodyPr>
                              <a:spAutoFit/>
                            </wps:bodyPr>
                          </wps:wsp>
                        </a:graphicData>
                      </a:graphic>
                    </wp:anchor>
                  </w:drawing>
                </mc:Choice>
                <mc:Fallback>
                  <w:pict>
                    <v:shape id="_x0000_s1026" o:spid="_x0000_s1026" o:spt="202" type="#_x0000_t202" style="position:absolute;left:0pt;margin-left:320.55pt;margin-top:577.2pt;height:22.5pt;width:99.2pt;z-index:251659264;mso-width-relative:page;mso-height-relative:page;" filled="f" stroked="f" coordsize="21600,21600" o:gfxdata="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oB&#10;eCDZAAAADQEAAA8AAAAAAAAAAQAgAAAAIgAAAGRycy9kb3ducmV2LnhtbFBLAQIUABQAAAAIAIdO&#10;4kA9zXOTsAEAAFwDAAAOAAAAAAAAAAEAIAAAACgBAABkcnMvZTJvRG9jLnhtbFBLBQYAAAAABgAG&#10;AFkBAABKBQAAAAA=&#10;">
                      <v:fill on="f" focussize="0,0"/>
                      <v:stroke on="f"/>
                      <v:imagedata o:title=""/>
                      <o:lock v:ext="edit" aspectratio="f"/>
                      <v:textbox style="mso-fit-shape-to-text:t;">
                        <w:txbxContent>
                          <w:p>
                            <w:pPr>
                              <w:rPr>
                                <w:sz w:val="30"/>
                                <w:szCs w:val="30"/>
                              </w:rPr>
                            </w:pPr>
                            <w:r>
                              <w:rPr>
                                <w:rFonts w:hint="eastAsia"/>
                                <w:sz w:val="30"/>
                                <w:szCs w:val="30"/>
                              </w:rPr>
                              <w:t>本项目</w:t>
                            </w:r>
                          </w:p>
                        </w:txbxContent>
                      </v:textbox>
                    </v:shape>
                  </w:pict>
                </mc:Fallback>
              </mc:AlternateContent>
            </w:r>
            <w:r>
              <w:rPr>
                <w:rFonts w:ascii="Times New Roman" w:hAnsi="Times New Roman" w:cs="Times New Roman"/>
                <w:b/>
                <w:bCs/>
              </w:rPr>
              <w:t>2、水环境质量现状</w:t>
            </w:r>
          </w:p>
          <w:p>
            <w:pPr>
              <w:snapToGrid w:val="0"/>
              <w:spacing w:line="360" w:lineRule="auto"/>
              <w:ind w:firstLine="480" w:firstLineChars="200"/>
              <w:jc w:val="both"/>
              <w:rPr>
                <w:rFonts w:ascii="Times New Roman" w:hAnsi="Times New Roman" w:cs="Times New Roman"/>
                <w:color w:val="000000"/>
              </w:rPr>
            </w:pPr>
            <w:r>
              <w:rPr>
                <w:rFonts w:ascii="Times New Roman" w:hAnsi="Times New Roman" w:cs="Times New Roman"/>
                <w:lang w:val="en-US" w:bidi="ar-SA"/>
              </w:rPr>
              <mc:AlternateContent>
                <mc:Choice Requires="wps">
                  <w:drawing>
                    <wp:anchor distT="0" distB="0" distL="114300" distR="114300" simplePos="0" relativeHeight="251661312" behindDoc="0" locked="0" layoutInCell="1" allowOverlap="1">
                      <wp:simplePos x="0" y="0"/>
                      <wp:positionH relativeFrom="column">
                        <wp:posOffset>2910840</wp:posOffset>
                      </wp:positionH>
                      <wp:positionV relativeFrom="paragraph">
                        <wp:posOffset>666750</wp:posOffset>
                      </wp:positionV>
                      <wp:extent cx="1362075" cy="323850"/>
                      <wp:effectExtent l="0" t="0" r="0" b="0"/>
                      <wp:wrapNone/>
                      <wp:docPr id="10" name="文本框 10"/>
                      <wp:cNvGraphicFramePr/>
                      <a:graphic xmlns:a="http://schemas.openxmlformats.org/drawingml/2006/main">
                        <a:graphicData uri="http://schemas.microsoft.com/office/word/2010/wordprocessingShape">
                          <wps:wsp>
                            <wps:cNvSpPr txBox="1"/>
                            <wps:spPr>
                              <a:xfrm rot="480000">
                                <a:off x="4224655" y="6586855"/>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29.2pt;margin-top:52.5pt;height:25.5pt;width:107.25pt;rotation:524288f;z-index:251661312;mso-width-relative:page;mso-height-relative:page;" filled="f" stroked="f" coordsize="21600,21600" o:gfxdata="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WiF4NoAAAALAQAADwAA&#10;AAAAAAABACAAAAAiAAAAZHJzL2Rvd25yZXYueG1sUEsBAhQAFAAAAAgAh07iQKkgWW5NAgAAgQQA&#10;AA4AAAAAAAAAAQAgAAAAKQEAAGRycy9lMm9Eb2MueG1sUEsFBgAAAAAGAAYAWQEAAOgFAAAAAA==&#10;">
                      <v:fill on="f" focussize="0,0"/>
                      <v:stroke on="f" weight="0.5pt"/>
                      <v:imagedata o:title=""/>
                      <o:lock v:ext="edit" aspectratio="f"/>
                      <v:textbox style="mso-fit-shape-to-text:t;">
                        <w:txbxContent>
                          <w:p>
                            <w:pPr>
                              <w:rPr>
                                <w:sz w:val="30"/>
                                <w:szCs w:val="30"/>
                              </w:rPr>
                            </w:pPr>
                          </w:p>
                        </w:txbxContent>
                      </v:textbox>
                    </v:shape>
                  </w:pict>
                </mc:Fallback>
              </mc:AlternateContent>
            </w:r>
            <w:r>
              <w:rPr>
                <w:rFonts w:ascii="Times New Roman" w:hAnsi="Times New Roman" w:cs="Times New Roman"/>
              </w:rPr>
              <w:t>本项目位于云南省昆明市晋宁区工业园区晋城基地，根据《云南晋宁工业园区总体规划修编（2012-2030）》，晋城基地的周围地表水体为大河。</w:t>
            </w:r>
            <w:r>
              <w:rPr>
                <w:rFonts w:ascii="Times New Roman" w:hAnsi="Times New Roman" w:cs="Times New Roman"/>
                <w:lang w:val="en-US"/>
              </w:rPr>
              <w:t>本项目属于金沙江水系滇池流域，涉及的地表水为大河，大河最终流入滇池，晋宁大河位于项目区西面 1.5km 处，晋宁大河发源于晋城镇与江川县交界山脉的关岭西坡干洞、大陷塘和菖蒲塘等地，汇入大河水库，大河水库底涵排水渠分水闸，流经晋城镇八家、化乐、南山、十里、石碑、五里、南门、小寨，在小寨分洪闸分二支，一支为淤泥河（晋宁大河支流），一支为白鱼河。</w:t>
            </w:r>
            <w:r>
              <w:rPr>
                <w:rFonts w:ascii="Times New Roman" w:hAnsi="Times New Roman" w:cs="Times New Roman"/>
              </w:rPr>
              <w:t>根据《云南省水功能区划》（2014，第二版），</w:t>
            </w:r>
            <w:r>
              <w:rPr>
                <w:rFonts w:hint="eastAsia" w:ascii="Times New Roman" w:hAnsi="Times New Roman" w:cs="Times New Roman"/>
              </w:rPr>
              <w:t>大河晋宁开发利用区</w:t>
            </w:r>
            <w:r>
              <w:rPr>
                <w:rFonts w:ascii="Times New Roman" w:hAnsi="Times New Roman" w:cs="Times New Roman"/>
                <w:lang w:val="en-US"/>
              </w:rPr>
              <w:t>（</w:t>
            </w:r>
            <w:r>
              <w:rPr>
                <w:rFonts w:hint="eastAsia" w:ascii="Times New Roman" w:hAnsi="Times New Roman" w:cs="Times New Roman"/>
                <w:lang w:val="en-US"/>
              </w:rPr>
              <w:t>水库坝址—入滇池口</w:t>
            </w:r>
            <w:r>
              <w:rPr>
                <w:rFonts w:ascii="Times New Roman" w:hAnsi="Times New Roman" w:cs="Times New Roman"/>
                <w:lang w:val="en-US"/>
              </w:rPr>
              <w:t>）水环境功能为农业、工业用水，执行《地表水环境质量标准》(GB3838-2002)</w:t>
            </w:r>
            <w:r>
              <w:rPr>
                <w:rFonts w:ascii="Times New Roman" w:hAnsi="Times New Roman" w:eastAsia="微软雅黑" w:cs="Times New Roman"/>
                <w:lang w:val="en-US"/>
              </w:rPr>
              <w:t>Ⅲ</w:t>
            </w:r>
            <w:r>
              <w:rPr>
                <w:rFonts w:ascii="Times New Roman" w:hAnsi="Times New Roman" w:cs="Times New Roman"/>
                <w:lang w:val="en-US"/>
              </w:rPr>
              <w:t>类水标准</w:t>
            </w:r>
            <w:r>
              <w:rPr>
                <w:rFonts w:ascii="Times New Roman" w:hAnsi="Times New Roman" w:cs="Times New Roman"/>
              </w:rPr>
              <w:t>。</w:t>
            </w:r>
            <w:r>
              <w:rPr>
                <w:rFonts w:ascii="Times New Roman" w:hAnsi="Times New Roman" w:cs="Times New Roman"/>
                <w:color w:val="000000"/>
              </w:rPr>
              <w:t xml:space="preserve"> </w:t>
            </w:r>
          </w:p>
          <w:p>
            <w:pPr>
              <w:spacing w:line="360" w:lineRule="auto"/>
              <w:ind w:firstLine="480" w:firstLineChars="200"/>
              <w:jc w:val="both"/>
              <w:rPr>
                <w:rFonts w:ascii="Times New Roman" w:hAnsi="Times New Roman" w:cs="Times New Roman"/>
              </w:rPr>
            </w:pPr>
            <w:r>
              <w:rPr>
                <w:rFonts w:ascii="Times New Roman" w:hAnsi="Times New Roman" w:cs="Times New Roman"/>
              </w:rPr>
              <w:t>根据《2020年度昆明市生态环境状况公报》（2021年6月15日发布）滇池主要入湖河道35条主要入湖河道中，2条河道断流，28条河道入湖断面水质达到昆明市考核目标，5条入湖河道(大河(淤泥河)、白鱼河、海河、中河(城河)、广普大沟)水质未达到昆明市考核目标，综合达标率为84.8%;19条河道水质类别为Ⅱ~Ⅲ类，占57.6%;12条河道水质类别为 V类，占363%;2条河道水质类别为劣V类，占61%;大河(淤泥河)等12条入湖河道水质全部达到国家对滇池“十三五”规划水质目标要求。</w:t>
            </w:r>
          </w:p>
          <w:p>
            <w:pPr>
              <w:snapToGrid w:val="0"/>
              <w:spacing w:line="360" w:lineRule="auto"/>
              <w:ind w:left="480" w:leftChars="200"/>
              <w:rPr>
                <w:rFonts w:ascii="Times New Roman" w:hAnsi="Times New Roman" w:cs="Times New Roman"/>
                <w:b/>
                <w:bCs/>
              </w:rPr>
            </w:pPr>
            <w:r>
              <w:rPr>
                <w:rFonts w:ascii="Times New Roman" w:hAnsi="Times New Roman" w:cs="Times New Roman"/>
                <w:b/>
                <w:bCs/>
                <w:lang w:val="en-US"/>
              </w:rPr>
              <w:t>3、</w:t>
            </w:r>
            <w:r>
              <w:rPr>
                <w:rFonts w:ascii="Times New Roman" w:hAnsi="Times New Roman" w:cs="Times New Roman"/>
                <w:b/>
                <w:bCs/>
              </w:rPr>
              <w:t>声环境质量现状</w:t>
            </w:r>
          </w:p>
          <w:p>
            <w:pPr>
              <w:pStyle w:val="15"/>
              <w:snapToGrid w:val="0"/>
              <w:ind w:firstLine="480"/>
            </w:pPr>
            <w:r>
              <w:t>本项目厂界外50米范围内</w:t>
            </w:r>
            <w:r>
              <w:rPr>
                <w:lang w:val="en-US"/>
              </w:rPr>
              <w:t>无</w:t>
            </w:r>
            <w:r>
              <w:t>声环境保护目标，本项目位于昆明市晋宁工业园区晋城基地，根据《声环境功能区划分技术规范》（GB/T15190-2014）本项目所在地属于3类声</w:t>
            </w:r>
            <w:r>
              <w:rPr>
                <w:rFonts w:hint="eastAsia"/>
                <w:lang w:val="en-US"/>
              </w:rPr>
              <w:t>环境</w:t>
            </w:r>
            <w:r>
              <w:t>功能区，执行《声环境质量标准》中（GB3096-2008）3类标准。</w:t>
            </w:r>
          </w:p>
          <w:p>
            <w:pPr>
              <w:pStyle w:val="46"/>
              <w:snapToGrid w:val="0"/>
              <w:spacing w:line="364" w:lineRule="auto"/>
              <w:ind w:left="114" w:right="76" w:firstLine="480"/>
              <w:jc w:val="both"/>
              <w:rPr>
                <w:rFonts w:ascii="Times New Roman" w:hAnsi="Times New Roman" w:cs="Times New Roman"/>
              </w:rPr>
            </w:pPr>
            <w:r>
              <w:rPr>
                <w:rFonts w:ascii="Times New Roman" w:hAnsi="Times New Roman" w:cs="Times New Roman"/>
              </w:rPr>
              <w:t>根据《</w:t>
            </w:r>
            <w:r>
              <w:rPr>
                <w:rFonts w:ascii="Times New Roman" w:hAnsi="Times New Roman" w:cs="Times New Roman"/>
                <w:lang w:val="en-US"/>
              </w:rPr>
              <w:t>2020</w:t>
            </w:r>
            <w:r>
              <w:rPr>
                <w:rFonts w:ascii="Times New Roman" w:hAnsi="Times New Roman" w:cs="Times New Roman"/>
              </w:rPr>
              <w:t>年度昆明市生态环境状况公报》2020年，各县(市)区区域环境(昼间)噪声平均等效声级分别为：晋宁区46.1分贝。根据区域环境噪声质量划分等级进行评价，总体水平在一级(好)和二级(较好)之间。与2019年相比，东川区、宜良县、富民县、寻甸县、呈贡区的区域环境昼间噪声等效声级均上升，安宁市、禄劝县、嵩明县、石林县、晋宁区的区域环境昼间噪声等效声级均下降。</w:t>
            </w:r>
            <w:r>
              <w:rPr>
                <w:rFonts w:ascii="Times New Roman" w:hAnsi="Times New Roman" w:cs="Times New Roman"/>
                <w:spacing w:val="-4"/>
              </w:rPr>
              <w:t xml:space="preserve">根据现场踏勘，本项目周边 </w:t>
            </w:r>
            <w:r>
              <w:rPr>
                <w:rFonts w:ascii="Times New Roman" w:hAnsi="Times New Roman" w:eastAsia="Times New Roman" w:cs="Times New Roman"/>
              </w:rPr>
              <w:t xml:space="preserve">50m </w:t>
            </w:r>
            <w:r>
              <w:rPr>
                <w:rFonts w:ascii="Times New Roman" w:hAnsi="Times New Roman" w:cs="Times New Roman"/>
                <w:spacing w:val="-1"/>
              </w:rPr>
              <w:t>范围内</w:t>
            </w:r>
            <w:r>
              <w:rPr>
                <w:rFonts w:ascii="Times New Roman" w:hAnsi="Times New Roman" w:cs="Times New Roman"/>
                <w:spacing w:val="-1"/>
                <w:lang w:val="en-US"/>
              </w:rPr>
              <w:t>无</w:t>
            </w:r>
            <w:r>
              <w:rPr>
                <w:rFonts w:ascii="Times New Roman" w:hAnsi="Times New Roman" w:cs="Times New Roman"/>
                <w:spacing w:val="-1"/>
              </w:rPr>
              <w:t>声环境保护目标，</w:t>
            </w:r>
            <w:r>
              <w:rPr>
                <w:rFonts w:ascii="Times New Roman" w:hAnsi="Times New Roman" w:cs="Times New Roman"/>
              </w:rPr>
              <w:t>项目周围多为小型加工企业，生产设备噪声源强低，通过在采取在设备底部安装减震垫及厂房建筑隔声后，噪声源强可得到有效控制。因此，项目所在区域声环境可达《声环境质量标准（</w:t>
            </w:r>
            <w:r>
              <w:rPr>
                <w:rFonts w:ascii="Times New Roman" w:hAnsi="Times New Roman" w:eastAsia="Times New Roman" w:cs="Times New Roman"/>
              </w:rPr>
              <w:t>GB3096-2008</w:t>
            </w:r>
            <w:r>
              <w:rPr>
                <w:rFonts w:ascii="Times New Roman" w:hAnsi="Times New Roman" w:cs="Times New Roman"/>
              </w:rPr>
              <w:t>）》</w:t>
            </w:r>
            <w:r>
              <w:rPr>
                <w:rFonts w:ascii="Times New Roman" w:hAnsi="Times New Roman" w:eastAsia="Times New Roman" w:cs="Times New Roman"/>
              </w:rPr>
              <w:t xml:space="preserve">3 </w:t>
            </w:r>
            <w:r>
              <w:rPr>
                <w:rFonts w:ascii="Times New Roman" w:hAnsi="Times New Roman" w:cs="Times New Roman"/>
              </w:rPr>
              <w:t>类标准。</w:t>
            </w:r>
          </w:p>
          <w:p>
            <w:pPr>
              <w:snapToGrid w:val="0"/>
              <w:spacing w:line="360" w:lineRule="auto"/>
              <w:ind w:firstLine="482" w:firstLineChars="200"/>
              <w:rPr>
                <w:rFonts w:ascii="Times New Roman" w:hAnsi="Times New Roman" w:cs="Times New Roman"/>
                <w:b/>
              </w:rPr>
            </w:pPr>
            <w:r>
              <w:rPr>
                <w:rFonts w:ascii="Times New Roman" w:hAnsi="Times New Roman" w:cs="Times New Roman"/>
                <w:b/>
              </w:rPr>
              <w:t>4、生态环境质量现状</w:t>
            </w:r>
          </w:p>
          <w:p>
            <w:pPr>
              <w:snapToGrid w:val="0"/>
              <w:spacing w:line="360" w:lineRule="auto"/>
              <w:ind w:firstLine="480" w:firstLineChars="200"/>
              <w:rPr>
                <w:rFonts w:ascii="Times New Roman" w:hAnsi="Times New Roman" w:cs="Times New Roman"/>
                <w:sz w:val="21"/>
              </w:rPr>
            </w:pPr>
            <w:r>
              <w:rPr>
                <w:rFonts w:ascii="Times New Roman" w:hAnsi="Times New Roman" w:cs="Times New Roman"/>
              </w:rPr>
              <w:t>项目所在区域主要植被为杂草及少量灌木，未见野生动物分布。区域内无国家和云南省重点保护物种、珍稀濒危物种、</w:t>
            </w:r>
            <w:r>
              <w:rPr>
                <w:rFonts w:hint="eastAsia" w:hAnsi="Times New Roman" w:cs="Times New Roman"/>
              </w:rPr>
              <w:t>无古树名木分布</w:t>
            </w:r>
            <w:r>
              <w:rPr>
                <w:rFonts w:ascii="Times New Roman" w:hAnsi="Times New Roman" w:cs="Times New Roman"/>
              </w:rPr>
              <w:t>。评价区内总体植被覆盖率低，物多样性较差。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3" w:hRule="atLeast"/>
          <w:jc w:val="center"/>
        </w:trPr>
        <w:tc>
          <w:tcPr>
            <w:tcW w:w="757" w:type="dxa"/>
            <w:tcBorders>
              <w:tl2br w:val="nil"/>
              <w:tr2bl w:val="nil"/>
            </w:tcBorders>
          </w:tcPr>
          <w:p>
            <w:pPr>
              <w:pStyle w:val="46"/>
              <w:snapToGrid w:val="0"/>
              <w:spacing w:line="360" w:lineRule="auto"/>
              <w:jc w:val="center"/>
              <w:rPr>
                <w:rFonts w:ascii="Times New Roman" w:hAnsi="Times New Roman" w:cs="Times New Roman"/>
                <w:sz w:val="20"/>
              </w:rPr>
            </w:pPr>
          </w:p>
          <w:p>
            <w:pPr>
              <w:pStyle w:val="46"/>
              <w:snapToGrid w:val="0"/>
              <w:spacing w:line="360" w:lineRule="auto"/>
              <w:jc w:val="center"/>
              <w:rPr>
                <w:rFonts w:ascii="Times New Roman" w:hAnsi="Times New Roman" w:cs="Times New Roman"/>
                <w:sz w:val="20"/>
              </w:rPr>
            </w:pPr>
          </w:p>
          <w:p>
            <w:pPr>
              <w:pStyle w:val="46"/>
              <w:snapToGrid w:val="0"/>
              <w:spacing w:line="360" w:lineRule="auto"/>
              <w:jc w:val="center"/>
              <w:rPr>
                <w:rFonts w:ascii="Times New Roman" w:hAnsi="Times New Roman" w:cs="Times New Roman"/>
                <w:sz w:val="21"/>
              </w:rPr>
            </w:pPr>
          </w:p>
          <w:p>
            <w:pPr>
              <w:pStyle w:val="46"/>
              <w:snapToGrid w:val="0"/>
              <w:spacing w:line="360" w:lineRule="auto"/>
              <w:jc w:val="center"/>
              <w:rPr>
                <w:rFonts w:ascii="Times New Roman" w:hAnsi="Times New Roman" w:cs="Times New Roman"/>
                <w:sz w:val="21"/>
              </w:rPr>
            </w:pPr>
            <w:r>
              <w:rPr>
                <w:rFonts w:ascii="Times New Roman" w:hAnsi="Times New Roman" w:cs="Times New Roman"/>
              </w:rPr>
              <w:t>环境保护目标</w:t>
            </w:r>
          </w:p>
        </w:tc>
        <w:tc>
          <w:tcPr>
            <w:tcW w:w="8147" w:type="dxa"/>
            <w:tcBorders>
              <w:tl2br w:val="nil"/>
              <w:tr2bl w:val="nil"/>
            </w:tcBorders>
          </w:tcPr>
          <w:p>
            <w:pPr>
              <w:numPr>
                <w:ilvl w:val="0"/>
                <w:numId w:val="5"/>
              </w:num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大气环境</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bCs/>
                <w:color w:val="000000"/>
              </w:rPr>
              <w:t>建设项目位于晋宁</w:t>
            </w:r>
            <w:r>
              <w:rPr>
                <w:rFonts w:ascii="Times New Roman" w:hAnsi="Times New Roman" w:cs="Times New Roman"/>
                <w:color w:val="000000"/>
              </w:rPr>
              <w:t>工业园区晋城工业基地俊腾达标准厂房内，周边主要环境</w:t>
            </w:r>
            <w:r>
              <w:rPr>
                <w:rFonts w:ascii="Times New Roman" w:hAnsi="Times New Roman" w:cs="Times New Roman"/>
                <w:bCs/>
                <w:color w:val="000000"/>
              </w:rPr>
              <w:t>保护目标详见表3-</w:t>
            </w:r>
            <w:r>
              <w:rPr>
                <w:rFonts w:ascii="Times New Roman" w:hAnsi="Times New Roman" w:cs="Times New Roman"/>
                <w:bCs/>
                <w:color w:val="000000"/>
                <w:lang w:val="en-US"/>
              </w:rPr>
              <w:t>5</w:t>
            </w:r>
            <w:r>
              <w:rPr>
                <w:rFonts w:ascii="Times New Roman" w:hAnsi="Times New Roman" w:cs="Times New Roman"/>
                <w:bCs/>
                <w:color w:val="000000"/>
              </w:rPr>
              <w:t>所示</w:t>
            </w:r>
            <w:r>
              <w:rPr>
                <w:rFonts w:ascii="Times New Roman" w:hAnsi="Times New Roman" w:cs="Times New Roman"/>
              </w:rPr>
              <w:t>。</w:t>
            </w:r>
          </w:p>
          <w:p>
            <w:pPr>
              <w:adjustRightInd w:val="0"/>
              <w:snapToGrid w:val="0"/>
              <w:ind w:firstLine="422" w:firstLineChars="20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表3-5 主要环境目标示意图</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657"/>
              <w:gridCol w:w="627"/>
              <w:gridCol w:w="1113"/>
              <w:gridCol w:w="927"/>
              <w:gridCol w:w="1008"/>
              <w:gridCol w:w="1108"/>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Align w:val="center"/>
                </w:tcPr>
                <w:p>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环境要素</w:t>
                  </w:r>
                </w:p>
              </w:tc>
              <w:tc>
                <w:tcPr>
                  <w:tcW w:w="403" w:type="pct"/>
                  <w:vAlign w:val="center"/>
                </w:tcPr>
                <w:p>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敏感点</w:t>
                  </w:r>
                </w:p>
              </w:tc>
              <w:tc>
                <w:tcPr>
                  <w:tcW w:w="385" w:type="pct"/>
                  <w:vAlign w:val="center"/>
                </w:tcPr>
                <w:p>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方位</w:t>
                  </w:r>
                </w:p>
              </w:tc>
              <w:tc>
                <w:tcPr>
                  <w:tcW w:w="1253" w:type="pct"/>
                  <w:gridSpan w:val="2"/>
                  <w:vAlign w:val="center"/>
                </w:tcPr>
                <w:p>
                  <w:pPr>
                    <w:adjustRightInd w:val="0"/>
                    <w:snapToGrid w:val="0"/>
                    <w:jc w:val="center"/>
                    <w:rPr>
                      <w:rFonts w:hint="eastAsia" w:ascii="Times New Roman" w:hAnsi="Times New Roman" w:cs="Times New Roman"/>
                      <w:b/>
                      <w:color w:val="000000"/>
                      <w:sz w:val="21"/>
                      <w:szCs w:val="21"/>
                      <w:lang w:val="en-US" w:eastAsia="zh-CN"/>
                    </w:rPr>
                  </w:pPr>
                  <w:r>
                    <w:rPr>
                      <w:rFonts w:hint="eastAsia" w:ascii="Times New Roman" w:hAnsi="Times New Roman" w:cs="Times New Roman"/>
                      <w:b/>
                      <w:color w:val="000000"/>
                      <w:sz w:val="21"/>
                      <w:szCs w:val="21"/>
                      <w:lang w:val="en-US" w:eastAsia="zh-CN"/>
                    </w:rPr>
                    <w:t>位置坐标</w:t>
                  </w:r>
                </w:p>
              </w:tc>
              <w:tc>
                <w:tcPr>
                  <w:tcW w:w="619" w:type="pct"/>
                  <w:vAlign w:val="center"/>
                </w:tcPr>
                <w:p>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与厂界距离</w:t>
                  </w:r>
                </w:p>
              </w:tc>
              <w:tc>
                <w:tcPr>
                  <w:tcW w:w="681" w:type="pct"/>
                  <w:vAlign w:val="center"/>
                </w:tcPr>
                <w:p>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规模</w:t>
                  </w:r>
                </w:p>
              </w:tc>
              <w:tc>
                <w:tcPr>
                  <w:tcW w:w="1201" w:type="pct"/>
                  <w:vAlign w:val="center"/>
                </w:tcPr>
                <w:p>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大气</w:t>
                  </w:r>
                </w:p>
              </w:tc>
              <w:tc>
                <w:tcPr>
                  <w:tcW w:w="403" w:type="pct"/>
                  <w:vMerge w:val="restart"/>
                  <w:vAlign w:val="center"/>
                </w:tcPr>
                <w:p>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大场村</w:t>
                  </w:r>
                </w:p>
              </w:tc>
              <w:tc>
                <w:tcPr>
                  <w:tcW w:w="385" w:type="pct"/>
                  <w:vMerge w:val="restart"/>
                  <w:vAlign w:val="center"/>
                </w:tcPr>
                <w:p>
                  <w:pPr>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东</w:t>
                  </w:r>
                  <w:r>
                    <w:rPr>
                      <w:rFonts w:ascii="Times New Roman" w:hAnsi="Times New Roman" w:cs="Times New Roman"/>
                      <w:color w:val="000000"/>
                      <w:sz w:val="21"/>
                      <w:szCs w:val="21"/>
                    </w:rPr>
                    <w:t>北面</w:t>
                  </w:r>
                </w:p>
              </w:tc>
              <w:tc>
                <w:tcPr>
                  <w:tcW w:w="684" w:type="pct"/>
                  <w:vAlign w:val="center"/>
                </w:tcPr>
                <w:p>
                  <w:pPr>
                    <w:pStyle w:val="22"/>
                    <w:widowControl/>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bidi="zh-CN"/>
                    </w:rPr>
                    <w:t>经度（度）</w:t>
                  </w:r>
                </w:p>
              </w:tc>
              <w:tc>
                <w:tcPr>
                  <w:tcW w:w="569" w:type="pct"/>
                  <w:vAlign w:val="center"/>
                </w:tcPr>
                <w:p>
                  <w:pPr>
                    <w:pStyle w:val="22"/>
                    <w:widowControl/>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纬度（度）</w:t>
                  </w:r>
                </w:p>
              </w:tc>
              <w:tc>
                <w:tcPr>
                  <w:tcW w:w="619" w:type="pct"/>
                  <w:vMerge w:val="restart"/>
                  <w:vAlign w:val="center"/>
                </w:tcPr>
                <w:p>
                  <w:pPr>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435</w:t>
                  </w:r>
                  <w:r>
                    <w:rPr>
                      <w:rFonts w:ascii="Times New Roman" w:hAnsi="Times New Roman" w:cs="Times New Roman"/>
                      <w:color w:val="000000"/>
                      <w:sz w:val="21"/>
                      <w:szCs w:val="21"/>
                    </w:rPr>
                    <w:t>m</w:t>
                  </w:r>
                </w:p>
              </w:tc>
              <w:tc>
                <w:tcPr>
                  <w:tcW w:w="681" w:type="pct"/>
                  <w:vMerge w:val="restart"/>
                  <w:vAlign w:val="center"/>
                </w:tcPr>
                <w:p>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96户300人</w:t>
                  </w:r>
                </w:p>
              </w:tc>
              <w:tc>
                <w:tcPr>
                  <w:tcW w:w="1201" w:type="pct"/>
                  <w:vMerge w:val="restar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pPr>
                    <w:adjustRightInd w:val="0"/>
                    <w:snapToGrid w:val="0"/>
                    <w:jc w:val="center"/>
                    <w:rPr>
                      <w:rFonts w:ascii="Times New Roman" w:hAnsi="Times New Roman" w:cs="Times New Roman"/>
                      <w:color w:val="000000"/>
                      <w:sz w:val="21"/>
                      <w:szCs w:val="21"/>
                    </w:rPr>
                  </w:pPr>
                </w:p>
              </w:tc>
              <w:tc>
                <w:tcPr>
                  <w:tcW w:w="403" w:type="pct"/>
                  <w:vMerge w:val="continue"/>
                  <w:vAlign w:val="center"/>
                </w:tcPr>
                <w:p>
                  <w:pPr>
                    <w:snapToGrid w:val="0"/>
                    <w:jc w:val="center"/>
                    <w:rPr>
                      <w:rFonts w:ascii="Times New Roman" w:hAnsi="Times New Roman" w:cs="Times New Roman"/>
                      <w:color w:val="000000"/>
                      <w:sz w:val="21"/>
                      <w:szCs w:val="21"/>
                    </w:rPr>
                  </w:pPr>
                </w:p>
              </w:tc>
              <w:tc>
                <w:tcPr>
                  <w:tcW w:w="385" w:type="pct"/>
                  <w:vMerge w:val="continue"/>
                  <w:vAlign w:val="center"/>
                </w:tcPr>
                <w:p>
                  <w:pPr>
                    <w:snapToGrid w:val="0"/>
                    <w:jc w:val="center"/>
                    <w:rPr>
                      <w:rFonts w:ascii="Times New Roman" w:hAnsi="Times New Roman" w:cs="Times New Roman"/>
                      <w:color w:val="000000"/>
                      <w:sz w:val="21"/>
                      <w:szCs w:val="21"/>
                    </w:rPr>
                  </w:pPr>
                </w:p>
              </w:tc>
              <w:tc>
                <w:tcPr>
                  <w:tcW w:w="684" w:type="pct"/>
                  <w:vAlign w:val="center"/>
                </w:tcPr>
                <w:p>
                  <w:pPr>
                    <w:pStyle w:val="22"/>
                    <w:widowControl/>
                    <w:rPr>
                      <w:rFonts w:hint="default" w:ascii="Times New Roman" w:hAnsi="Times New Roman" w:cs="Times New Roman"/>
                      <w:color w:val="000000"/>
                      <w:sz w:val="21"/>
                      <w:szCs w:val="21"/>
                      <w:lang w:val="en-US"/>
                    </w:rPr>
                  </w:pPr>
                  <w:r>
                    <w:rPr>
                      <w:rFonts w:ascii="Times New Roman" w:hAnsi="Times New Roman" w:cs="Times New Roman"/>
                      <w:sz w:val="21"/>
                      <w:szCs w:val="21"/>
                    </w:rPr>
                    <w:t>102.7606</w:t>
                  </w:r>
                </w:p>
              </w:tc>
              <w:tc>
                <w:tcPr>
                  <w:tcW w:w="569" w:type="pct"/>
                  <w:vAlign w:val="center"/>
                </w:tcPr>
                <w:p>
                  <w:pPr>
                    <w:pStyle w:val="22"/>
                    <w:widowControl/>
                    <w:rPr>
                      <w:rFonts w:hint="default" w:ascii="Times New Roman" w:hAnsi="Times New Roman" w:cs="Times New Roman"/>
                      <w:color w:val="000000"/>
                      <w:sz w:val="21"/>
                      <w:szCs w:val="21"/>
                      <w:lang w:val="en-US"/>
                    </w:rPr>
                  </w:pPr>
                  <w:r>
                    <w:rPr>
                      <w:rFonts w:ascii="Times New Roman" w:hAnsi="Times New Roman" w:cs="Times New Roman"/>
                      <w:sz w:val="21"/>
                      <w:szCs w:val="21"/>
                    </w:rPr>
                    <w:t>24.6690</w:t>
                  </w:r>
                </w:p>
              </w:tc>
              <w:tc>
                <w:tcPr>
                  <w:tcW w:w="619" w:type="pct"/>
                  <w:vMerge w:val="continue"/>
                  <w:vAlign w:val="center"/>
                </w:tcPr>
                <w:p>
                  <w:pPr>
                    <w:snapToGrid w:val="0"/>
                    <w:jc w:val="center"/>
                    <w:rPr>
                      <w:rFonts w:ascii="Times New Roman" w:hAnsi="Times New Roman" w:cs="Times New Roman"/>
                      <w:color w:val="000000"/>
                      <w:sz w:val="21"/>
                      <w:szCs w:val="21"/>
                    </w:rPr>
                  </w:pPr>
                </w:p>
              </w:tc>
              <w:tc>
                <w:tcPr>
                  <w:tcW w:w="681" w:type="pct"/>
                  <w:vMerge w:val="continue"/>
                  <w:vAlign w:val="center"/>
                </w:tcPr>
                <w:p>
                  <w:pPr>
                    <w:snapToGrid w:val="0"/>
                    <w:jc w:val="center"/>
                    <w:rPr>
                      <w:rFonts w:ascii="Times New Roman" w:hAnsi="Times New Roman" w:cs="Times New Roman"/>
                      <w:color w:val="000000"/>
                      <w:sz w:val="21"/>
                      <w:szCs w:val="21"/>
                    </w:rPr>
                  </w:pPr>
                </w:p>
              </w:tc>
              <w:tc>
                <w:tcPr>
                  <w:tcW w:w="1201" w:type="pct"/>
                  <w:vMerge w:val="continue"/>
                  <w:vAlign w:val="center"/>
                </w:tcPr>
                <w:p>
                  <w:pPr>
                    <w:adjustRightInd w:val="0"/>
                    <w:snapToGrid w:val="0"/>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噪声</w:t>
                  </w:r>
                </w:p>
              </w:tc>
              <w:tc>
                <w:tcPr>
                  <w:tcW w:w="3343" w:type="pct"/>
                  <w:gridSpan w:val="6"/>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项目周围</w:t>
                  </w:r>
                  <w:r>
                    <w:rPr>
                      <w:rFonts w:hint="eastAsia" w:ascii="Times New Roman" w:hAnsi="Times New Roman" w:cs="Times New Roman"/>
                      <w:color w:val="000000"/>
                      <w:sz w:val="21"/>
                      <w:szCs w:val="21"/>
                      <w:lang w:val="en-US" w:eastAsia="zh-CN"/>
                    </w:rPr>
                    <w:t>50</w:t>
                  </w:r>
                  <w:r>
                    <w:rPr>
                      <w:rFonts w:ascii="Times New Roman" w:hAnsi="Times New Roman" w:cs="Times New Roman"/>
                      <w:color w:val="000000"/>
                      <w:sz w:val="21"/>
                      <w:szCs w:val="21"/>
                    </w:rPr>
                    <w:t>m范围内无噪声敏感点</w:t>
                  </w:r>
                </w:p>
              </w:tc>
              <w:tc>
                <w:tcPr>
                  <w:tcW w:w="1201" w:type="pct"/>
                  <w:vAlign w:val="center"/>
                </w:tcPr>
                <w:p>
                  <w:pPr>
                    <w:adjustRightInd w:val="0"/>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地表水</w:t>
                  </w:r>
                </w:p>
              </w:tc>
              <w:tc>
                <w:tcPr>
                  <w:tcW w:w="403"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大河</w:t>
                  </w:r>
                </w:p>
              </w:tc>
              <w:tc>
                <w:tcPr>
                  <w:tcW w:w="385"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西面</w:t>
                  </w:r>
                </w:p>
              </w:tc>
              <w:tc>
                <w:tcPr>
                  <w:tcW w:w="1253" w:type="pct"/>
                  <w:gridSpan w:val="2"/>
                  <w:vAlign w:val="center"/>
                </w:tcPr>
                <w:p>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619" w:type="pct"/>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1500</w:t>
                  </w:r>
                  <w:r>
                    <w:rPr>
                      <w:rFonts w:ascii="Times New Roman" w:hAnsi="Times New Roman" w:cs="Times New Roman"/>
                      <w:color w:val="000000"/>
                      <w:sz w:val="21"/>
                      <w:szCs w:val="21"/>
                    </w:rPr>
                    <w:t>m</w:t>
                  </w:r>
                </w:p>
              </w:tc>
              <w:tc>
                <w:tcPr>
                  <w:tcW w:w="681"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201"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《地表水环境质量标准》（GB3838-2002）Ⅲ类水标准</w:t>
                  </w:r>
                </w:p>
              </w:tc>
            </w:tr>
          </w:tbl>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2、声环境</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项目位于云南省</w:t>
            </w:r>
            <w:r>
              <w:rPr>
                <w:rFonts w:ascii="Times New Roman" w:hAnsi="Times New Roman" w:cs="Times New Roman"/>
                <w:lang w:val="en-US"/>
              </w:rPr>
              <w:t>昆明市晋宁区晋宁</w:t>
            </w:r>
            <w:r>
              <w:rPr>
                <w:rFonts w:ascii="Times New Roman" w:hAnsi="Times New Roman" w:cs="Times New Roman"/>
              </w:rPr>
              <w:t>工业园区</w:t>
            </w:r>
            <w:r>
              <w:rPr>
                <w:rFonts w:ascii="Times New Roman" w:hAnsi="Times New Roman" w:cs="Times New Roman"/>
                <w:lang w:val="en-US"/>
              </w:rPr>
              <w:t>晋城基地</w:t>
            </w:r>
            <w:r>
              <w:rPr>
                <w:rFonts w:ascii="Times New Roman" w:hAnsi="Times New Roman" w:cs="Times New Roman"/>
              </w:rPr>
              <w:t>，项目厂界外50m范围内无声环境保护目标。</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3、地下水环境</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项目位于云南省</w:t>
            </w:r>
            <w:r>
              <w:rPr>
                <w:rFonts w:ascii="Times New Roman" w:hAnsi="Times New Roman" w:cs="Times New Roman"/>
                <w:lang w:val="en-US"/>
              </w:rPr>
              <w:t>昆明市晋宁区晋宁</w:t>
            </w:r>
            <w:r>
              <w:rPr>
                <w:rFonts w:ascii="Times New Roman" w:hAnsi="Times New Roman" w:cs="Times New Roman"/>
              </w:rPr>
              <w:t>工业园区</w:t>
            </w:r>
            <w:r>
              <w:rPr>
                <w:rFonts w:ascii="Times New Roman" w:hAnsi="Times New Roman" w:cs="Times New Roman"/>
                <w:lang w:val="en-US"/>
              </w:rPr>
              <w:t>晋城基地</w:t>
            </w:r>
            <w:r>
              <w:rPr>
                <w:rFonts w:ascii="Times New Roman" w:hAnsi="Times New Roman" w:cs="Times New Roman"/>
              </w:rPr>
              <w:t>，项目厂界外500m范围内无集中式饮用水源和热水、矿泉水、温泉等特殊地下水资源。</w:t>
            </w:r>
          </w:p>
          <w:p>
            <w:pPr>
              <w:adjustRightInd w:val="0"/>
              <w:snapToGrid w:val="0"/>
              <w:spacing w:line="360" w:lineRule="auto"/>
              <w:ind w:left="420"/>
              <w:rPr>
                <w:rFonts w:ascii="Times New Roman" w:hAnsi="Times New Roman" w:cs="Times New Roman"/>
              </w:rPr>
            </w:pPr>
            <w:r>
              <w:rPr>
                <w:rFonts w:ascii="Times New Roman" w:hAnsi="Times New Roman" w:cs="Times New Roman"/>
              </w:rPr>
              <w:t>4、生态环境</w:t>
            </w:r>
          </w:p>
          <w:p>
            <w:pPr>
              <w:pStyle w:val="46"/>
              <w:snapToGrid w:val="0"/>
              <w:spacing w:line="360" w:lineRule="auto"/>
              <w:ind w:firstLine="480" w:firstLineChars="200"/>
              <w:jc w:val="both"/>
              <w:rPr>
                <w:rFonts w:ascii="Times New Roman" w:hAnsi="Times New Roman" w:cs="Times New Roman"/>
                <w:sz w:val="21"/>
              </w:rPr>
            </w:pPr>
            <w:r>
              <w:rPr>
                <w:rFonts w:ascii="Times New Roman" w:hAnsi="Times New Roman" w:cs="Times New Roman"/>
              </w:rPr>
              <w:t>项目用地位于云南省</w:t>
            </w:r>
            <w:r>
              <w:rPr>
                <w:rFonts w:ascii="Times New Roman" w:hAnsi="Times New Roman" w:cs="Times New Roman"/>
                <w:lang w:val="en-US"/>
              </w:rPr>
              <w:t>昆明市晋宁区晋宁</w:t>
            </w:r>
            <w:r>
              <w:rPr>
                <w:rFonts w:ascii="Times New Roman" w:hAnsi="Times New Roman" w:cs="Times New Roman"/>
              </w:rPr>
              <w:t>工业园区</w:t>
            </w:r>
            <w:r>
              <w:rPr>
                <w:rFonts w:ascii="Times New Roman" w:hAnsi="Times New Roman" w:cs="Times New Roman"/>
                <w:lang w:val="en-US"/>
              </w:rPr>
              <w:t>晋城基地</w:t>
            </w:r>
            <w:r>
              <w:rPr>
                <w:rFonts w:ascii="Times New Roman" w:hAnsi="Times New Roman" w:cs="Times New Roman"/>
              </w:rPr>
              <w:t>，项目用地位于产业园区内，占地不涉及园区范围外。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3" w:hRule="atLeast"/>
          <w:jc w:val="center"/>
        </w:trPr>
        <w:tc>
          <w:tcPr>
            <w:tcW w:w="757" w:type="dxa"/>
            <w:tcBorders>
              <w:tl2br w:val="nil"/>
              <w:tr2bl w:val="nil"/>
            </w:tcBorders>
          </w:tcPr>
          <w:p>
            <w:pPr>
              <w:pStyle w:val="46"/>
              <w:snapToGrid w:val="0"/>
              <w:spacing w:line="360" w:lineRule="auto"/>
              <w:jc w:val="center"/>
              <w:rPr>
                <w:rFonts w:ascii="Times New Roman" w:hAnsi="Times New Roman" w:cs="Times New Roman"/>
                <w:sz w:val="20"/>
              </w:rPr>
            </w:pPr>
          </w:p>
          <w:p>
            <w:pPr>
              <w:pStyle w:val="46"/>
              <w:snapToGrid w:val="0"/>
              <w:spacing w:line="360" w:lineRule="auto"/>
              <w:jc w:val="center"/>
              <w:rPr>
                <w:rFonts w:ascii="Times New Roman" w:hAnsi="Times New Roman" w:cs="Times New Roman"/>
                <w:sz w:val="20"/>
              </w:rPr>
            </w:pPr>
          </w:p>
          <w:p>
            <w:pPr>
              <w:pStyle w:val="46"/>
              <w:snapToGrid w:val="0"/>
              <w:spacing w:line="360" w:lineRule="auto"/>
              <w:jc w:val="center"/>
              <w:rPr>
                <w:rFonts w:ascii="Times New Roman" w:hAnsi="Times New Roman" w:cs="Times New Roman"/>
                <w:sz w:val="27"/>
              </w:rPr>
            </w:pPr>
          </w:p>
          <w:p>
            <w:pPr>
              <w:pStyle w:val="46"/>
              <w:snapToGrid w:val="0"/>
              <w:spacing w:line="360" w:lineRule="auto"/>
              <w:jc w:val="center"/>
              <w:rPr>
                <w:rFonts w:ascii="Times New Roman" w:hAnsi="Times New Roman" w:cs="Times New Roman"/>
                <w:sz w:val="21"/>
              </w:rPr>
            </w:pPr>
            <w:r>
              <w:rPr>
                <w:rFonts w:ascii="Times New Roman" w:hAnsi="Times New Roman" w:cs="Times New Roman"/>
              </w:rPr>
              <w:t>污染物排放控制标准</w:t>
            </w:r>
          </w:p>
        </w:tc>
        <w:tc>
          <w:tcPr>
            <w:tcW w:w="8147" w:type="dxa"/>
            <w:tcBorders>
              <w:tl2br w:val="nil"/>
              <w:tr2bl w:val="nil"/>
            </w:tcBorders>
          </w:tcPr>
          <w:p>
            <w:pPr>
              <w:snapToGrid w:val="0"/>
              <w:spacing w:line="360" w:lineRule="auto"/>
              <w:rPr>
                <w:rFonts w:ascii="Times New Roman" w:hAnsi="Times New Roman" w:cs="Times New Roman"/>
                <w:color w:val="000000"/>
              </w:rPr>
            </w:pPr>
            <w:r>
              <w:rPr>
                <w:rFonts w:ascii="Times New Roman" w:hAnsi="Times New Roman" w:cs="Times New Roman"/>
                <w:color w:val="000000"/>
              </w:rPr>
              <w:t>1、大气污染物排放标准</w:t>
            </w:r>
          </w:p>
          <w:p>
            <w:pPr>
              <w:snapToGrid w:val="0"/>
              <w:spacing w:line="360" w:lineRule="auto"/>
              <w:ind w:firstLine="482"/>
              <w:contextualSpacing/>
              <w:rPr>
                <w:rFonts w:ascii="Times New Roman" w:hAnsi="Times New Roman" w:cs="Times New Roman"/>
                <w:b/>
              </w:rPr>
            </w:pPr>
            <w:r>
              <w:rPr>
                <w:rFonts w:ascii="Times New Roman" w:hAnsi="Times New Roman" w:cs="Times New Roman"/>
                <w:b/>
              </w:rPr>
              <w:t>施工期：</w:t>
            </w:r>
          </w:p>
          <w:p>
            <w:pPr>
              <w:snapToGrid w:val="0"/>
              <w:spacing w:line="360" w:lineRule="auto"/>
              <w:ind w:firstLine="482"/>
              <w:contextualSpacing/>
              <w:rPr>
                <w:rFonts w:ascii="Times New Roman" w:hAnsi="Times New Roman" w:cs="Times New Roman"/>
                <w:b/>
              </w:rPr>
            </w:pPr>
            <w:r>
              <w:rPr>
                <w:rFonts w:ascii="Times New Roman" w:hAnsi="Times New Roman" w:cs="Times New Roman"/>
                <w:b/>
              </w:rPr>
              <w:t>1、噪声</w:t>
            </w:r>
          </w:p>
          <w:p>
            <w:pPr>
              <w:snapToGrid w:val="0"/>
              <w:spacing w:line="360" w:lineRule="auto"/>
              <w:ind w:firstLine="480"/>
              <w:contextualSpacing/>
              <w:rPr>
                <w:rFonts w:ascii="Times New Roman" w:hAnsi="Times New Roman" w:cs="Times New Roman"/>
              </w:rPr>
            </w:pPr>
            <w:r>
              <w:rPr>
                <w:rFonts w:ascii="Times New Roman" w:hAnsi="Times New Roman" w:cs="Times New Roman"/>
              </w:rPr>
              <w:t>施工期产生噪声有机器调试噪声和车辆运输噪声，该部分噪声排放执行GB12523－2011《建筑施工场界环境噪声排放标准》，见表3-</w:t>
            </w:r>
            <w:r>
              <w:rPr>
                <w:rFonts w:ascii="Times New Roman" w:hAnsi="Times New Roman" w:cs="Times New Roman"/>
                <w:lang w:val="en-US"/>
              </w:rPr>
              <w:t>4</w:t>
            </w:r>
            <w:r>
              <w:rPr>
                <w:rFonts w:ascii="Times New Roman" w:hAnsi="Times New Roman" w:cs="Times New Roman"/>
              </w:rPr>
              <w:t>。</w:t>
            </w:r>
          </w:p>
          <w:p>
            <w:pPr>
              <w:pStyle w:val="10"/>
              <w:ind w:firstLine="422"/>
            </w:pPr>
            <w:r>
              <w:t>表3-4GB12523－2011《建筑施工场界环境噪声排放标准》</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4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2245" w:type="pct"/>
                  <w:vAlign w:val="center"/>
                </w:tcPr>
                <w:p>
                  <w:pPr>
                    <w:pStyle w:val="43"/>
                    <w:tabs>
                      <w:tab w:val="left" w:pos="5530"/>
                    </w:tabs>
                    <w:ind w:firstLine="420"/>
                    <w:rPr>
                      <w:rFonts w:cs="Times New Roman"/>
                      <w:lang w:val="en-US"/>
                    </w:rPr>
                  </w:pPr>
                  <w:r>
                    <w:rPr>
                      <w:rFonts w:cs="Times New Roman"/>
                      <w:lang w:val="en-US"/>
                    </w:rPr>
                    <w:t>昼间</w:t>
                  </w:r>
                </w:p>
              </w:tc>
              <w:tc>
                <w:tcPr>
                  <w:tcW w:w="2754" w:type="pct"/>
                  <w:vAlign w:val="center"/>
                </w:tcPr>
                <w:p>
                  <w:pPr>
                    <w:pStyle w:val="43"/>
                    <w:tabs>
                      <w:tab w:val="left" w:pos="5530"/>
                    </w:tabs>
                    <w:ind w:firstLine="420"/>
                    <w:rPr>
                      <w:rFonts w:cs="Times New Roman"/>
                      <w:lang w:val="en-US"/>
                    </w:rPr>
                  </w:pPr>
                  <w:r>
                    <w:rPr>
                      <w:rFonts w:cs="Times New Roman"/>
                      <w:lang w:val="en-US"/>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5" w:type="pct"/>
                  <w:vAlign w:val="center"/>
                </w:tcPr>
                <w:p>
                  <w:pPr>
                    <w:pStyle w:val="43"/>
                    <w:tabs>
                      <w:tab w:val="left" w:pos="5530"/>
                    </w:tabs>
                    <w:ind w:firstLine="420"/>
                    <w:rPr>
                      <w:rFonts w:cs="Times New Roman"/>
                      <w:lang w:val="en-US"/>
                    </w:rPr>
                  </w:pPr>
                  <w:r>
                    <w:rPr>
                      <w:rFonts w:cs="Times New Roman"/>
                      <w:lang w:val="en-US"/>
                    </w:rPr>
                    <w:t>70</w:t>
                  </w:r>
                </w:p>
              </w:tc>
              <w:tc>
                <w:tcPr>
                  <w:tcW w:w="2754" w:type="pct"/>
                  <w:vAlign w:val="center"/>
                </w:tcPr>
                <w:p>
                  <w:pPr>
                    <w:pStyle w:val="43"/>
                    <w:tabs>
                      <w:tab w:val="left" w:pos="5530"/>
                    </w:tabs>
                    <w:ind w:firstLine="420"/>
                    <w:rPr>
                      <w:rFonts w:cs="Times New Roman"/>
                      <w:lang w:val="en-US"/>
                    </w:rPr>
                  </w:pPr>
                  <w:r>
                    <w:rPr>
                      <w:rFonts w:cs="Times New Roman"/>
                      <w:lang w:val="en-US"/>
                    </w:rPr>
                    <w:t>55</w:t>
                  </w:r>
                </w:p>
              </w:tc>
            </w:tr>
          </w:tbl>
          <w:p>
            <w:pPr>
              <w:snapToGrid w:val="0"/>
              <w:spacing w:line="360" w:lineRule="auto"/>
              <w:ind w:firstLine="482"/>
              <w:contextualSpacing/>
              <w:rPr>
                <w:rFonts w:ascii="Times New Roman" w:hAnsi="Times New Roman" w:cs="Times New Roman"/>
                <w:b/>
              </w:rPr>
            </w:pPr>
            <w:r>
              <w:rPr>
                <w:rFonts w:ascii="Times New Roman" w:hAnsi="Times New Roman" w:cs="Times New Roman"/>
                <w:b/>
              </w:rPr>
              <w:t>2、废气</w:t>
            </w:r>
          </w:p>
          <w:p>
            <w:pPr>
              <w:snapToGrid w:val="0"/>
              <w:spacing w:line="360" w:lineRule="auto"/>
              <w:ind w:firstLine="480"/>
              <w:rPr>
                <w:rFonts w:ascii="Times New Roman" w:hAnsi="Times New Roman" w:cs="Times New Roman"/>
              </w:rPr>
            </w:pPr>
            <w:r>
              <w:rPr>
                <w:rFonts w:ascii="Times New Roman" w:hAnsi="Times New Roman" w:cs="Times New Roman"/>
              </w:rPr>
              <w:t>施工期产生废气有道路扬尘、汽车尾气，该部分废气均为无组织排放，执行GB16297-1996《大气污染物综合排放标准》无组织排放监控浓度限制，见表3-</w:t>
            </w:r>
            <w:r>
              <w:rPr>
                <w:rFonts w:ascii="Times New Roman" w:hAnsi="Times New Roman" w:cs="Times New Roman"/>
                <w:lang w:val="en-US"/>
              </w:rPr>
              <w:t>5</w:t>
            </w:r>
            <w:r>
              <w:rPr>
                <w:rFonts w:ascii="Times New Roman" w:hAnsi="Times New Roman" w:cs="Times New Roman"/>
              </w:rPr>
              <w:t>。</w:t>
            </w:r>
          </w:p>
          <w:p>
            <w:pPr>
              <w:pStyle w:val="10"/>
              <w:ind w:firstLine="422"/>
              <w:rPr>
                <w:bCs w:val="0"/>
              </w:rPr>
            </w:pPr>
            <w:r>
              <w:rPr>
                <w:bCs w:val="0"/>
              </w:rPr>
              <w:t>表3-5施工期大气污染物排放限值单位：mg/m</w:t>
            </w:r>
            <w:r>
              <w:rPr>
                <w:vertAlign w:val="superscript"/>
              </w:rPr>
              <w:t>3</w:t>
            </w:r>
          </w:p>
          <w:tbl>
            <w:tblPr>
              <w:tblStyle w:val="26"/>
              <w:tblW w:w="4999"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1830"/>
              <w:gridCol w:w="1552"/>
              <w:gridCol w:w="378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592" w:type="pct"/>
                  <w:vAlign w:val="center"/>
                </w:tcPr>
                <w:p>
                  <w:pPr>
                    <w:pStyle w:val="43"/>
                    <w:tabs>
                      <w:tab w:val="left" w:pos="5530"/>
                    </w:tabs>
                    <w:spacing w:line="240" w:lineRule="exact"/>
                    <w:rPr>
                      <w:rFonts w:cs="Times New Roman"/>
                      <w:lang w:val="en-US"/>
                    </w:rPr>
                  </w:pPr>
                  <w:r>
                    <w:rPr>
                      <w:rFonts w:cs="Times New Roman"/>
                      <w:lang w:val="en-US"/>
                    </w:rPr>
                    <w:t>序号</w:t>
                  </w:r>
                </w:p>
              </w:tc>
              <w:tc>
                <w:tcPr>
                  <w:tcW w:w="2079" w:type="pct"/>
                  <w:gridSpan w:val="2"/>
                  <w:vAlign w:val="center"/>
                </w:tcPr>
                <w:p>
                  <w:pPr>
                    <w:pStyle w:val="43"/>
                    <w:tabs>
                      <w:tab w:val="left" w:pos="5530"/>
                    </w:tabs>
                    <w:spacing w:line="240" w:lineRule="exact"/>
                    <w:rPr>
                      <w:rFonts w:cs="Times New Roman"/>
                      <w:lang w:val="en-US"/>
                    </w:rPr>
                  </w:pPr>
                  <w:r>
                    <w:rPr>
                      <w:rFonts w:cs="Times New Roman"/>
                      <w:lang w:val="en-US"/>
                    </w:rPr>
                    <w:t>污染物因子</w:t>
                  </w:r>
                </w:p>
              </w:tc>
              <w:tc>
                <w:tcPr>
                  <w:tcW w:w="2328" w:type="pct"/>
                  <w:vAlign w:val="center"/>
                </w:tcPr>
                <w:p>
                  <w:pPr>
                    <w:pStyle w:val="43"/>
                    <w:tabs>
                      <w:tab w:val="left" w:pos="5530"/>
                    </w:tabs>
                    <w:spacing w:line="240" w:lineRule="exact"/>
                    <w:rPr>
                      <w:rFonts w:cs="Times New Roman"/>
                      <w:lang w:val="en-US"/>
                    </w:rPr>
                  </w:pPr>
                  <w:r>
                    <w:rPr>
                      <w:rFonts w:cs="Times New Roman"/>
                      <w:color w:val="000000"/>
                      <w:szCs w:val="21"/>
                      <w:lang w:val="en-US"/>
                    </w:rPr>
                    <w:t>周界外浓度最高点</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592" w:type="pct"/>
                  <w:vAlign w:val="center"/>
                </w:tcPr>
                <w:p>
                  <w:pPr>
                    <w:pStyle w:val="43"/>
                    <w:tabs>
                      <w:tab w:val="left" w:pos="5530"/>
                    </w:tabs>
                    <w:spacing w:line="240" w:lineRule="exact"/>
                    <w:rPr>
                      <w:rFonts w:cs="Times New Roman"/>
                      <w:lang w:val="en-US"/>
                    </w:rPr>
                  </w:pPr>
                  <w:r>
                    <w:rPr>
                      <w:rFonts w:cs="Times New Roman"/>
                      <w:lang w:val="en-US"/>
                    </w:rPr>
                    <w:t>1</w:t>
                  </w:r>
                </w:p>
              </w:tc>
              <w:tc>
                <w:tcPr>
                  <w:tcW w:w="1125" w:type="pct"/>
                  <w:vAlign w:val="center"/>
                </w:tcPr>
                <w:p>
                  <w:pPr>
                    <w:pStyle w:val="43"/>
                    <w:tabs>
                      <w:tab w:val="left" w:pos="5530"/>
                    </w:tabs>
                    <w:spacing w:line="240" w:lineRule="exact"/>
                    <w:rPr>
                      <w:rFonts w:cs="Times New Roman"/>
                      <w:lang w:val="en-US"/>
                    </w:rPr>
                  </w:pPr>
                  <w:r>
                    <w:rPr>
                      <w:rFonts w:cs="Times New Roman"/>
                      <w:lang w:val="en-US"/>
                    </w:rPr>
                    <w:t>施工期周界</w:t>
                  </w:r>
                </w:p>
              </w:tc>
              <w:tc>
                <w:tcPr>
                  <w:tcW w:w="953" w:type="pct"/>
                  <w:vAlign w:val="center"/>
                </w:tcPr>
                <w:p>
                  <w:pPr>
                    <w:pStyle w:val="43"/>
                    <w:tabs>
                      <w:tab w:val="left" w:pos="5530"/>
                    </w:tabs>
                    <w:spacing w:line="240" w:lineRule="exact"/>
                    <w:rPr>
                      <w:rFonts w:cs="Times New Roman"/>
                      <w:lang w:val="en-US"/>
                    </w:rPr>
                  </w:pPr>
                  <w:r>
                    <w:rPr>
                      <w:rFonts w:cs="Times New Roman"/>
                      <w:lang w:val="en-US"/>
                    </w:rPr>
                    <w:t>TSP</w:t>
                  </w:r>
                </w:p>
              </w:tc>
              <w:tc>
                <w:tcPr>
                  <w:tcW w:w="2328" w:type="pct"/>
                  <w:vAlign w:val="center"/>
                </w:tcPr>
                <w:p>
                  <w:pPr>
                    <w:pStyle w:val="43"/>
                    <w:tabs>
                      <w:tab w:val="left" w:pos="5530"/>
                    </w:tabs>
                    <w:spacing w:line="240" w:lineRule="exact"/>
                    <w:rPr>
                      <w:rFonts w:cs="Times New Roman"/>
                      <w:lang w:val="en-US"/>
                    </w:rPr>
                  </w:pPr>
                  <w:r>
                    <w:rPr>
                      <w:rFonts w:cs="Times New Roman"/>
                      <w:lang w:val="en-US"/>
                    </w:rPr>
                    <w:t>≤1.0</w:t>
                  </w:r>
                </w:p>
              </w:tc>
            </w:tr>
          </w:tbl>
          <w:p>
            <w:pPr>
              <w:pStyle w:val="14"/>
              <w:snapToGrid w:val="0"/>
              <w:spacing w:line="360" w:lineRule="auto"/>
              <w:ind w:right="257" w:firstLine="480"/>
              <w:rPr>
                <w:rFonts w:ascii="Times New Roman" w:hAnsi="Times New Roman" w:eastAsia="宋体" w:cs="Times New Roman"/>
                <w:b/>
                <w:bCs/>
                <w:sz w:val="24"/>
                <w:szCs w:val="24"/>
                <w:lang w:val="en-US"/>
              </w:rPr>
            </w:pPr>
            <w:bookmarkStart w:id="6" w:name="_Toc14989"/>
            <w:r>
              <w:rPr>
                <w:rFonts w:ascii="Times New Roman" w:hAnsi="Times New Roman" w:eastAsia="宋体" w:cs="Times New Roman"/>
                <w:b/>
                <w:bCs/>
                <w:sz w:val="24"/>
                <w:szCs w:val="24"/>
                <w:lang w:val="en-US"/>
              </w:rPr>
              <w:t>3、废水</w:t>
            </w:r>
            <w:bookmarkEnd w:id="6"/>
          </w:p>
          <w:p>
            <w:pPr>
              <w:pStyle w:val="14"/>
              <w:snapToGrid w:val="0"/>
              <w:spacing w:line="360" w:lineRule="auto"/>
              <w:ind w:right="257" w:firstLine="480"/>
              <w:rPr>
                <w:rFonts w:ascii="Times New Roman" w:hAnsi="Times New Roman" w:eastAsia="宋体" w:cs="Times New Roman"/>
                <w:b/>
                <w:sz w:val="24"/>
                <w:szCs w:val="24"/>
                <w:lang w:val="en-US"/>
              </w:rPr>
            </w:pPr>
            <w:bookmarkStart w:id="7" w:name="_Toc9372"/>
            <w:r>
              <w:rPr>
                <w:rFonts w:ascii="Times New Roman" w:hAnsi="Times New Roman" w:eastAsia="宋体" w:cs="Times New Roman"/>
                <w:sz w:val="24"/>
              </w:rPr>
              <w:t>项目施工人员均不在项目区内食宿，项目不在场地设置施工营地，施工期的生活污水主要是建筑施工人员在施工场地内洗手等卫生用水，经1座施工废水沉淀池收集沉淀后回用于场内洒水、道路浇洒用水等，不外排</w:t>
            </w:r>
            <w:r>
              <w:rPr>
                <w:rFonts w:ascii="Times New Roman" w:hAnsi="Times New Roman" w:eastAsia="宋体" w:cs="Times New Roman"/>
                <w:sz w:val="24"/>
                <w:szCs w:val="24"/>
                <w:lang w:val="en-US"/>
              </w:rPr>
              <w:t>。</w:t>
            </w:r>
            <w:bookmarkEnd w:id="7"/>
          </w:p>
          <w:p>
            <w:pPr>
              <w:snapToGrid w:val="0"/>
              <w:spacing w:line="360" w:lineRule="auto"/>
              <w:ind w:firstLine="482"/>
              <w:contextualSpacing/>
              <w:rPr>
                <w:rFonts w:ascii="Times New Roman" w:hAnsi="Times New Roman" w:cs="Times New Roman"/>
                <w:b/>
              </w:rPr>
            </w:pPr>
            <w:r>
              <w:rPr>
                <w:rFonts w:ascii="Times New Roman" w:hAnsi="Times New Roman" w:cs="Times New Roman"/>
                <w:b/>
              </w:rPr>
              <w:t>运营期：</w:t>
            </w:r>
          </w:p>
          <w:p>
            <w:pPr>
              <w:snapToGrid w:val="0"/>
              <w:spacing w:line="360" w:lineRule="auto"/>
              <w:ind w:firstLine="482"/>
              <w:contextualSpacing/>
              <w:rPr>
                <w:rFonts w:ascii="Times New Roman" w:hAnsi="Times New Roman" w:cs="Times New Roman"/>
                <w:b/>
              </w:rPr>
            </w:pPr>
            <w:r>
              <w:rPr>
                <w:rFonts w:ascii="Times New Roman" w:hAnsi="Times New Roman" w:cs="Times New Roman"/>
                <w:b/>
              </w:rPr>
              <w:t>1、废水</w:t>
            </w:r>
          </w:p>
          <w:p>
            <w:pPr>
              <w:snapToGrid w:val="0"/>
              <w:spacing w:line="360" w:lineRule="auto"/>
              <w:ind w:firstLine="480"/>
              <w:rPr>
                <w:rFonts w:hint="eastAsia"/>
              </w:rPr>
            </w:pPr>
            <w:r>
              <w:rPr>
                <w:rFonts w:ascii="Times New Roman" w:hAnsi="Times New Roman" w:cs="Times New Roman"/>
                <w:lang w:val="en-US"/>
              </w:rPr>
              <w:t>项目冷却用水全部循使用</w:t>
            </w:r>
            <w:r>
              <w:rPr>
                <w:rFonts w:ascii="Times New Roman" w:hAnsi="Times New Roman" w:cs="Times New Roman"/>
              </w:rPr>
              <w:t>，不</w:t>
            </w:r>
            <w:r>
              <w:rPr>
                <w:rFonts w:ascii="Times New Roman" w:hAnsi="Times New Roman" w:cs="Times New Roman"/>
                <w:lang w:val="en-US"/>
              </w:rPr>
              <w:t>产生生产</w:t>
            </w:r>
            <w:r>
              <w:rPr>
                <w:rFonts w:ascii="Times New Roman" w:hAnsi="Times New Roman" w:cs="Times New Roman"/>
              </w:rPr>
              <w:t>废水，本项目</w:t>
            </w:r>
            <w:r>
              <w:rPr>
                <w:rFonts w:ascii="Times New Roman" w:hAnsi="Times New Roman" w:cs="Times New Roman"/>
                <w:lang w:val="en-US"/>
              </w:rPr>
              <w:t>不</w:t>
            </w:r>
            <w:r>
              <w:rPr>
                <w:rFonts w:ascii="Times New Roman" w:hAnsi="Times New Roman" w:cs="Times New Roman"/>
              </w:rPr>
              <w:t>在厂区设食宿，外排废水主要为员工生活污水；</w:t>
            </w:r>
            <w:r>
              <w:rPr>
                <w:rFonts w:ascii="Times New Roman" w:hAnsi="Times New Roman" w:cs="Times New Roman"/>
                <w:lang w:val="en-US"/>
              </w:rPr>
              <w:t>员工生活污水依托</w:t>
            </w:r>
            <w:r>
              <w:rPr>
                <w:rFonts w:ascii="Times New Roman" w:hAnsi="Times New Roman" w:cs="Times New Roman"/>
                <w:color w:val="000000"/>
              </w:rPr>
              <w:t>云南俊腾达房地产开发有限公司</w:t>
            </w:r>
            <w:r>
              <w:rPr>
                <w:rFonts w:ascii="Times New Roman" w:hAnsi="Times New Roman" w:cs="Times New Roman"/>
              </w:rPr>
              <w:t>化粪池进行预处理，化粪池预处理后，达到GB/T31962-2015《污水排入城镇下水道水质标准》(表1)A等级标准后排入</w:t>
            </w:r>
            <w:r>
              <w:rPr>
                <w:rFonts w:ascii="Times New Roman" w:hAnsi="Times New Roman" w:cs="Times New Roman"/>
                <w:color w:val="000000"/>
              </w:rPr>
              <w:t>云南俊腾达房地产开发有限公司中水处理站处理</w:t>
            </w:r>
            <w:r>
              <w:rPr>
                <w:rFonts w:hint="eastAsia" w:ascii="Times New Roman" w:hAnsi="Times New Roman" w:cs="Times New Roman"/>
                <w:color w:val="000000"/>
              </w:rPr>
              <w:t>后</w:t>
            </w:r>
            <w:r>
              <w:rPr>
                <w:rFonts w:ascii="Times New Roman" w:hAnsi="Times New Roman" w:cs="Times New Roman"/>
                <w:color w:val="000000"/>
              </w:rPr>
              <w:t>，</w:t>
            </w:r>
            <w:r>
              <w:rPr>
                <w:rFonts w:hint="eastAsia" w:ascii="Times New Roman" w:hAnsi="Times New Roman" w:cs="Times New Roman"/>
                <w:color w:val="000000"/>
              </w:rPr>
              <w:t>优先</w:t>
            </w:r>
            <w:r>
              <w:rPr>
                <w:rFonts w:ascii="Times New Roman" w:hAnsi="Times New Roman" w:cs="Times New Roman"/>
                <w:color w:val="000000"/>
              </w:rPr>
              <w:t>回用于云南俊腾达房地产开发有限公司厂区内道路浇水及绿化</w:t>
            </w:r>
            <w:r>
              <w:rPr>
                <w:rFonts w:hint="eastAsia"/>
              </w:rPr>
              <w:t>，不能回用部分排入园区污水管网，最终进入淤泥河水质净化厂处理。</w:t>
            </w:r>
          </w:p>
          <w:p>
            <w:pPr>
              <w:snapToGrid w:val="0"/>
              <w:spacing w:line="360" w:lineRule="auto"/>
              <w:ind w:firstLine="480"/>
              <w:rPr>
                <w:rFonts w:ascii="Times New Roman" w:hAnsi="Times New Roman" w:cs="Times New Roman"/>
              </w:rPr>
            </w:pPr>
            <w:r>
              <w:rPr>
                <w:rFonts w:ascii="Times New Roman" w:hAnsi="Times New Roman" w:cs="Times New Roman"/>
              </w:rPr>
              <w:t>详见下表3-</w:t>
            </w:r>
            <w:r>
              <w:rPr>
                <w:rFonts w:ascii="Times New Roman" w:hAnsi="Times New Roman" w:cs="Times New Roman"/>
                <w:lang w:val="en-US"/>
              </w:rPr>
              <w:t>6</w:t>
            </w:r>
            <w:r>
              <w:rPr>
                <w:rFonts w:ascii="Times New Roman" w:hAnsi="Times New Roman" w:cs="Times New Roman"/>
              </w:rPr>
              <w:t>。</w:t>
            </w:r>
          </w:p>
          <w:p>
            <w:pPr>
              <w:snapToGrid w:val="0"/>
              <w:ind w:firstLine="482"/>
              <w:jc w:val="center"/>
              <w:rPr>
                <w:rFonts w:ascii="Times New Roman" w:hAnsi="Times New Roman" w:cs="Times New Roman"/>
                <w:sz w:val="21"/>
                <w:szCs w:val="21"/>
              </w:rPr>
            </w:pPr>
            <w:r>
              <w:rPr>
                <w:rFonts w:ascii="Times New Roman" w:hAnsi="Times New Roman" w:cs="Times New Roman"/>
                <w:b/>
                <w:bCs/>
                <w:sz w:val="21"/>
                <w:szCs w:val="21"/>
              </w:rPr>
              <w:t>表3-</w:t>
            </w:r>
            <w:r>
              <w:rPr>
                <w:rFonts w:ascii="Times New Roman" w:hAnsi="Times New Roman" w:cs="Times New Roman"/>
                <w:b/>
                <w:bCs/>
                <w:sz w:val="21"/>
                <w:szCs w:val="21"/>
                <w:lang w:val="en-US"/>
              </w:rPr>
              <w:t>6</w:t>
            </w:r>
            <w:r>
              <w:rPr>
                <w:rFonts w:ascii="Times New Roman" w:hAnsi="Times New Roman" w:cs="Times New Roman"/>
                <w:b/>
                <w:bCs/>
                <w:sz w:val="21"/>
                <w:szCs w:val="21"/>
              </w:rPr>
              <w:t>《污水排入城镇下水道水质标准》表1A等级标准</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67"/>
              <w:gridCol w:w="1118"/>
              <w:gridCol w:w="1191"/>
              <w:gridCol w:w="1173"/>
              <w:gridCol w:w="1027"/>
              <w:gridCol w:w="1141"/>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序号</w:t>
                  </w:r>
                </w:p>
              </w:tc>
              <w:tc>
                <w:tcPr>
                  <w:tcW w:w="533"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1</w:t>
                  </w:r>
                </w:p>
              </w:tc>
              <w:tc>
                <w:tcPr>
                  <w:tcW w:w="687"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2</w:t>
                  </w:r>
                </w:p>
              </w:tc>
              <w:tc>
                <w:tcPr>
                  <w:tcW w:w="732"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3</w:t>
                  </w:r>
                </w:p>
              </w:tc>
              <w:tc>
                <w:tcPr>
                  <w:tcW w:w="721"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4</w:t>
                  </w:r>
                </w:p>
              </w:tc>
              <w:tc>
                <w:tcPr>
                  <w:tcW w:w="631"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5</w:t>
                  </w:r>
                </w:p>
              </w:tc>
              <w:tc>
                <w:tcPr>
                  <w:tcW w:w="701"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6</w:t>
                  </w:r>
                </w:p>
              </w:tc>
              <w:tc>
                <w:tcPr>
                  <w:tcW w:w="716"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5" w:type="pct"/>
                  <w:vAlign w:val="center"/>
                </w:tcPr>
                <w:p>
                  <w:pPr>
                    <w:snapToGrid w:val="0"/>
                    <w:spacing w:line="240" w:lineRule="atLeast"/>
                    <w:rPr>
                      <w:rFonts w:ascii="Times New Roman" w:hAnsi="Times New Roman" w:cs="Times New Roman"/>
                      <w:sz w:val="21"/>
                      <w:szCs w:val="21"/>
                    </w:rPr>
                  </w:pPr>
                  <w:r>
                    <w:rPr>
                      <w:rFonts w:ascii="Times New Roman" w:hAnsi="Times New Roman" w:cs="Times New Roman"/>
                      <w:sz w:val="21"/>
                      <w:szCs w:val="21"/>
                    </w:rPr>
                    <w:t>类型</w:t>
                  </w:r>
                </w:p>
              </w:tc>
              <w:tc>
                <w:tcPr>
                  <w:tcW w:w="533"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pH值</w:t>
                  </w:r>
                </w:p>
              </w:tc>
              <w:tc>
                <w:tcPr>
                  <w:tcW w:w="687"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SS</w:t>
                  </w:r>
                </w:p>
              </w:tc>
              <w:tc>
                <w:tcPr>
                  <w:tcW w:w="732"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CODcr</w:t>
                  </w:r>
                </w:p>
              </w:tc>
              <w:tc>
                <w:tcPr>
                  <w:tcW w:w="721"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631"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氨氮</w:t>
                  </w:r>
                </w:p>
              </w:tc>
              <w:tc>
                <w:tcPr>
                  <w:tcW w:w="701"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T-P</w:t>
                  </w:r>
                </w:p>
              </w:tc>
              <w:tc>
                <w:tcPr>
                  <w:tcW w:w="716" w:type="pct"/>
                  <w:vAlign w:val="center"/>
                </w:tcPr>
                <w:p>
                  <w:pPr>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75" w:type="pct"/>
                  <w:vAlign w:val="center"/>
                </w:tcPr>
                <w:p>
                  <w:pPr>
                    <w:snapToGrid w:val="0"/>
                    <w:spacing w:line="240" w:lineRule="atLeast"/>
                    <w:rPr>
                      <w:rFonts w:ascii="Times New Roman" w:hAnsi="Times New Roman" w:cs="Times New Roman"/>
                      <w:sz w:val="21"/>
                      <w:szCs w:val="21"/>
                    </w:rPr>
                  </w:pPr>
                  <w:r>
                    <w:rPr>
                      <w:rFonts w:ascii="Times New Roman" w:hAnsi="Times New Roman" w:cs="Times New Roman"/>
                      <w:sz w:val="21"/>
                      <w:szCs w:val="21"/>
                    </w:rPr>
                    <w:t>标准</w:t>
                  </w:r>
                </w:p>
              </w:tc>
              <w:tc>
                <w:tcPr>
                  <w:tcW w:w="533" w:type="pct"/>
                  <w:vAlign w:val="center"/>
                </w:tcPr>
                <w:p>
                  <w:pPr>
                    <w:snapToGrid w:val="0"/>
                    <w:spacing w:line="240" w:lineRule="atLeast"/>
                    <w:rPr>
                      <w:rFonts w:ascii="Times New Roman" w:hAnsi="Times New Roman" w:cs="Times New Roman"/>
                      <w:sz w:val="21"/>
                      <w:szCs w:val="21"/>
                    </w:rPr>
                  </w:pPr>
                  <w:r>
                    <w:rPr>
                      <w:rFonts w:ascii="Times New Roman" w:hAnsi="Times New Roman" w:cs="Times New Roman"/>
                      <w:sz w:val="21"/>
                      <w:szCs w:val="21"/>
                    </w:rPr>
                    <w:t>6.5-9.5</w:t>
                  </w:r>
                </w:p>
              </w:tc>
              <w:tc>
                <w:tcPr>
                  <w:tcW w:w="687" w:type="pct"/>
                  <w:vAlign w:val="center"/>
                </w:tcPr>
                <w:p>
                  <w:pPr>
                    <w:snapToGrid w:val="0"/>
                    <w:spacing w:line="240" w:lineRule="atLeast"/>
                    <w:rPr>
                      <w:rFonts w:ascii="Times New Roman" w:hAnsi="Times New Roman" w:cs="Times New Roman"/>
                      <w:sz w:val="21"/>
                      <w:szCs w:val="21"/>
                    </w:rPr>
                  </w:pPr>
                  <w:r>
                    <w:rPr>
                      <w:rFonts w:ascii="Times New Roman" w:hAnsi="Times New Roman" w:cs="Times New Roman"/>
                      <w:sz w:val="21"/>
                      <w:szCs w:val="21"/>
                    </w:rPr>
                    <w:t>≤400mg/L</w:t>
                  </w:r>
                </w:p>
              </w:tc>
              <w:tc>
                <w:tcPr>
                  <w:tcW w:w="732" w:type="pct"/>
                  <w:vAlign w:val="center"/>
                </w:tcPr>
                <w:p>
                  <w:pPr>
                    <w:snapToGrid w:val="0"/>
                    <w:spacing w:line="240" w:lineRule="atLeast"/>
                    <w:rPr>
                      <w:rFonts w:ascii="Times New Roman" w:hAnsi="Times New Roman" w:cs="Times New Roman"/>
                      <w:sz w:val="21"/>
                      <w:szCs w:val="21"/>
                    </w:rPr>
                  </w:pPr>
                  <w:r>
                    <w:rPr>
                      <w:rFonts w:ascii="Times New Roman" w:hAnsi="Times New Roman" w:cs="Times New Roman"/>
                      <w:sz w:val="21"/>
                      <w:szCs w:val="21"/>
                    </w:rPr>
                    <w:t>≤500mg/L</w:t>
                  </w:r>
                </w:p>
              </w:tc>
              <w:tc>
                <w:tcPr>
                  <w:tcW w:w="721" w:type="pct"/>
                  <w:vAlign w:val="center"/>
                </w:tcPr>
                <w:p>
                  <w:pPr>
                    <w:snapToGrid w:val="0"/>
                    <w:spacing w:line="240" w:lineRule="atLeast"/>
                    <w:rPr>
                      <w:rFonts w:ascii="Times New Roman" w:hAnsi="Times New Roman" w:cs="Times New Roman"/>
                      <w:sz w:val="21"/>
                      <w:szCs w:val="21"/>
                    </w:rPr>
                  </w:pPr>
                  <w:r>
                    <w:rPr>
                      <w:rFonts w:ascii="Times New Roman" w:hAnsi="Times New Roman" w:cs="Times New Roman"/>
                      <w:sz w:val="21"/>
                      <w:szCs w:val="21"/>
                    </w:rPr>
                    <w:t>≤350mg/L</w:t>
                  </w:r>
                </w:p>
              </w:tc>
              <w:tc>
                <w:tcPr>
                  <w:tcW w:w="631" w:type="pct"/>
                  <w:vAlign w:val="center"/>
                </w:tcPr>
                <w:p>
                  <w:pPr>
                    <w:snapToGrid w:val="0"/>
                    <w:spacing w:line="240" w:lineRule="atLeast"/>
                    <w:rPr>
                      <w:rFonts w:ascii="Times New Roman" w:hAnsi="Times New Roman" w:cs="Times New Roman"/>
                      <w:sz w:val="21"/>
                      <w:szCs w:val="21"/>
                    </w:rPr>
                  </w:pPr>
                  <w:r>
                    <w:rPr>
                      <w:rFonts w:ascii="Times New Roman" w:hAnsi="Times New Roman" w:cs="Times New Roman"/>
                      <w:sz w:val="21"/>
                      <w:szCs w:val="21"/>
                    </w:rPr>
                    <w:t>≤45mg/L</w:t>
                  </w:r>
                </w:p>
              </w:tc>
              <w:tc>
                <w:tcPr>
                  <w:tcW w:w="701" w:type="pct"/>
                  <w:vAlign w:val="center"/>
                </w:tcPr>
                <w:p>
                  <w:pPr>
                    <w:snapToGrid w:val="0"/>
                    <w:spacing w:line="240" w:lineRule="atLeast"/>
                    <w:rPr>
                      <w:rFonts w:ascii="Times New Roman" w:hAnsi="Times New Roman" w:cs="Times New Roman"/>
                      <w:sz w:val="21"/>
                      <w:szCs w:val="21"/>
                    </w:rPr>
                  </w:pPr>
                  <w:r>
                    <w:rPr>
                      <w:rFonts w:ascii="Times New Roman" w:hAnsi="Times New Roman" w:cs="Times New Roman"/>
                      <w:sz w:val="21"/>
                      <w:szCs w:val="21"/>
                    </w:rPr>
                    <w:t>≤8.0mg/L</w:t>
                  </w:r>
                </w:p>
              </w:tc>
              <w:tc>
                <w:tcPr>
                  <w:tcW w:w="716" w:type="pct"/>
                  <w:vAlign w:val="center"/>
                </w:tcPr>
                <w:p>
                  <w:pPr>
                    <w:snapToGrid w:val="0"/>
                    <w:spacing w:line="240" w:lineRule="atLeast"/>
                    <w:rPr>
                      <w:rFonts w:ascii="Times New Roman" w:hAnsi="Times New Roman" w:cs="Times New Roman"/>
                      <w:sz w:val="21"/>
                      <w:szCs w:val="21"/>
                    </w:rPr>
                  </w:pPr>
                  <w:r>
                    <w:rPr>
                      <w:rFonts w:ascii="Times New Roman" w:hAnsi="Times New Roman" w:cs="Times New Roman"/>
                      <w:sz w:val="21"/>
                      <w:szCs w:val="21"/>
                    </w:rPr>
                    <w:t>≤100mg/L</w:t>
                  </w:r>
                </w:p>
              </w:tc>
            </w:tr>
          </w:tbl>
          <w:p>
            <w:pPr>
              <w:widowControl/>
              <w:snapToGrid w:val="0"/>
              <w:spacing w:line="360" w:lineRule="auto"/>
              <w:ind w:firstLine="482"/>
              <w:contextualSpacing/>
              <w:rPr>
                <w:rFonts w:ascii="Times New Roman" w:hAnsi="Times New Roman" w:cs="Times New Roman"/>
                <w:b/>
              </w:rPr>
            </w:pPr>
            <w:r>
              <w:rPr>
                <w:rFonts w:ascii="Times New Roman" w:hAnsi="Times New Roman" w:cs="Times New Roman"/>
                <w:b/>
              </w:rPr>
              <w:t>2、废气</w:t>
            </w:r>
          </w:p>
          <w:p>
            <w:pPr>
              <w:snapToGrid w:val="0"/>
              <w:spacing w:line="360" w:lineRule="auto"/>
              <w:ind w:firstLine="480"/>
              <w:rPr>
                <w:rFonts w:ascii="Times New Roman" w:hAnsi="Times New Roman" w:cs="Times New Roman"/>
              </w:rPr>
            </w:pPr>
            <w:r>
              <w:rPr>
                <w:rFonts w:ascii="Times New Roman" w:hAnsi="Times New Roman" w:cs="Times New Roman"/>
              </w:rPr>
              <w:t>（1）有组织废气</w:t>
            </w:r>
          </w:p>
          <w:p>
            <w:pPr>
              <w:snapToGrid w:val="0"/>
              <w:spacing w:line="360" w:lineRule="auto"/>
              <w:ind w:firstLine="480"/>
              <w:rPr>
                <w:rFonts w:ascii="Times New Roman" w:hAnsi="Times New Roman" w:cs="Times New Roman"/>
              </w:rPr>
            </w:pPr>
            <w:r>
              <w:rPr>
                <w:rFonts w:ascii="Times New Roman" w:hAnsi="Times New Roman" w:cs="Times New Roman"/>
              </w:rPr>
              <w:t>本项目排放的有组织废气主要为</w:t>
            </w:r>
            <w:r>
              <w:rPr>
                <w:rFonts w:ascii="Times New Roman" w:hAnsi="Times New Roman" w:cs="Times New Roman"/>
                <w:lang w:val="en-US"/>
              </w:rPr>
              <w:t>食品用塑料包装容器</w:t>
            </w:r>
            <w:r>
              <w:rPr>
                <w:rFonts w:ascii="Times New Roman" w:hAnsi="Times New Roman" w:cs="Times New Roman"/>
              </w:rPr>
              <w:t>挤出废气、</w:t>
            </w:r>
            <w:r>
              <w:rPr>
                <w:rFonts w:ascii="Times New Roman" w:hAnsi="Times New Roman" w:cs="Times New Roman"/>
                <w:lang w:val="en-US"/>
              </w:rPr>
              <w:t>食品用塑料包装容器注塑</w:t>
            </w:r>
            <w:r>
              <w:rPr>
                <w:rFonts w:ascii="Times New Roman" w:hAnsi="Times New Roman" w:cs="Times New Roman"/>
              </w:rPr>
              <w:t>废气、</w:t>
            </w:r>
            <w:r>
              <w:rPr>
                <w:rFonts w:ascii="Times New Roman" w:hAnsi="Times New Roman" w:cs="Times New Roman"/>
                <w:lang w:val="en-US"/>
              </w:rPr>
              <w:t>破碎粉尘</w:t>
            </w:r>
            <w:r>
              <w:rPr>
                <w:rFonts w:ascii="Times New Roman" w:hAnsi="Times New Roman" w:cs="Times New Roman"/>
              </w:rPr>
              <w:t>。</w:t>
            </w:r>
          </w:p>
          <w:p>
            <w:pPr>
              <w:snapToGrid w:val="0"/>
              <w:spacing w:line="360" w:lineRule="auto"/>
              <w:ind w:firstLine="480"/>
              <w:rPr>
                <w:rFonts w:ascii="Times New Roman" w:hAnsi="Times New Roman" w:cs="Times New Roman"/>
              </w:rPr>
            </w:pPr>
            <w:r>
              <w:rPr>
                <w:rFonts w:ascii="Times New Roman" w:hAnsi="Times New Roman" w:cs="Times New Roman"/>
              </w:rPr>
              <w:t>①</w:t>
            </w:r>
            <w:r>
              <w:rPr>
                <w:rFonts w:ascii="Times New Roman" w:hAnsi="Times New Roman" w:cs="Times New Roman"/>
                <w:lang w:val="en-US"/>
              </w:rPr>
              <w:t>食品用塑料包装容器</w:t>
            </w:r>
            <w:r>
              <w:rPr>
                <w:rFonts w:ascii="Times New Roman" w:hAnsi="Times New Roman" w:cs="Times New Roman"/>
              </w:rPr>
              <w:t>挤出废气</w:t>
            </w:r>
          </w:p>
          <w:p>
            <w:pPr>
              <w:snapToGrid w:val="0"/>
              <w:spacing w:line="360" w:lineRule="auto"/>
              <w:ind w:firstLine="480"/>
              <w:rPr>
                <w:rFonts w:ascii="Times New Roman" w:hAnsi="Times New Roman" w:cs="Times New Roman"/>
              </w:rPr>
            </w:pPr>
            <w:r>
              <w:rPr>
                <w:rFonts w:ascii="Times New Roman" w:hAnsi="Times New Roman" w:cs="Times New Roman"/>
              </w:rPr>
              <w:t>挤出废气的主要污染物为非甲烷总烃，</w:t>
            </w:r>
            <w:r>
              <w:rPr>
                <w:rFonts w:ascii="Times New Roman" w:hAnsi="Times New Roman" w:cs="Times New Roman"/>
                <w:lang w:bidi="ar"/>
              </w:rPr>
              <w:t>本项目建设4条</w:t>
            </w:r>
            <w:r>
              <w:rPr>
                <w:rFonts w:ascii="Times New Roman" w:hAnsi="Times New Roman" w:cs="Times New Roman"/>
                <w:lang w:val="en-US"/>
              </w:rPr>
              <w:t>食品用塑料包装容器</w:t>
            </w:r>
            <w:r>
              <w:rPr>
                <w:rFonts w:ascii="Times New Roman" w:hAnsi="Times New Roman" w:cs="Times New Roman"/>
              </w:rPr>
              <w:t>挤出</w:t>
            </w:r>
            <w:r>
              <w:rPr>
                <w:rFonts w:ascii="Times New Roman" w:hAnsi="Times New Roman" w:cs="Times New Roman"/>
                <w:lang w:bidi="ar"/>
              </w:rPr>
              <w:t>生产线，拟在4条</w:t>
            </w:r>
            <w:r>
              <w:rPr>
                <w:rFonts w:ascii="Times New Roman" w:hAnsi="Times New Roman" w:cs="Times New Roman"/>
                <w:lang w:val="en-US"/>
              </w:rPr>
              <w:t>食品用塑料包装容器</w:t>
            </w:r>
            <w:r>
              <w:rPr>
                <w:rFonts w:ascii="Times New Roman" w:hAnsi="Times New Roman" w:cs="Times New Roman"/>
              </w:rPr>
              <w:t>挤出</w:t>
            </w:r>
            <w:r>
              <w:rPr>
                <w:rFonts w:ascii="Times New Roman" w:hAnsi="Times New Roman" w:cs="Times New Roman"/>
                <w:lang w:bidi="ar"/>
              </w:rPr>
              <w:t>区上方设置1套集气罩收集后合并经一套“UV光氧</w:t>
            </w:r>
            <w:r>
              <w:rPr>
                <w:rFonts w:hint="eastAsia" w:ascii="Times New Roman" w:hAnsi="Times New Roman" w:cs="Times New Roman"/>
                <w:lang w:val="en-US" w:eastAsia="zh-CN" w:bidi="ar"/>
              </w:rPr>
              <w:t>催化</w:t>
            </w:r>
            <w:r>
              <w:rPr>
                <w:rFonts w:ascii="Times New Roman" w:hAnsi="Times New Roman" w:cs="Times New Roman"/>
                <w:lang w:bidi="ar"/>
              </w:rPr>
              <w:t>+活性炭吸附装置”处理后通过</w:t>
            </w:r>
            <w:r>
              <w:rPr>
                <w:rFonts w:ascii="Times New Roman" w:hAnsi="Times New Roman" w:cs="Times New Roman"/>
                <w:lang w:val="en-US" w:bidi="ar"/>
              </w:rPr>
              <w:t>30</w:t>
            </w:r>
            <w:r>
              <w:rPr>
                <w:rFonts w:ascii="Times New Roman" w:hAnsi="Times New Roman" w:cs="Times New Roman"/>
                <w:lang w:bidi="ar"/>
              </w:rPr>
              <w:t>m高排气筒（1#）排放</w:t>
            </w:r>
            <w:r>
              <w:rPr>
                <w:rFonts w:ascii="Times New Roman" w:hAnsi="Times New Roman" w:cs="Times New Roman"/>
              </w:rPr>
              <w:t>，污染物排放执行GB31572-2015《合成树脂工业污染物排放标准》表</w:t>
            </w:r>
            <w:r>
              <w:rPr>
                <w:rFonts w:ascii="Times New Roman" w:hAnsi="Times New Roman" w:cs="Times New Roman"/>
                <w:lang w:val="en-US"/>
              </w:rPr>
              <w:t>4</w:t>
            </w:r>
            <w:r>
              <w:rPr>
                <w:rFonts w:ascii="Times New Roman" w:hAnsi="Times New Roman" w:cs="Times New Roman"/>
              </w:rPr>
              <w:t>规定的大气污染物排放限值。标准值见表3-</w:t>
            </w:r>
            <w:r>
              <w:rPr>
                <w:rFonts w:ascii="Times New Roman" w:hAnsi="Times New Roman" w:cs="Times New Roman"/>
                <w:lang w:val="en-US"/>
              </w:rPr>
              <w:t>7</w:t>
            </w:r>
            <w:r>
              <w:rPr>
                <w:rFonts w:ascii="Times New Roman" w:hAnsi="Times New Roman" w:cs="Times New Roman"/>
              </w:rPr>
              <w:t>。</w:t>
            </w:r>
          </w:p>
          <w:p>
            <w:pPr>
              <w:snapToGrid w:val="0"/>
              <w:ind w:firstLine="480"/>
              <w:jc w:val="center"/>
              <w:rPr>
                <w:rFonts w:ascii="Times New Roman" w:hAnsi="Times New Roman" w:cs="Times New Roman"/>
                <w:b/>
                <w:bCs/>
                <w:sz w:val="21"/>
                <w:szCs w:val="21"/>
              </w:rPr>
            </w:pPr>
            <w:r>
              <w:rPr>
                <w:rFonts w:ascii="Times New Roman" w:hAnsi="Times New Roman" w:cs="Times New Roman"/>
                <w:b/>
                <w:bCs/>
                <w:sz w:val="21"/>
                <w:szCs w:val="21"/>
              </w:rPr>
              <w:t>表3-</w:t>
            </w:r>
            <w:r>
              <w:rPr>
                <w:rFonts w:ascii="Times New Roman" w:hAnsi="Times New Roman" w:cs="Times New Roman"/>
                <w:b/>
                <w:bCs/>
                <w:sz w:val="21"/>
                <w:szCs w:val="21"/>
                <w:lang w:val="en-US"/>
              </w:rPr>
              <w:t>7</w:t>
            </w:r>
            <w:r>
              <w:rPr>
                <w:rFonts w:ascii="Times New Roman" w:hAnsi="Times New Roman" w:cs="Times New Roman"/>
                <w:b/>
                <w:bCs/>
                <w:sz w:val="21"/>
                <w:szCs w:val="21"/>
              </w:rPr>
              <w:t> 《合成树脂工业污染物排放标准》表</w:t>
            </w:r>
            <w:r>
              <w:rPr>
                <w:rFonts w:ascii="Times New Roman" w:hAnsi="Times New Roman" w:cs="Times New Roman"/>
                <w:b/>
                <w:bCs/>
                <w:sz w:val="21"/>
                <w:szCs w:val="21"/>
                <w:lang w:val="en-US"/>
              </w:rPr>
              <w:t>4</w:t>
            </w:r>
            <w:r>
              <w:rPr>
                <w:rFonts w:ascii="Times New Roman" w:hAnsi="Times New Roman" w:cs="Times New Roman"/>
                <w:b/>
                <w:bCs/>
                <w:sz w:val="21"/>
                <w:szCs w:val="21"/>
              </w:rPr>
              <w:t>二级标准限值</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282"/>
              <w:gridCol w:w="2390"/>
              <w:gridCol w:w="3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814" w:type="pct"/>
                  <w:vAlign w:val="center"/>
                </w:tcPr>
                <w:p>
                  <w:pPr>
                    <w:pStyle w:val="43"/>
                    <w:tabs>
                      <w:tab w:val="left" w:pos="5530"/>
                    </w:tabs>
                    <w:rPr>
                      <w:rFonts w:cs="Times New Roman"/>
                      <w:color w:val="000000"/>
                      <w:lang w:val="en-US"/>
                    </w:rPr>
                  </w:pPr>
                  <w:r>
                    <w:rPr>
                      <w:rFonts w:cs="Times New Roman"/>
                      <w:color w:val="000000"/>
                      <w:lang w:val="en-US"/>
                    </w:rPr>
                    <w:t>污染物名称</w:t>
                  </w:r>
                </w:p>
              </w:tc>
              <w:tc>
                <w:tcPr>
                  <w:tcW w:w="788" w:type="pct"/>
                  <w:vAlign w:val="center"/>
                </w:tcPr>
                <w:p>
                  <w:pPr>
                    <w:pStyle w:val="43"/>
                    <w:tabs>
                      <w:tab w:val="left" w:pos="5530"/>
                    </w:tabs>
                    <w:rPr>
                      <w:rFonts w:cs="Times New Roman"/>
                      <w:color w:val="000000"/>
                      <w:lang w:val="en-US"/>
                    </w:rPr>
                  </w:pPr>
                  <w:r>
                    <w:rPr>
                      <w:rFonts w:cs="Times New Roman"/>
                      <w:color w:val="000000"/>
                      <w:lang w:val="en-US"/>
                    </w:rPr>
                    <w:t>排放限值（mg/m</w:t>
                  </w:r>
                  <w:r>
                    <w:rPr>
                      <w:rFonts w:cs="Times New Roman"/>
                      <w:color w:val="000000"/>
                      <w:vertAlign w:val="superscript"/>
                      <w:lang w:val="en-US"/>
                    </w:rPr>
                    <w:t>3</w:t>
                  </w:r>
                  <w:r>
                    <w:rPr>
                      <w:rFonts w:cs="Times New Roman"/>
                      <w:color w:val="000000"/>
                      <w:lang w:val="en-US"/>
                    </w:rPr>
                    <w:t>）</w:t>
                  </w:r>
                </w:p>
              </w:tc>
              <w:tc>
                <w:tcPr>
                  <w:tcW w:w="1469" w:type="pct"/>
                  <w:vAlign w:val="center"/>
                </w:tcPr>
                <w:p>
                  <w:pPr>
                    <w:pStyle w:val="43"/>
                    <w:tabs>
                      <w:tab w:val="left" w:pos="5530"/>
                    </w:tabs>
                    <w:rPr>
                      <w:rFonts w:cs="Times New Roman"/>
                      <w:color w:val="000000"/>
                      <w:lang w:val="en-US"/>
                    </w:rPr>
                  </w:pPr>
                  <w:r>
                    <w:rPr>
                      <w:rFonts w:cs="Times New Roman"/>
                      <w:color w:val="000000"/>
                      <w:lang w:val="en-US"/>
                    </w:rPr>
                    <w:t>适用的合成树脂类型</w:t>
                  </w:r>
                </w:p>
              </w:tc>
              <w:tc>
                <w:tcPr>
                  <w:tcW w:w="1927" w:type="pct"/>
                  <w:vAlign w:val="center"/>
                </w:tcPr>
                <w:p>
                  <w:pPr>
                    <w:pStyle w:val="43"/>
                    <w:tabs>
                      <w:tab w:val="left" w:pos="5530"/>
                    </w:tabs>
                    <w:rPr>
                      <w:rFonts w:cs="Times New Roman"/>
                      <w:color w:val="000000"/>
                      <w:lang w:val="en-US"/>
                    </w:rPr>
                  </w:pPr>
                  <w:r>
                    <w:rPr>
                      <w:rFonts w:cs="Times New Roman"/>
                      <w:color w:val="000000"/>
                      <w:lang w:val="en-US"/>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Align w:val="center"/>
                </w:tcPr>
                <w:p>
                  <w:pPr>
                    <w:pStyle w:val="43"/>
                    <w:tabs>
                      <w:tab w:val="left" w:pos="5530"/>
                    </w:tabs>
                    <w:rPr>
                      <w:rFonts w:cs="Times New Roman"/>
                      <w:color w:val="000000"/>
                      <w:lang w:val="en-US"/>
                    </w:rPr>
                  </w:pPr>
                  <w:r>
                    <w:rPr>
                      <w:rFonts w:cs="Times New Roman"/>
                      <w:color w:val="000000"/>
                      <w:lang w:val="en-US"/>
                    </w:rPr>
                    <w:t>非甲烷总烃</w:t>
                  </w:r>
                </w:p>
              </w:tc>
              <w:tc>
                <w:tcPr>
                  <w:tcW w:w="788" w:type="pct"/>
                  <w:vAlign w:val="center"/>
                </w:tcPr>
                <w:p>
                  <w:pPr>
                    <w:pStyle w:val="43"/>
                    <w:tabs>
                      <w:tab w:val="left" w:pos="5530"/>
                    </w:tabs>
                    <w:rPr>
                      <w:rFonts w:cs="Times New Roman"/>
                      <w:color w:val="000000"/>
                      <w:lang w:val="en-US"/>
                    </w:rPr>
                  </w:pPr>
                  <w:r>
                    <w:rPr>
                      <w:rFonts w:cs="Times New Roman"/>
                      <w:color w:val="000000"/>
                      <w:lang w:val="en-US"/>
                    </w:rPr>
                    <w:t>100</w:t>
                  </w:r>
                </w:p>
              </w:tc>
              <w:tc>
                <w:tcPr>
                  <w:tcW w:w="1469" w:type="pct"/>
                  <w:vAlign w:val="center"/>
                </w:tcPr>
                <w:p>
                  <w:pPr>
                    <w:pStyle w:val="43"/>
                    <w:tabs>
                      <w:tab w:val="left" w:pos="5530"/>
                    </w:tabs>
                    <w:rPr>
                      <w:rFonts w:cs="Times New Roman"/>
                      <w:color w:val="000000"/>
                      <w:lang w:val="en-US"/>
                    </w:rPr>
                  </w:pPr>
                  <w:r>
                    <w:rPr>
                      <w:rFonts w:cs="Times New Roman"/>
                      <w:color w:val="000000"/>
                      <w:lang w:val="en-US"/>
                    </w:rPr>
                    <w:t>所有合成树脂</w:t>
                  </w:r>
                </w:p>
              </w:tc>
              <w:tc>
                <w:tcPr>
                  <w:tcW w:w="1927" w:type="pct"/>
                  <w:vAlign w:val="center"/>
                </w:tcPr>
                <w:p>
                  <w:pPr>
                    <w:pStyle w:val="43"/>
                    <w:tabs>
                      <w:tab w:val="left" w:pos="5530"/>
                    </w:tabs>
                    <w:rPr>
                      <w:rFonts w:cs="Times New Roman"/>
                      <w:color w:val="000000"/>
                      <w:lang w:val="en-US"/>
                    </w:rPr>
                  </w:pPr>
                  <w:r>
                    <w:rPr>
                      <w:rFonts w:cs="Times New Roman"/>
                      <w:color w:val="000000"/>
                      <w:lang w:val="en-US"/>
                    </w:rPr>
                    <w:t>车间或生产设施</w:t>
                  </w:r>
                </w:p>
                <w:p>
                  <w:pPr>
                    <w:pStyle w:val="43"/>
                    <w:tabs>
                      <w:tab w:val="left" w:pos="5530"/>
                    </w:tabs>
                    <w:rPr>
                      <w:rFonts w:cs="Times New Roman"/>
                      <w:color w:val="000000"/>
                      <w:lang w:val="en-US"/>
                    </w:rPr>
                  </w:pPr>
                  <w:r>
                    <w:rPr>
                      <w:rFonts w:cs="Times New Roman"/>
                      <w:color w:val="000000"/>
                      <w:lang w:val="en-US"/>
                    </w:rPr>
                    <w:t>排气筒</w:t>
                  </w:r>
                </w:p>
              </w:tc>
            </w:tr>
          </w:tbl>
          <w:p>
            <w:pPr>
              <w:snapToGrid w:val="0"/>
              <w:spacing w:line="360" w:lineRule="auto"/>
              <w:ind w:firstLine="480"/>
              <w:rPr>
                <w:rFonts w:ascii="Times New Roman" w:hAnsi="Times New Roman" w:cs="Times New Roman"/>
              </w:rPr>
            </w:pPr>
            <w:r>
              <w:rPr>
                <w:rFonts w:ascii="Times New Roman" w:hAnsi="Times New Roman" w:cs="Times New Roman"/>
                <w:lang w:val="en-US"/>
              </w:rPr>
              <w:t>②食品用塑料包装容器注塑</w:t>
            </w:r>
            <w:r>
              <w:rPr>
                <w:rFonts w:ascii="Times New Roman" w:hAnsi="Times New Roman" w:cs="Times New Roman"/>
              </w:rPr>
              <w:t>废气</w:t>
            </w:r>
          </w:p>
          <w:p>
            <w:pPr>
              <w:snapToGrid w:val="0"/>
              <w:spacing w:line="360" w:lineRule="auto"/>
              <w:ind w:firstLine="480"/>
              <w:rPr>
                <w:rFonts w:ascii="Times New Roman" w:hAnsi="Times New Roman" w:cs="Times New Roman"/>
              </w:rPr>
            </w:pPr>
            <w:r>
              <w:rPr>
                <w:rFonts w:ascii="Times New Roman" w:hAnsi="Times New Roman" w:cs="Times New Roman"/>
                <w:lang w:val="en-US"/>
              </w:rPr>
              <w:t>注塑</w:t>
            </w:r>
            <w:r>
              <w:rPr>
                <w:rFonts w:ascii="Times New Roman" w:hAnsi="Times New Roman" w:cs="Times New Roman"/>
              </w:rPr>
              <w:t>废气的主要污染物为非甲烷总烃，拟在</w:t>
            </w:r>
            <w:r>
              <w:rPr>
                <w:rFonts w:ascii="Times New Roman" w:hAnsi="Times New Roman" w:cs="Times New Roman"/>
                <w:lang w:val="en-US"/>
              </w:rPr>
              <w:t>1条食品用塑料包装容器生产线注塑机</w:t>
            </w:r>
            <w:r>
              <w:rPr>
                <w:rFonts w:ascii="Times New Roman" w:hAnsi="Times New Roman" w:cs="Times New Roman"/>
              </w:rPr>
              <w:t>上方设置1套集气罩收集后经1套“UV光氧</w:t>
            </w:r>
            <w:r>
              <w:rPr>
                <w:rFonts w:hint="eastAsia" w:ascii="Times New Roman" w:hAnsi="Times New Roman" w:cs="Times New Roman"/>
                <w:lang w:val="en-US" w:eastAsia="zh-CN"/>
              </w:rPr>
              <w:t>催化</w:t>
            </w:r>
            <w:r>
              <w:rPr>
                <w:rFonts w:ascii="Times New Roman" w:hAnsi="Times New Roman" w:cs="Times New Roman"/>
              </w:rPr>
              <w:t>+活性炭吸附装置”处理后由</w:t>
            </w:r>
            <w:r>
              <w:rPr>
                <w:rFonts w:ascii="Times New Roman" w:hAnsi="Times New Roman" w:cs="Times New Roman"/>
                <w:lang w:val="en-US"/>
              </w:rPr>
              <w:t>30</w:t>
            </w:r>
            <w:r>
              <w:rPr>
                <w:rFonts w:ascii="Times New Roman" w:hAnsi="Times New Roman" w:cs="Times New Roman"/>
              </w:rPr>
              <w:t>m高（</w:t>
            </w:r>
            <w:r>
              <w:rPr>
                <w:rFonts w:ascii="Times New Roman" w:hAnsi="Times New Roman" w:cs="Times New Roman"/>
                <w:lang w:val="en-US"/>
              </w:rPr>
              <w:t>2</w:t>
            </w:r>
            <w:r>
              <w:rPr>
                <w:rFonts w:ascii="Times New Roman" w:hAnsi="Times New Roman" w:cs="Times New Roman"/>
              </w:rPr>
              <w:t>#）排气筒排放，污染物排放执行GB31572-2015《合成树脂工业污染物排放标准》表</w:t>
            </w:r>
            <w:r>
              <w:rPr>
                <w:rFonts w:ascii="Times New Roman" w:hAnsi="Times New Roman" w:cs="Times New Roman"/>
                <w:lang w:val="en-US"/>
              </w:rPr>
              <w:t>4</w:t>
            </w:r>
            <w:r>
              <w:rPr>
                <w:rFonts w:ascii="Times New Roman" w:hAnsi="Times New Roman" w:cs="Times New Roman"/>
              </w:rPr>
              <w:t>规定的大气污染物排放限值。标准值见表3</w:t>
            </w:r>
            <w:r>
              <w:rPr>
                <w:rFonts w:ascii="Times New Roman" w:hAnsi="Times New Roman" w:cs="Times New Roman"/>
                <w:lang w:val="en-US"/>
              </w:rPr>
              <w:t>-7</w:t>
            </w:r>
            <w:r>
              <w:rPr>
                <w:rFonts w:ascii="Times New Roman" w:hAnsi="Times New Roman" w:cs="Times New Roman"/>
              </w:rPr>
              <w:t>。</w:t>
            </w:r>
          </w:p>
          <w:p>
            <w:pPr>
              <w:snapToGrid w:val="0"/>
              <w:spacing w:line="360" w:lineRule="auto"/>
              <w:ind w:firstLine="480"/>
              <w:rPr>
                <w:rFonts w:ascii="Times New Roman" w:hAnsi="Times New Roman" w:cs="Times New Roman"/>
                <w:lang w:val="en-US"/>
              </w:rPr>
            </w:pPr>
            <w:r>
              <w:rPr>
                <w:rFonts w:ascii="Times New Roman" w:hAnsi="Times New Roman" w:cs="Times New Roman"/>
                <w:lang w:val="en-US"/>
              </w:rPr>
              <w:t>③破碎粉尘</w:t>
            </w:r>
          </w:p>
          <w:p>
            <w:pPr>
              <w:snapToGrid w:val="0"/>
              <w:spacing w:line="360" w:lineRule="auto"/>
              <w:ind w:firstLine="480"/>
              <w:jc w:val="both"/>
              <w:rPr>
                <w:rFonts w:ascii="Times New Roman" w:hAnsi="Times New Roman" w:cs="Times New Roman"/>
                <w:sz w:val="21"/>
                <w:szCs w:val="21"/>
              </w:rPr>
            </w:pPr>
            <w:r>
              <w:rPr>
                <w:rFonts w:ascii="Times New Roman" w:hAnsi="Times New Roman" w:cs="Times New Roman"/>
                <w:lang w:val="en-US"/>
              </w:rPr>
              <w:t>破碎粉尘</w:t>
            </w:r>
            <w:r>
              <w:rPr>
                <w:rFonts w:ascii="Times New Roman" w:hAnsi="Times New Roman" w:cs="Times New Roman"/>
              </w:rPr>
              <w:t>的主要污染物为</w:t>
            </w:r>
            <w:r>
              <w:rPr>
                <w:rFonts w:ascii="Times New Roman" w:hAnsi="Times New Roman" w:cs="Times New Roman"/>
                <w:lang w:val="en-US"/>
              </w:rPr>
              <w:t>颗粒物</w:t>
            </w:r>
            <w:r>
              <w:rPr>
                <w:rFonts w:ascii="Times New Roman" w:hAnsi="Times New Roman" w:cs="Times New Roman"/>
              </w:rPr>
              <w:t>，拟在</w:t>
            </w:r>
            <w:r>
              <w:rPr>
                <w:rFonts w:ascii="Times New Roman" w:hAnsi="Times New Roman" w:cs="Times New Roman"/>
                <w:lang w:val="en-US"/>
              </w:rPr>
              <w:t>破碎区上方设置一套集气罩收集后经一套“布袋除尘”</w:t>
            </w:r>
            <w:r>
              <w:rPr>
                <w:rFonts w:ascii="Times New Roman" w:hAnsi="Times New Roman" w:cs="Times New Roman"/>
              </w:rPr>
              <w:t>处理后由</w:t>
            </w:r>
            <w:r>
              <w:rPr>
                <w:rFonts w:ascii="Times New Roman" w:hAnsi="Times New Roman" w:cs="Times New Roman"/>
                <w:lang w:val="en-US"/>
              </w:rPr>
              <w:t>30</w:t>
            </w:r>
            <w:r>
              <w:rPr>
                <w:rFonts w:ascii="Times New Roman" w:hAnsi="Times New Roman" w:cs="Times New Roman"/>
              </w:rPr>
              <w:t>m高（</w:t>
            </w:r>
            <w:r>
              <w:rPr>
                <w:rFonts w:ascii="Times New Roman" w:hAnsi="Times New Roman" w:cs="Times New Roman"/>
                <w:lang w:val="en-US"/>
              </w:rPr>
              <w:t>3</w:t>
            </w:r>
            <w:r>
              <w:rPr>
                <w:rFonts w:ascii="Times New Roman" w:hAnsi="Times New Roman" w:cs="Times New Roman"/>
              </w:rPr>
              <w:t>#）排气筒排放，污染物排放执行GB31572-2015《合成树脂工业污染物排放标准》表</w:t>
            </w:r>
            <w:r>
              <w:rPr>
                <w:rFonts w:ascii="Times New Roman" w:hAnsi="Times New Roman" w:cs="Times New Roman"/>
                <w:lang w:val="en-US"/>
              </w:rPr>
              <w:t>4</w:t>
            </w:r>
            <w:r>
              <w:rPr>
                <w:rFonts w:ascii="Times New Roman" w:hAnsi="Times New Roman" w:cs="Times New Roman"/>
              </w:rPr>
              <w:t>规定的大气污染物排放限值。标准值见表3-</w:t>
            </w:r>
            <w:r>
              <w:rPr>
                <w:rFonts w:ascii="Times New Roman" w:hAnsi="Times New Roman" w:cs="Times New Roman"/>
                <w:lang w:val="en-US"/>
              </w:rPr>
              <w:t>8</w:t>
            </w:r>
            <w:r>
              <w:rPr>
                <w:rFonts w:ascii="Times New Roman" w:hAnsi="Times New Roman" w:cs="Times New Roman"/>
              </w:rPr>
              <w:t>。</w:t>
            </w:r>
          </w:p>
          <w:p>
            <w:pPr>
              <w:snapToGrid w:val="0"/>
              <w:ind w:firstLine="480"/>
              <w:jc w:val="center"/>
              <w:rPr>
                <w:rFonts w:ascii="Times New Roman" w:hAnsi="Times New Roman" w:cs="Times New Roman"/>
                <w:b/>
                <w:bCs/>
                <w:sz w:val="21"/>
                <w:szCs w:val="21"/>
              </w:rPr>
            </w:pPr>
            <w:r>
              <w:rPr>
                <w:rFonts w:ascii="Times New Roman" w:hAnsi="Times New Roman" w:cs="Times New Roman"/>
                <w:b/>
                <w:bCs/>
                <w:sz w:val="21"/>
                <w:szCs w:val="21"/>
              </w:rPr>
              <w:t>表3-</w:t>
            </w:r>
            <w:r>
              <w:rPr>
                <w:rFonts w:ascii="Times New Roman" w:hAnsi="Times New Roman" w:cs="Times New Roman"/>
                <w:b/>
                <w:bCs/>
                <w:sz w:val="21"/>
                <w:szCs w:val="21"/>
                <w:lang w:val="en-US"/>
              </w:rPr>
              <w:t>8</w:t>
            </w:r>
            <w:r>
              <w:rPr>
                <w:rFonts w:ascii="Times New Roman" w:hAnsi="Times New Roman" w:cs="Times New Roman"/>
                <w:b/>
                <w:bCs/>
                <w:sz w:val="21"/>
                <w:szCs w:val="21"/>
              </w:rPr>
              <w:t>《合成树脂工业污染物排放标准》表</w:t>
            </w:r>
            <w:r>
              <w:rPr>
                <w:rFonts w:ascii="Times New Roman" w:hAnsi="Times New Roman" w:cs="Times New Roman"/>
                <w:b/>
                <w:bCs/>
                <w:sz w:val="21"/>
                <w:szCs w:val="21"/>
                <w:lang w:val="en-US"/>
              </w:rPr>
              <w:t>4</w:t>
            </w:r>
            <w:r>
              <w:rPr>
                <w:rFonts w:ascii="Times New Roman" w:hAnsi="Times New Roman" w:cs="Times New Roman"/>
                <w:b/>
                <w:bCs/>
                <w:sz w:val="21"/>
                <w:szCs w:val="21"/>
              </w:rPr>
              <w:t>二级标准限值</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282"/>
              <w:gridCol w:w="2390"/>
              <w:gridCol w:w="3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814" w:type="pct"/>
                  <w:vAlign w:val="center"/>
                </w:tcPr>
                <w:p>
                  <w:pPr>
                    <w:pStyle w:val="43"/>
                    <w:tabs>
                      <w:tab w:val="left" w:pos="5530"/>
                    </w:tabs>
                    <w:rPr>
                      <w:rFonts w:cs="Times New Roman"/>
                      <w:color w:val="000000"/>
                      <w:lang w:val="en-US"/>
                    </w:rPr>
                  </w:pPr>
                  <w:r>
                    <w:rPr>
                      <w:rFonts w:cs="Times New Roman"/>
                      <w:color w:val="000000"/>
                      <w:lang w:val="en-US"/>
                    </w:rPr>
                    <w:t>污染物名称</w:t>
                  </w:r>
                </w:p>
              </w:tc>
              <w:tc>
                <w:tcPr>
                  <w:tcW w:w="788" w:type="pct"/>
                  <w:vAlign w:val="center"/>
                </w:tcPr>
                <w:p>
                  <w:pPr>
                    <w:pStyle w:val="43"/>
                    <w:tabs>
                      <w:tab w:val="left" w:pos="5530"/>
                    </w:tabs>
                    <w:rPr>
                      <w:rFonts w:cs="Times New Roman"/>
                      <w:color w:val="000000"/>
                      <w:lang w:val="en-US"/>
                    </w:rPr>
                  </w:pPr>
                  <w:r>
                    <w:rPr>
                      <w:rFonts w:cs="Times New Roman"/>
                      <w:color w:val="000000"/>
                      <w:lang w:val="en-US"/>
                    </w:rPr>
                    <w:t>排放限值（mg/m</w:t>
                  </w:r>
                  <w:r>
                    <w:rPr>
                      <w:rFonts w:cs="Times New Roman"/>
                      <w:color w:val="000000"/>
                      <w:vertAlign w:val="superscript"/>
                      <w:lang w:val="en-US"/>
                    </w:rPr>
                    <w:t>3</w:t>
                  </w:r>
                  <w:r>
                    <w:rPr>
                      <w:rFonts w:cs="Times New Roman"/>
                      <w:color w:val="000000"/>
                      <w:lang w:val="en-US"/>
                    </w:rPr>
                    <w:t>）</w:t>
                  </w:r>
                </w:p>
              </w:tc>
              <w:tc>
                <w:tcPr>
                  <w:tcW w:w="1469" w:type="pct"/>
                  <w:vAlign w:val="center"/>
                </w:tcPr>
                <w:p>
                  <w:pPr>
                    <w:pStyle w:val="43"/>
                    <w:tabs>
                      <w:tab w:val="left" w:pos="5530"/>
                    </w:tabs>
                    <w:rPr>
                      <w:rFonts w:cs="Times New Roman"/>
                      <w:color w:val="000000"/>
                      <w:lang w:val="en-US"/>
                    </w:rPr>
                  </w:pPr>
                  <w:r>
                    <w:rPr>
                      <w:rFonts w:cs="Times New Roman"/>
                      <w:color w:val="000000"/>
                      <w:lang w:val="en-US"/>
                    </w:rPr>
                    <w:t>适用的合成树脂类型</w:t>
                  </w:r>
                </w:p>
              </w:tc>
              <w:tc>
                <w:tcPr>
                  <w:tcW w:w="1927" w:type="pct"/>
                  <w:vAlign w:val="center"/>
                </w:tcPr>
                <w:p>
                  <w:pPr>
                    <w:pStyle w:val="43"/>
                    <w:tabs>
                      <w:tab w:val="left" w:pos="5530"/>
                    </w:tabs>
                    <w:rPr>
                      <w:rFonts w:cs="Times New Roman"/>
                      <w:color w:val="000000"/>
                      <w:lang w:val="en-US"/>
                    </w:rPr>
                  </w:pPr>
                  <w:r>
                    <w:rPr>
                      <w:rFonts w:cs="Times New Roman"/>
                      <w:color w:val="000000"/>
                      <w:lang w:val="en-US"/>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Align w:val="center"/>
                </w:tcPr>
                <w:p>
                  <w:pPr>
                    <w:pStyle w:val="43"/>
                    <w:tabs>
                      <w:tab w:val="left" w:pos="5530"/>
                    </w:tabs>
                    <w:rPr>
                      <w:rFonts w:cs="Times New Roman"/>
                      <w:color w:val="000000"/>
                      <w:lang w:val="en-US"/>
                    </w:rPr>
                  </w:pPr>
                  <w:r>
                    <w:rPr>
                      <w:rFonts w:cs="Times New Roman"/>
                      <w:color w:val="000000"/>
                      <w:lang w:val="en-US"/>
                    </w:rPr>
                    <w:t>颗粒物</w:t>
                  </w:r>
                </w:p>
              </w:tc>
              <w:tc>
                <w:tcPr>
                  <w:tcW w:w="788" w:type="pct"/>
                  <w:vAlign w:val="center"/>
                </w:tcPr>
                <w:p>
                  <w:pPr>
                    <w:pStyle w:val="43"/>
                    <w:tabs>
                      <w:tab w:val="left" w:pos="5530"/>
                    </w:tabs>
                    <w:rPr>
                      <w:rFonts w:cs="Times New Roman"/>
                      <w:color w:val="000000"/>
                      <w:lang w:val="en-US"/>
                    </w:rPr>
                  </w:pPr>
                  <w:r>
                    <w:rPr>
                      <w:rFonts w:cs="Times New Roman"/>
                      <w:color w:val="000000"/>
                      <w:lang w:val="en-US"/>
                    </w:rPr>
                    <w:t>30</w:t>
                  </w:r>
                </w:p>
              </w:tc>
              <w:tc>
                <w:tcPr>
                  <w:tcW w:w="1469" w:type="pct"/>
                  <w:vAlign w:val="center"/>
                </w:tcPr>
                <w:p>
                  <w:pPr>
                    <w:pStyle w:val="43"/>
                    <w:tabs>
                      <w:tab w:val="left" w:pos="5530"/>
                    </w:tabs>
                    <w:rPr>
                      <w:rFonts w:cs="Times New Roman"/>
                      <w:color w:val="000000"/>
                      <w:lang w:val="en-US"/>
                    </w:rPr>
                  </w:pPr>
                  <w:r>
                    <w:rPr>
                      <w:rFonts w:cs="Times New Roman"/>
                      <w:color w:val="000000"/>
                      <w:lang w:val="en-US"/>
                    </w:rPr>
                    <w:t>所有合成树脂</w:t>
                  </w:r>
                </w:p>
              </w:tc>
              <w:tc>
                <w:tcPr>
                  <w:tcW w:w="1927" w:type="pct"/>
                  <w:vAlign w:val="center"/>
                </w:tcPr>
                <w:p>
                  <w:pPr>
                    <w:pStyle w:val="43"/>
                    <w:tabs>
                      <w:tab w:val="left" w:pos="5530"/>
                    </w:tabs>
                    <w:rPr>
                      <w:rFonts w:cs="Times New Roman"/>
                      <w:color w:val="000000"/>
                      <w:lang w:val="en-US"/>
                    </w:rPr>
                  </w:pPr>
                  <w:r>
                    <w:rPr>
                      <w:rFonts w:cs="Times New Roman"/>
                      <w:color w:val="000000"/>
                      <w:lang w:val="en-US"/>
                    </w:rPr>
                    <w:t>车间或生产设施</w:t>
                  </w:r>
                </w:p>
                <w:p>
                  <w:pPr>
                    <w:pStyle w:val="43"/>
                    <w:tabs>
                      <w:tab w:val="left" w:pos="5530"/>
                    </w:tabs>
                    <w:rPr>
                      <w:rFonts w:cs="Times New Roman"/>
                      <w:color w:val="000000"/>
                      <w:lang w:val="en-US"/>
                    </w:rPr>
                  </w:pPr>
                  <w:r>
                    <w:rPr>
                      <w:rFonts w:cs="Times New Roman"/>
                      <w:color w:val="000000"/>
                      <w:lang w:val="en-US"/>
                    </w:rPr>
                    <w:t>排气筒</w:t>
                  </w:r>
                </w:p>
              </w:tc>
            </w:tr>
          </w:tbl>
          <w:p>
            <w:pPr>
              <w:snapToGrid w:val="0"/>
              <w:spacing w:line="360" w:lineRule="auto"/>
              <w:rPr>
                <w:rFonts w:ascii="Times New Roman" w:hAnsi="Times New Roman" w:cs="Times New Roman"/>
              </w:rPr>
            </w:pPr>
            <w:r>
              <w:rPr>
                <w:rFonts w:ascii="Times New Roman" w:hAnsi="Times New Roman" w:cs="Times New Roman"/>
              </w:rPr>
              <w:t>（2）无组织废气</w:t>
            </w:r>
          </w:p>
          <w:p>
            <w:pPr>
              <w:snapToGrid w:val="0"/>
              <w:spacing w:line="360" w:lineRule="auto"/>
              <w:ind w:firstLine="480"/>
              <w:rPr>
                <w:rFonts w:ascii="Times New Roman" w:hAnsi="Times New Roman" w:cs="Times New Roman"/>
                <w:color w:val="000000"/>
              </w:rPr>
            </w:pPr>
            <w:r>
              <w:rPr>
                <w:rFonts w:ascii="Times New Roman" w:hAnsi="Times New Roman" w:cs="Times New Roman"/>
                <w:color w:val="000000"/>
              </w:rPr>
              <w:t>本项目无组织废气包括非甲烷总烃和颗粒物</w:t>
            </w:r>
            <w:r>
              <w:rPr>
                <w:rFonts w:hint="eastAsia" w:ascii="Times New Roman" w:hAnsi="Times New Roman" w:cs="Times New Roman"/>
                <w:color w:val="000000"/>
                <w:lang w:val="en-US"/>
              </w:rPr>
              <w:t>及臭气浓度</w:t>
            </w:r>
            <w:r>
              <w:rPr>
                <w:rFonts w:ascii="Times New Roman" w:hAnsi="Times New Roman" w:cs="Times New Roman"/>
                <w:color w:val="000000"/>
              </w:rPr>
              <w:t>，厂界无组织废气颗粒物和非甲烷总烃执行</w:t>
            </w:r>
            <w:r>
              <w:rPr>
                <w:rFonts w:ascii="Times New Roman" w:hAnsi="Times New Roman" w:cs="Times New Roman"/>
              </w:rPr>
              <w:t>GB31572-2015《合成树脂工业污染物排放标准》表</w:t>
            </w:r>
            <w:r>
              <w:rPr>
                <w:rFonts w:ascii="Times New Roman" w:hAnsi="Times New Roman" w:cs="Times New Roman"/>
                <w:lang w:val="en-US"/>
              </w:rPr>
              <w:t>9</w:t>
            </w:r>
            <w:r>
              <w:rPr>
                <w:rFonts w:ascii="Times New Roman" w:hAnsi="Times New Roman" w:cs="Times New Roman"/>
              </w:rPr>
              <w:t>规定的大气污染物排放限值</w:t>
            </w:r>
            <w:r>
              <w:rPr>
                <w:rFonts w:ascii="Times New Roman" w:hAnsi="Times New Roman" w:cs="Times New Roman"/>
                <w:color w:val="000000"/>
              </w:rPr>
              <w:t>无组织排放监控浓度限值见表3-</w:t>
            </w:r>
            <w:r>
              <w:rPr>
                <w:rFonts w:hint="eastAsia" w:ascii="Times New Roman" w:hAnsi="Times New Roman" w:cs="Times New Roman"/>
                <w:color w:val="000000"/>
                <w:lang w:val="en-US"/>
              </w:rPr>
              <w:t>9，臭气浓度</w:t>
            </w:r>
            <w:r>
              <w:rPr>
                <w:rFonts w:hint="eastAsia" w:ascii="Times New Roman" w:hAnsi="Times New Roman" w:cs="Times New Roman"/>
              </w:rPr>
              <w:t>排放标准执行《恶臭污染物排放标准》（GB14544-93）表1中二级标准要求，即：恶臭污染物厂界标准值≤20（无量纲）</w:t>
            </w:r>
            <w:r>
              <w:rPr>
                <w:rFonts w:hint="eastAsia" w:ascii="Times New Roman" w:hAnsi="Times New Roman" w:cs="Times New Roman"/>
                <w:lang w:val="en-US"/>
              </w:rPr>
              <w:t>见表3-10</w:t>
            </w:r>
            <w:r>
              <w:rPr>
                <w:rFonts w:ascii="Times New Roman" w:hAnsi="Times New Roman" w:cs="Times New Roman"/>
                <w:color w:val="000000"/>
              </w:rPr>
              <w:t>。</w:t>
            </w:r>
          </w:p>
          <w:p>
            <w:pPr>
              <w:snapToGrid w:val="0"/>
              <w:ind w:firstLine="480"/>
              <w:jc w:val="center"/>
              <w:rPr>
                <w:rFonts w:ascii="Times New Roman" w:hAnsi="Times New Roman" w:cs="Times New Roman"/>
                <w:color w:val="000000"/>
              </w:rPr>
            </w:pPr>
            <w:r>
              <w:rPr>
                <w:rFonts w:ascii="Times New Roman" w:hAnsi="Times New Roman" w:cs="Times New Roman"/>
                <w:b/>
                <w:bCs/>
                <w:color w:val="000000"/>
                <w:sz w:val="21"/>
                <w:szCs w:val="21"/>
              </w:rPr>
              <w:t>表3-</w:t>
            </w:r>
            <w:r>
              <w:rPr>
                <w:rFonts w:hint="eastAsia" w:ascii="Times New Roman" w:hAnsi="Times New Roman" w:cs="Times New Roman"/>
                <w:b/>
                <w:bCs/>
                <w:color w:val="000000"/>
                <w:sz w:val="21"/>
                <w:szCs w:val="21"/>
                <w:lang w:val="en-US"/>
              </w:rPr>
              <w:t>9</w:t>
            </w:r>
            <w:r>
              <w:rPr>
                <w:rFonts w:ascii="Times New Roman" w:hAnsi="Times New Roman" w:cs="Times New Roman"/>
                <w:b/>
                <w:bCs/>
                <w:sz w:val="21"/>
                <w:szCs w:val="21"/>
              </w:rPr>
              <w:t>《合成树脂工业污染物排放标准》表</w:t>
            </w:r>
            <w:r>
              <w:rPr>
                <w:rFonts w:ascii="Times New Roman" w:hAnsi="Times New Roman" w:cs="Times New Roman"/>
                <w:b/>
                <w:bCs/>
                <w:sz w:val="21"/>
                <w:szCs w:val="21"/>
                <w:lang w:val="en-US"/>
              </w:rPr>
              <w:t>9</w:t>
            </w:r>
            <w:r>
              <w:rPr>
                <w:rFonts w:ascii="Times New Roman" w:hAnsi="Times New Roman" w:cs="Times New Roman"/>
                <w:b/>
                <w:bCs/>
                <w:sz w:val="21"/>
                <w:szCs w:val="21"/>
              </w:rPr>
              <w:t>二级标准限值</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0"/>
              <w:gridCol w:w="2579"/>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vMerge w:val="restart"/>
                  <w:vAlign w:val="center"/>
                </w:tcPr>
                <w:p>
                  <w:pPr>
                    <w:pStyle w:val="43"/>
                    <w:tabs>
                      <w:tab w:val="left" w:pos="5530"/>
                    </w:tabs>
                    <w:rPr>
                      <w:rFonts w:cs="Times New Roman"/>
                      <w:color w:val="000000"/>
                      <w:szCs w:val="21"/>
                      <w:lang w:val="en-US"/>
                    </w:rPr>
                  </w:pPr>
                  <w:r>
                    <w:rPr>
                      <w:rFonts w:cs="Times New Roman"/>
                      <w:color w:val="000000"/>
                      <w:szCs w:val="21"/>
                      <w:lang w:val="en-US"/>
                    </w:rPr>
                    <w:t>污染物名称</w:t>
                  </w:r>
                </w:p>
              </w:tc>
              <w:tc>
                <w:tcPr>
                  <w:tcW w:w="3456" w:type="pct"/>
                  <w:gridSpan w:val="2"/>
                  <w:vAlign w:val="center"/>
                </w:tcPr>
                <w:p>
                  <w:pPr>
                    <w:pStyle w:val="43"/>
                    <w:tabs>
                      <w:tab w:val="left" w:pos="5530"/>
                    </w:tabs>
                    <w:rPr>
                      <w:rFonts w:cs="Times New Roman"/>
                      <w:color w:val="000000"/>
                      <w:szCs w:val="21"/>
                      <w:lang w:val="en-US"/>
                    </w:rPr>
                  </w:pPr>
                  <w:r>
                    <w:rPr>
                      <w:rFonts w:cs="Times New Roman"/>
                      <w:color w:val="000000"/>
                      <w:szCs w:val="21"/>
                      <w:lang w:val="en-US"/>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vMerge w:val="continue"/>
                  <w:vAlign w:val="center"/>
                </w:tcPr>
                <w:p>
                  <w:pPr>
                    <w:pStyle w:val="43"/>
                    <w:tabs>
                      <w:tab w:val="left" w:pos="5530"/>
                    </w:tabs>
                    <w:rPr>
                      <w:rFonts w:cs="Times New Roman"/>
                      <w:color w:val="000000"/>
                      <w:szCs w:val="21"/>
                      <w:lang w:val="en-US"/>
                    </w:rPr>
                  </w:pPr>
                </w:p>
              </w:tc>
              <w:tc>
                <w:tcPr>
                  <w:tcW w:w="1585" w:type="pct"/>
                  <w:vAlign w:val="center"/>
                </w:tcPr>
                <w:p>
                  <w:pPr>
                    <w:pStyle w:val="43"/>
                    <w:tabs>
                      <w:tab w:val="left" w:pos="5530"/>
                    </w:tabs>
                    <w:rPr>
                      <w:rFonts w:cs="Times New Roman"/>
                      <w:color w:val="000000"/>
                      <w:szCs w:val="21"/>
                      <w:lang w:val="en-US"/>
                    </w:rPr>
                  </w:pPr>
                  <w:r>
                    <w:rPr>
                      <w:rFonts w:cs="Times New Roman"/>
                      <w:color w:val="000000"/>
                      <w:szCs w:val="21"/>
                      <w:lang w:val="en-US"/>
                    </w:rPr>
                    <w:t>监控点</w:t>
                  </w:r>
                </w:p>
              </w:tc>
              <w:tc>
                <w:tcPr>
                  <w:tcW w:w="1871" w:type="pct"/>
                  <w:vAlign w:val="center"/>
                </w:tcPr>
                <w:p>
                  <w:pPr>
                    <w:pStyle w:val="43"/>
                    <w:tabs>
                      <w:tab w:val="left" w:pos="5530"/>
                    </w:tabs>
                    <w:rPr>
                      <w:rFonts w:cs="Times New Roman"/>
                      <w:color w:val="000000"/>
                      <w:szCs w:val="21"/>
                      <w:lang w:val="en-US"/>
                    </w:rPr>
                  </w:pPr>
                  <w:r>
                    <w:rPr>
                      <w:rFonts w:cs="Times New Roman"/>
                      <w:color w:val="000000"/>
                      <w:szCs w:val="21"/>
                      <w:lang w:val="en-US"/>
                    </w:rPr>
                    <w:t>浓度限值（mg/m</w:t>
                  </w:r>
                  <w:r>
                    <w:rPr>
                      <w:rFonts w:cs="Times New Roman"/>
                      <w:color w:val="000000"/>
                      <w:szCs w:val="21"/>
                      <w:vertAlign w:val="superscript"/>
                      <w:lang w:val="en-US"/>
                    </w:rPr>
                    <w:t>3</w:t>
                  </w:r>
                  <w:r>
                    <w:rPr>
                      <w:rFonts w:cs="Times New Roman"/>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vAlign w:val="center"/>
                </w:tcPr>
                <w:p>
                  <w:pPr>
                    <w:pStyle w:val="43"/>
                    <w:tabs>
                      <w:tab w:val="left" w:pos="5530"/>
                    </w:tabs>
                    <w:rPr>
                      <w:rFonts w:cs="Times New Roman"/>
                      <w:color w:val="000000"/>
                      <w:szCs w:val="21"/>
                      <w:lang w:val="en-US"/>
                    </w:rPr>
                  </w:pPr>
                  <w:r>
                    <w:rPr>
                      <w:rFonts w:cs="Times New Roman"/>
                      <w:color w:val="000000"/>
                      <w:szCs w:val="21"/>
                      <w:lang w:val="en-US"/>
                    </w:rPr>
                    <w:t>颗粒物</w:t>
                  </w:r>
                </w:p>
              </w:tc>
              <w:tc>
                <w:tcPr>
                  <w:tcW w:w="1585" w:type="pct"/>
                  <w:vAlign w:val="center"/>
                </w:tcPr>
                <w:p>
                  <w:pPr>
                    <w:pStyle w:val="43"/>
                    <w:tabs>
                      <w:tab w:val="left" w:pos="5530"/>
                    </w:tabs>
                    <w:rPr>
                      <w:rFonts w:cs="Times New Roman"/>
                      <w:color w:val="000000"/>
                      <w:szCs w:val="21"/>
                      <w:lang w:val="en-US"/>
                    </w:rPr>
                  </w:pPr>
                  <w:r>
                    <w:rPr>
                      <w:rFonts w:cs="Times New Roman"/>
                      <w:color w:val="000000"/>
                      <w:szCs w:val="21"/>
                      <w:lang w:val="en-US"/>
                    </w:rPr>
                    <w:t>周界外浓度最高点</w:t>
                  </w:r>
                </w:p>
              </w:tc>
              <w:tc>
                <w:tcPr>
                  <w:tcW w:w="1871" w:type="pct"/>
                  <w:vAlign w:val="center"/>
                </w:tcPr>
                <w:p>
                  <w:pPr>
                    <w:pStyle w:val="43"/>
                    <w:tabs>
                      <w:tab w:val="left" w:pos="5530"/>
                    </w:tabs>
                    <w:rPr>
                      <w:rFonts w:cs="Times New Roman"/>
                      <w:color w:val="000000"/>
                      <w:szCs w:val="21"/>
                      <w:lang w:val="en-US"/>
                    </w:rPr>
                  </w:pPr>
                  <w:r>
                    <w:rPr>
                      <w:rFonts w:cs="Times New Roman"/>
                      <w:color w:val="000000"/>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vAlign w:val="center"/>
                </w:tcPr>
                <w:p>
                  <w:pPr>
                    <w:pStyle w:val="43"/>
                    <w:tabs>
                      <w:tab w:val="left" w:pos="5530"/>
                    </w:tabs>
                    <w:rPr>
                      <w:rFonts w:cs="Times New Roman"/>
                      <w:color w:val="000000"/>
                      <w:szCs w:val="21"/>
                      <w:lang w:val="en-US"/>
                    </w:rPr>
                  </w:pPr>
                  <w:r>
                    <w:rPr>
                      <w:rFonts w:cs="Times New Roman"/>
                      <w:color w:val="000000"/>
                      <w:szCs w:val="21"/>
                      <w:lang w:val="en-US"/>
                    </w:rPr>
                    <w:t>非甲烷总烃</w:t>
                  </w:r>
                </w:p>
              </w:tc>
              <w:tc>
                <w:tcPr>
                  <w:tcW w:w="1585" w:type="pct"/>
                  <w:vAlign w:val="center"/>
                </w:tcPr>
                <w:p>
                  <w:pPr>
                    <w:pStyle w:val="43"/>
                    <w:tabs>
                      <w:tab w:val="left" w:pos="5530"/>
                    </w:tabs>
                    <w:rPr>
                      <w:rFonts w:cs="Times New Roman"/>
                      <w:color w:val="000000"/>
                      <w:szCs w:val="21"/>
                      <w:lang w:val="en-US"/>
                    </w:rPr>
                  </w:pPr>
                  <w:r>
                    <w:rPr>
                      <w:rFonts w:cs="Times New Roman"/>
                      <w:color w:val="000000"/>
                      <w:szCs w:val="21"/>
                      <w:lang w:val="en-US"/>
                    </w:rPr>
                    <w:t>周界外浓度最高点</w:t>
                  </w:r>
                </w:p>
              </w:tc>
              <w:tc>
                <w:tcPr>
                  <w:tcW w:w="1871" w:type="pct"/>
                  <w:vAlign w:val="center"/>
                </w:tcPr>
                <w:p>
                  <w:pPr>
                    <w:pStyle w:val="43"/>
                    <w:tabs>
                      <w:tab w:val="left" w:pos="5530"/>
                    </w:tabs>
                    <w:rPr>
                      <w:rFonts w:cs="Times New Roman"/>
                      <w:color w:val="000000"/>
                      <w:szCs w:val="21"/>
                      <w:lang w:val="en-US"/>
                    </w:rPr>
                  </w:pPr>
                  <w:r>
                    <w:rPr>
                      <w:rFonts w:cs="Times New Roman"/>
                      <w:color w:val="000000"/>
                      <w:szCs w:val="21"/>
                      <w:lang w:val="en-US"/>
                    </w:rPr>
                    <w:t>4.0</w:t>
                  </w:r>
                </w:p>
              </w:tc>
            </w:tr>
          </w:tbl>
          <w:p>
            <w:pPr>
              <w:snapToGrid w:val="0"/>
              <w:ind w:firstLine="422" w:firstLineChars="20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表3-10</w:t>
            </w:r>
            <w:r>
              <w:rPr>
                <w:rFonts w:hint="eastAsia" w:ascii="Times New Roman" w:hAnsi="Times New Roman" w:cs="Times New Roman"/>
                <w:b/>
                <w:bCs/>
                <w:sz w:val="21"/>
                <w:szCs w:val="21"/>
              </w:rPr>
              <w:t>《恶臭污染物排放标准》表1中二级标准要求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2086"/>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324" w:type="pct"/>
                  <w:vAlign w:val="center"/>
                </w:tcPr>
                <w:p>
                  <w:pPr>
                    <w:pStyle w:val="43"/>
                    <w:tabs>
                      <w:tab w:val="left" w:pos="5530"/>
                    </w:tabs>
                    <w:rPr>
                      <w:rFonts w:cs="Times New Roman"/>
                      <w:color w:val="000000"/>
                      <w:lang w:val="en-US"/>
                    </w:rPr>
                  </w:pPr>
                  <w:r>
                    <w:rPr>
                      <w:rFonts w:cs="Times New Roman"/>
                      <w:color w:val="000000"/>
                      <w:lang w:val="en-US"/>
                    </w:rPr>
                    <w:t>污染物名称</w:t>
                  </w:r>
                </w:p>
              </w:tc>
              <w:tc>
                <w:tcPr>
                  <w:tcW w:w="1282" w:type="pct"/>
                  <w:vAlign w:val="center"/>
                </w:tcPr>
                <w:p>
                  <w:pPr>
                    <w:pStyle w:val="43"/>
                    <w:tabs>
                      <w:tab w:val="left" w:pos="5530"/>
                    </w:tabs>
                    <w:rPr>
                      <w:rFonts w:cs="Times New Roman"/>
                      <w:color w:val="000000"/>
                      <w:lang w:val="en-US"/>
                    </w:rPr>
                  </w:pPr>
                  <w:r>
                    <w:rPr>
                      <w:rFonts w:hint="eastAsia" w:cs="Times New Roman"/>
                      <w:color w:val="000000"/>
                      <w:lang w:val="en-US"/>
                    </w:rPr>
                    <w:t>二级</w:t>
                  </w:r>
                  <w:r>
                    <w:rPr>
                      <w:rFonts w:cs="Times New Roman"/>
                      <w:color w:val="000000"/>
                      <w:lang w:val="en-US"/>
                    </w:rPr>
                    <w:t>排放限值（mg/m</w:t>
                  </w:r>
                  <w:r>
                    <w:rPr>
                      <w:rFonts w:cs="Times New Roman"/>
                      <w:color w:val="000000"/>
                      <w:vertAlign w:val="superscript"/>
                      <w:lang w:val="en-US"/>
                    </w:rPr>
                    <w:t>3</w:t>
                  </w:r>
                  <w:r>
                    <w:rPr>
                      <w:rFonts w:cs="Times New Roman"/>
                      <w:color w:val="000000"/>
                      <w:lang w:val="en-US"/>
                    </w:rPr>
                    <w:t>）</w:t>
                  </w:r>
                </w:p>
              </w:tc>
              <w:tc>
                <w:tcPr>
                  <w:tcW w:w="2392" w:type="pct"/>
                  <w:vAlign w:val="center"/>
                </w:tcPr>
                <w:p>
                  <w:pPr>
                    <w:pStyle w:val="43"/>
                    <w:tabs>
                      <w:tab w:val="left" w:pos="5530"/>
                    </w:tabs>
                    <w:rPr>
                      <w:rFonts w:cs="Times New Roman"/>
                      <w:color w:val="000000"/>
                      <w:lang w:val="en-US"/>
                    </w:rPr>
                  </w:pPr>
                  <w:r>
                    <w:rPr>
                      <w:rFonts w:hint="eastAsia" w:cs="Times New Roman"/>
                      <w:color w:val="000000"/>
                      <w:lang w:val="en-U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pct"/>
                  <w:vAlign w:val="center"/>
                </w:tcPr>
                <w:p>
                  <w:pPr>
                    <w:pStyle w:val="43"/>
                    <w:tabs>
                      <w:tab w:val="left" w:pos="5530"/>
                    </w:tabs>
                    <w:rPr>
                      <w:rFonts w:cs="Times New Roman"/>
                      <w:color w:val="000000"/>
                      <w:lang w:val="en-US"/>
                    </w:rPr>
                  </w:pPr>
                  <w:r>
                    <w:rPr>
                      <w:rFonts w:hint="eastAsia" w:cs="Times New Roman"/>
                      <w:color w:val="000000"/>
                      <w:lang w:val="en-US"/>
                    </w:rPr>
                    <w:t>臭气浓度</w:t>
                  </w:r>
                </w:p>
              </w:tc>
              <w:tc>
                <w:tcPr>
                  <w:tcW w:w="1282" w:type="pct"/>
                  <w:vAlign w:val="center"/>
                </w:tcPr>
                <w:p>
                  <w:pPr>
                    <w:pStyle w:val="43"/>
                    <w:tabs>
                      <w:tab w:val="left" w:pos="5530"/>
                    </w:tabs>
                    <w:rPr>
                      <w:rFonts w:cs="Times New Roman"/>
                      <w:color w:val="000000"/>
                      <w:lang w:val="en-US"/>
                    </w:rPr>
                  </w:pPr>
                  <w:r>
                    <w:rPr>
                      <w:rFonts w:hint="eastAsia" w:cs="Times New Roman"/>
                    </w:rPr>
                    <w:t>≤</w:t>
                  </w:r>
                  <w:r>
                    <w:rPr>
                      <w:rFonts w:hint="eastAsia" w:cs="Times New Roman"/>
                      <w:color w:val="000000"/>
                      <w:lang w:val="en-US"/>
                    </w:rPr>
                    <w:t>20</w:t>
                  </w:r>
                </w:p>
              </w:tc>
              <w:tc>
                <w:tcPr>
                  <w:tcW w:w="2392" w:type="pct"/>
                  <w:vAlign w:val="center"/>
                </w:tcPr>
                <w:p>
                  <w:pPr>
                    <w:pStyle w:val="43"/>
                    <w:tabs>
                      <w:tab w:val="left" w:pos="5530"/>
                    </w:tabs>
                    <w:rPr>
                      <w:rFonts w:cs="Times New Roman"/>
                      <w:color w:val="000000"/>
                      <w:lang w:val="en-US"/>
                    </w:rPr>
                  </w:pPr>
                  <w:r>
                    <w:rPr>
                      <w:rFonts w:hint="eastAsia" w:cs="Times New Roman"/>
                      <w:color w:val="000000"/>
                      <w:lang w:val="en-US"/>
                    </w:rPr>
                    <w:t>无量纲</w:t>
                  </w:r>
                </w:p>
              </w:tc>
            </w:tr>
          </w:tbl>
          <w:p>
            <w:pPr>
              <w:pStyle w:val="17"/>
              <w:autoSpaceDE/>
              <w:autoSpaceDN/>
              <w:spacing w:line="360" w:lineRule="auto"/>
              <w:ind w:firstLine="480"/>
              <w:rPr>
                <w:rFonts w:ascii="Times New Roman" w:hAnsi="Times New Roman" w:cs="Times New Roman"/>
                <w:sz w:val="24"/>
                <w:szCs w:val="24"/>
              </w:rPr>
            </w:pPr>
            <w:r>
              <w:rPr>
                <w:rFonts w:ascii="Times New Roman" w:hAnsi="Times New Roman" w:cs="Times New Roman"/>
                <w:sz w:val="24"/>
                <w:szCs w:val="24"/>
              </w:rPr>
              <w:t>项目生产过程中无组织排放的有机废气厂房区域内执行《挥发性有机物无组织排放控制标准》（</w:t>
            </w:r>
            <w:r>
              <w:rPr>
                <w:rFonts w:ascii="Times New Roman" w:hAnsi="Times New Roman" w:eastAsia="Times New Roman" w:cs="Times New Roman"/>
                <w:sz w:val="24"/>
                <w:szCs w:val="24"/>
              </w:rPr>
              <w:t>GB37822-2019</w:t>
            </w:r>
            <w:r>
              <w:rPr>
                <w:rFonts w:ascii="Times New Roman" w:hAnsi="Times New Roman" w:cs="Times New Roman"/>
                <w:sz w:val="24"/>
                <w:szCs w:val="24"/>
              </w:rPr>
              <w:t>）中的排放限值，标准限值见表</w:t>
            </w:r>
            <w:r>
              <w:rPr>
                <w:rFonts w:ascii="Times New Roman" w:hAnsi="Times New Roman" w:cs="Times New Roman"/>
                <w:sz w:val="24"/>
                <w:szCs w:val="24"/>
                <w:lang w:val="en-US"/>
              </w:rPr>
              <w:t>3-10</w:t>
            </w:r>
            <w:r>
              <w:rPr>
                <w:rFonts w:ascii="Times New Roman" w:hAnsi="Times New Roman" w:cs="Times New Roman"/>
                <w:sz w:val="24"/>
                <w:szCs w:val="24"/>
              </w:rPr>
              <w:t>。</w:t>
            </w:r>
          </w:p>
          <w:p>
            <w:pPr>
              <w:pStyle w:val="10"/>
            </w:pPr>
            <w:r>
              <w:t>表3-1</w:t>
            </w:r>
            <w:r>
              <w:rPr>
                <w:rFonts w:hint="eastAsia"/>
                <w:lang w:val="en-US" w:eastAsia="zh-CN"/>
              </w:rPr>
              <w:t>1</w:t>
            </w:r>
            <w:r>
              <w:t>挥发性有机物无组织排放限值  单位：</w:t>
            </w:r>
            <w:r>
              <w:rPr>
                <w:spacing w:val="-4"/>
                <w:szCs w:val="21"/>
              </w:rPr>
              <w:t>mg/m³</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838"/>
              <w:gridCol w:w="1481"/>
              <w:gridCol w:w="3002"/>
              <w:gridCol w:w="1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553" w:type="pct"/>
                </w:tcPr>
                <w:p>
                  <w:pPr>
                    <w:snapToGrid w:val="0"/>
                    <w:jc w:val="center"/>
                    <w:rPr>
                      <w:rFonts w:ascii="Times New Roman" w:hAnsi="Times New Roman" w:cs="Times New Roman"/>
                      <w:spacing w:val="-4"/>
                      <w:sz w:val="21"/>
                      <w:szCs w:val="21"/>
                    </w:rPr>
                  </w:pPr>
                </w:p>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污染物</w:t>
                  </w:r>
                </w:p>
              </w:tc>
              <w:tc>
                <w:tcPr>
                  <w:tcW w:w="515" w:type="pct"/>
                  <w:vAlign w:val="center"/>
                </w:tcPr>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排放限值</w:t>
                  </w:r>
                </w:p>
              </w:tc>
              <w:tc>
                <w:tcPr>
                  <w:tcW w:w="910" w:type="pct"/>
                  <w:vAlign w:val="center"/>
                </w:tcPr>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特别排放限值</w:t>
                  </w:r>
                </w:p>
              </w:tc>
              <w:tc>
                <w:tcPr>
                  <w:tcW w:w="1845" w:type="pct"/>
                </w:tcPr>
                <w:p>
                  <w:pPr>
                    <w:snapToGrid w:val="0"/>
                    <w:jc w:val="center"/>
                    <w:rPr>
                      <w:rFonts w:ascii="Times New Roman" w:hAnsi="Times New Roman" w:cs="Times New Roman"/>
                      <w:spacing w:val="-4"/>
                      <w:sz w:val="21"/>
                      <w:szCs w:val="21"/>
                    </w:rPr>
                  </w:pPr>
                </w:p>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限值含义</w:t>
                  </w:r>
                </w:p>
              </w:tc>
              <w:tc>
                <w:tcPr>
                  <w:tcW w:w="1175" w:type="pct"/>
                </w:tcPr>
                <w:p>
                  <w:pPr>
                    <w:snapToGrid w:val="0"/>
                    <w:jc w:val="center"/>
                    <w:rPr>
                      <w:rFonts w:ascii="Times New Roman" w:hAnsi="Times New Roman" w:cs="Times New Roman"/>
                      <w:spacing w:val="-4"/>
                      <w:sz w:val="21"/>
                      <w:szCs w:val="21"/>
                    </w:rPr>
                  </w:pPr>
                </w:p>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无组织排放监控位置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53" w:type="pct"/>
                  <w:vMerge w:val="restart"/>
                </w:tcPr>
                <w:p>
                  <w:pPr>
                    <w:snapToGrid w:val="0"/>
                    <w:jc w:val="center"/>
                    <w:rPr>
                      <w:rFonts w:ascii="Times New Roman" w:hAnsi="Times New Roman" w:cs="Times New Roman"/>
                      <w:spacing w:val="-4"/>
                      <w:sz w:val="21"/>
                      <w:szCs w:val="21"/>
                    </w:rPr>
                  </w:pPr>
                </w:p>
                <w:p>
                  <w:pPr>
                    <w:snapToGrid w:val="0"/>
                    <w:jc w:val="center"/>
                    <w:rPr>
                      <w:rFonts w:ascii="Times New Roman" w:hAnsi="Times New Roman" w:cs="Times New Roman"/>
                      <w:spacing w:val="-4"/>
                      <w:sz w:val="21"/>
                      <w:szCs w:val="21"/>
                      <w:lang w:val="en-US"/>
                    </w:rPr>
                  </w:pPr>
                  <w:r>
                    <w:rPr>
                      <w:rFonts w:ascii="Times New Roman" w:hAnsi="Times New Roman" w:cs="Times New Roman"/>
                      <w:spacing w:val="-4"/>
                      <w:sz w:val="21"/>
                      <w:szCs w:val="21"/>
                      <w:lang w:val="en-US"/>
                    </w:rPr>
                    <w:t>NMHC</w:t>
                  </w:r>
                </w:p>
              </w:tc>
              <w:tc>
                <w:tcPr>
                  <w:tcW w:w="515" w:type="pct"/>
                </w:tcPr>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10</w:t>
                  </w:r>
                </w:p>
              </w:tc>
              <w:tc>
                <w:tcPr>
                  <w:tcW w:w="910" w:type="pct"/>
                </w:tcPr>
                <w:p>
                  <w:pPr>
                    <w:snapToGrid w:val="0"/>
                    <w:jc w:val="center"/>
                    <w:rPr>
                      <w:rFonts w:ascii="Times New Roman" w:hAnsi="Times New Roman" w:cs="Times New Roman"/>
                      <w:spacing w:val="-4"/>
                      <w:sz w:val="21"/>
                      <w:szCs w:val="21"/>
                      <w:lang w:val="en-US"/>
                    </w:rPr>
                  </w:pPr>
                  <w:r>
                    <w:rPr>
                      <w:rFonts w:ascii="Times New Roman" w:hAnsi="Times New Roman" w:cs="Times New Roman"/>
                      <w:spacing w:val="-4"/>
                      <w:sz w:val="21"/>
                      <w:szCs w:val="21"/>
                      <w:lang w:val="en-US"/>
                    </w:rPr>
                    <w:t>6</w:t>
                  </w:r>
                </w:p>
              </w:tc>
              <w:tc>
                <w:tcPr>
                  <w:tcW w:w="1845" w:type="pct"/>
                </w:tcPr>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监控点处1h平均浓度值</w:t>
                  </w:r>
                </w:p>
              </w:tc>
              <w:tc>
                <w:tcPr>
                  <w:tcW w:w="1175" w:type="pct"/>
                  <w:vMerge w:val="restart"/>
                </w:tcPr>
                <w:p>
                  <w:pPr>
                    <w:snapToGrid w:val="0"/>
                    <w:jc w:val="center"/>
                    <w:rPr>
                      <w:rFonts w:ascii="Times New Roman" w:hAnsi="Times New Roman" w:cs="Times New Roman"/>
                      <w:spacing w:val="-4"/>
                      <w:sz w:val="21"/>
                      <w:szCs w:val="21"/>
                    </w:rPr>
                  </w:pPr>
                </w:p>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在厂房外设置监控点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53" w:type="pct"/>
                  <w:vMerge w:val="continue"/>
                  <w:tcBorders>
                    <w:top w:val="nil"/>
                  </w:tcBorders>
                </w:tcPr>
                <w:p>
                  <w:pPr>
                    <w:snapToGrid w:val="0"/>
                    <w:jc w:val="center"/>
                    <w:rPr>
                      <w:rFonts w:ascii="Times New Roman" w:hAnsi="Times New Roman" w:cs="Times New Roman"/>
                      <w:spacing w:val="-4"/>
                      <w:sz w:val="21"/>
                      <w:szCs w:val="21"/>
                    </w:rPr>
                  </w:pPr>
                </w:p>
              </w:tc>
              <w:tc>
                <w:tcPr>
                  <w:tcW w:w="515" w:type="pct"/>
                </w:tcPr>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30</w:t>
                  </w:r>
                </w:p>
              </w:tc>
              <w:tc>
                <w:tcPr>
                  <w:tcW w:w="910" w:type="pct"/>
                </w:tcPr>
                <w:p>
                  <w:pPr>
                    <w:snapToGrid w:val="0"/>
                    <w:jc w:val="center"/>
                    <w:rPr>
                      <w:rFonts w:ascii="Times New Roman" w:hAnsi="Times New Roman" w:cs="Times New Roman"/>
                      <w:spacing w:val="-4"/>
                      <w:sz w:val="21"/>
                      <w:szCs w:val="21"/>
                      <w:lang w:val="en-US"/>
                    </w:rPr>
                  </w:pPr>
                  <w:r>
                    <w:rPr>
                      <w:rFonts w:ascii="Times New Roman" w:hAnsi="Times New Roman" w:cs="Times New Roman"/>
                      <w:spacing w:val="-4"/>
                      <w:sz w:val="21"/>
                      <w:szCs w:val="21"/>
                      <w:lang w:val="en-US"/>
                    </w:rPr>
                    <w:t>20</w:t>
                  </w:r>
                </w:p>
              </w:tc>
              <w:tc>
                <w:tcPr>
                  <w:tcW w:w="1845" w:type="pct"/>
                </w:tcPr>
                <w:p>
                  <w:pPr>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监控点处任意一次浓度值</w:t>
                  </w:r>
                </w:p>
              </w:tc>
              <w:tc>
                <w:tcPr>
                  <w:tcW w:w="1175" w:type="pct"/>
                  <w:vMerge w:val="continue"/>
                  <w:tcBorders>
                    <w:top w:val="nil"/>
                  </w:tcBorders>
                </w:tcPr>
                <w:p>
                  <w:pPr>
                    <w:snapToGrid w:val="0"/>
                    <w:jc w:val="center"/>
                    <w:rPr>
                      <w:rFonts w:ascii="Times New Roman" w:hAnsi="Times New Roman" w:cs="Times New Roman"/>
                      <w:spacing w:val="-4"/>
                      <w:sz w:val="21"/>
                      <w:szCs w:val="21"/>
                    </w:rPr>
                  </w:pPr>
                </w:p>
              </w:tc>
            </w:tr>
          </w:tbl>
          <w:p>
            <w:pPr>
              <w:snapToGrid w:val="0"/>
              <w:spacing w:line="360" w:lineRule="auto"/>
              <w:ind w:firstLine="482" w:firstLineChars="200"/>
              <w:contextualSpacing/>
              <w:rPr>
                <w:rFonts w:ascii="Times New Roman" w:hAnsi="Times New Roman" w:cs="Times New Roman"/>
                <w:b/>
              </w:rPr>
            </w:pPr>
            <w:r>
              <w:rPr>
                <w:rFonts w:ascii="Times New Roman" w:hAnsi="Times New Roman" w:cs="Times New Roman"/>
                <w:b/>
              </w:rPr>
              <w:t>3、噪声</w:t>
            </w:r>
          </w:p>
          <w:p>
            <w:pPr>
              <w:snapToGrid w:val="0"/>
              <w:spacing w:line="360" w:lineRule="auto"/>
              <w:ind w:firstLine="480"/>
              <w:rPr>
                <w:rFonts w:ascii="Times New Roman" w:hAnsi="Times New Roman" w:cs="Times New Roman"/>
              </w:rPr>
            </w:pPr>
            <w:r>
              <w:rPr>
                <w:rFonts w:ascii="Times New Roman" w:hAnsi="Times New Roman" w:cs="Times New Roman"/>
              </w:rPr>
              <w:t>项目厂界噪声执行（</w:t>
            </w:r>
            <w:r>
              <w:rPr>
                <w:rFonts w:ascii="Times New Roman" w:hAnsi="Times New Roman" w:cs="Times New Roman"/>
                <w:spacing w:val="-1"/>
              </w:rPr>
              <w:t>GB12348-200</w:t>
            </w:r>
            <w:r>
              <w:rPr>
                <w:rFonts w:ascii="Times New Roman" w:hAnsi="Times New Roman" w:cs="Times New Roman"/>
              </w:rPr>
              <w:t>8）《工业企业厂界环境噪声排放标准》中3类区标准，具体指标见表3-</w:t>
            </w:r>
            <w:r>
              <w:rPr>
                <w:rFonts w:ascii="Times New Roman" w:hAnsi="Times New Roman" w:cs="Times New Roman"/>
                <w:lang w:val="en-US"/>
              </w:rPr>
              <w:t>1</w:t>
            </w:r>
            <w:r>
              <w:rPr>
                <w:rFonts w:hint="eastAsia" w:ascii="Times New Roman" w:hAnsi="Times New Roman" w:cs="Times New Roman"/>
                <w:lang w:val="en-US" w:eastAsia="zh-CN"/>
              </w:rPr>
              <w:t>2</w:t>
            </w:r>
            <w:r>
              <w:rPr>
                <w:rFonts w:ascii="Times New Roman" w:hAnsi="Times New Roman" w:cs="Times New Roman"/>
              </w:rPr>
              <w:t>。</w:t>
            </w:r>
          </w:p>
          <w:p>
            <w:pPr>
              <w:pStyle w:val="10"/>
              <w:ind w:firstLine="422"/>
              <w:rPr>
                <w:bCs w:val="0"/>
              </w:rPr>
            </w:pPr>
            <w:r>
              <w:rPr>
                <w:bCs w:val="0"/>
              </w:rPr>
              <w:t>表3-1</w:t>
            </w:r>
            <w:r>
              <w:rPr>
                <w:rFonts w:hint="eastAsia"/>
                <w:bCs w:val="0"/>
                <w:lang w:val="en-US" w:eastAsia="zh-CN"/>
              </w:rPr>
              <w:t>2</w:t>
            </w:r>
            <w:r>
              <w:rPr>
                <w:bCs w:val="0"/>
              </w:rPr>
              <w:t>厂界噪声执行标准单位：dB（A）</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4495"/>
              <w:gridCol w:w="102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1" w:type="pct"/>
                  <w:vMerge w:val="restart"/>
                  <w:vAlign w:val="center"/>
                </w:tcPr>
                <w:p>
                  <w:pPr>
                    <w:pStyle w:val="43"/>
                    <w:spacing w:line="240" w:lineRule="exact"/>
                    <w:rPr>
                      <w:rFonts w:cs="Times New Roman"/>
                      <w:lang w:val="en-US"/>
                    </w:rPr>
                  </w:pPr>
                  <w:r>
                    <w:rPr>
                      <w:rFonts w:cs="Times New Roman"/>
                      <w:lang w:val="en-US"/>
                    </w:rPr>
                    <w:t>类别</w:t>
                  </w:r>
                </w:p>
              </w:tc>
              <w:tc>
                <w:tcPr>
                  <w:tcW w:w="2763" w:type="pct"/>
                  <w:vMerge w:val="restart"/>
                  <w:vAlign w:val="center"/>
                </w:tcPr>
                <w:p>
                  <w:pPr>
                    <w:pStyle w:val="43"/>
                    <w:spacing w:line="240" w:lineRule="exact"/>
                    <w:rPr>
                      <w:rFonts w:cs="Times New Roman"/>
                      <w:lang w:val="en-US"/>
                    </w:rPr>
                  </w:pPr>
                  <w:r>
                    <w:rPr>
                      <w:rFonts w:cs="Times New Roman"/>
                      <w:lang w:val="en-US"/>
                    </w:rPr>
                    <w:t>适用区域</w:t>
                  </w:r>
                </w:p>
              </w:tc>
              <w:tc>
                <w:tcPr>
                  <w:tcW w:w="1565" w:type="pct"/>
                  <w:gridSpan w:val="2"/>
                  <w:vAlign w:val="center"/>
                </w:tcPr>
                <w:p>
                  <w:pPr>
                    <w:pStyle w:val="43"/>
                    <w:spacing w:line="240" w:lineRule="exact"/>
                    <w:rPr>
                      <w:rFonts w:cs="Times New Roman"/>
                      <w:lang w:val="en-US"/>
                    </w:rPr>
                  </w:pPr>
                  <w:r>
                    <w:rPr>
                      <w:rFonts w:cs="Times New Roman"/>
                      <w:lang w:val="en-US"/>
                    </w:rPr>
                    <w:t>等效声级[dB(A)]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1" w:type="pct"/>
                  <w:vMerge w:val="continue"/>
                  <w:vAlign w:val="center"/>
                </w:tcPr>
                <w:p>
                  <w:pPr>
                    <w:pStyle w:val="43"/>
                    <w:spacing w:line="240" w:lineRule="exact"/>
                    <w:rPr>
                      <w:rFonts w:cs="Times New Roman"/>
                      <w:lang w:val="en-US"/>
                    </w:rPr>
                  </w:pPr>
                </w:p>
              </w:tc>
              <w:tc>
                <w:tcPr>
                  <w:tcW w:w="2763" w:type="pct"/>
                  <w:vMerge w:val="continue"/>
                  <w:vAlign w:val="center"/>
                </w:tcPr>
                <w:p>
                  <w:pPr>
                    <w:pStyle w:val="43"/>
                    <w:spacing w:line="240" w:lineRule="exact"/>
                    <w:rPr>
                      <w:rFonts w:cs="Times New Roman"/>
                      <w:lang w:val="en-US"/>
                    </w:rPr>
                  </w:pPr>
                </w:p>
              </w:tc>
              <w:tc>
                <w:tcPr>
                  <w:tcW w:w="627" w:type="pct"/>
                  <w:vAlign w:val="center"/>
                </w:tcPr>
                <w:p>
                  <w:pPr>
                    <w:pStyle w:val="43"/>
                    <w:spacing w:line="240" w:lineRule="exact"/>
                    <w:rPr>
                      <w:rFonts w:cs="Times New Roman"/>
                      <w:lang w:val="en-US"/>
                    </w:rPr>
                  </w:pPr>
                  <w:r>
                    <w:rPr>
                      <w:rFonts w:cs="Times New Roman"/>
                      <w:lang w:val="en-US"/>
                    </w:rPr>
                    <w:t>昼间</w:t>
                  </w:r>
                </w:p>
              </w:tc>
              <w:tc>
                <w:tcPr>
                  <w:tcW w:w="938" w:type="pct"/>
                  <w:vAlign w:val="center"/>
                </w:tcPr>
                <w:p>
                  <w:pPr>
                    <w:pStyle w:val="43"/>
                    <w:spacing w:line="240" w:lineRule="exact"/>
                    <w:rPr>
                      <w:rFonts w:cs="Times New Roman"/>
                      <w:lang w:val="en-US"/>
                    </w:rPr>
                  </w:pPr>
                  <w:r>
                    <w:rPr>
                      <w:rFonts w:cs="Times New Roman"/>
                      <w:lang w:val="en-US"/>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1" w:type="pct"/>
                  <w:vAlign w:val="center"/>
                </w:tcPr>
                <w:p>
                  <w:pPr>
                    <w:pStyle w:val="43"/>
                    <w:spacing w:line="240" w:lineRule="exact"/>
                    <w:rPr>
                      <w:rFonts w:cs="Times New Roman"/>
                      <w:lang w:val="en-US"/>
                    </w:rPr>
                  </w:pPr>
                  <w:r>
                    <w:rPr>
                      <w:rFonts w:cs="Times New Roman"/>
                      <w:lang w:val="en-US"/>
                    </w:rPr>
                    <w:t>3类标准</w:t>
                  </w:r>
                </w:p>
              </w:tc>
              <w:tc>
                <w:tcPr>
                  <w:tcW w:w="2763" w:type="pct"/>
                  <w:vAlign w:val="center"/>
                </w:tcPr>
                <w:p>
                  <w:pPr>
                    <w:pStyle w:val="43"/>
                    <w:spacing w:line="240" w:lineRule="exact"/>
                    <w:rPr>
                      <w:rFonts w:cs="Times New Roman"/>
                      <w:lang w:val="en-US"/>
                    </w:rPr>
                  </w:pPr>
                  <w:r>
                    <w:rPr>
                      <w:rFonts w:cs="Times New Roman"/>
                      <w:lang w:val="en-US"/>
                    </w:rPr>
                    <w:t>指以工业生产、仓储物流为主要功能，需要防止工业噪声对周围环境产生严重影响的区域</w:t>
                  </w:r>
                </w:p>
              </w:tc>
              <w:tc>
                <w:tcPr>
                  <w:tcW w:w="627" w:type="pct"/>
                  <w:vAlign w:val="center"/>
                </w:tcPr>
                <w:p>
                  <w:pPr>
                    <w:pStyle w:val="43"/>
                    <w:spacing w:line="240" w:lineRule="exact"/>
                    <w:rPr>
                      <w:rFonts w:cs="Times New Roman"/>
                      <w:lang w:val="en-US"/>
                    </w:rPr>
                  </w:pPr>
                  <w:r>
                    <w:rPr>
                      <w:rFonts w:cs="Times New Roman"/>
                      <w:lang w:val="en-US"/>
                    </w:rPr>
                    <w:t>65</w:t>
                  </w:r>
                </w:p>
              </w:tc>
              <w:tc>
                <w:tcPr>
                  <w:tcW w:w="938" w:type="pct"/>
                  <w:vAlign w:val="center"/>
                </w:tcPr>
                <w:p>
                  <w:pPr>
                    <w:pStyle w:val="43"/>
                    <w:spacing w:line="240" w:lineRule="exact"/>
                    <w:rPr>
                      <w:rFonts w:cs="Times New Roman"/>
                      <w:lang w:val="en-US"/>
                    </w:rPr>
                  </w:pPr>
                  <w:r>
                    <w:rPr>
                      <w:rFonts w:cs="Times New Roman"/>
                      <w:lang w:val="en-US"/>
                    </w:rPr>
                    <w:t>55</w:t>
                  </w:r>
                </w:p>
              </w:tc>
            </w:tr>
          </w:tbl>
          <w:p>
            <w:pPr>
              <w:snapToGrid w:val="0"/>
              <w:spacing w:line="360" w:lineRule="auto"/>
              <w:ind w:firstLine="482" w:firstLineChars="200"/>
              <w:rPr>
                <w:rFonts w:ascii="Times New Roman" w:hAnsi="Times New Roman" w:cs="Times New Roman"/>
                <w:b/>
                <w:bCs/>
              </w:rPr>
            </w:pPr>
            <w:r>
              <w:rPr>
                <w:rFonts w:ascii="Times New Roman" w:hAnsi="Times New Roman" w:cs="Times New Roman"/>
                <w:b/>
                <w:bCs/>
              </w:rPr>
              <w:t>4、固体废弃物</w:t>
            </w:r>
          </w:p>
          <w:p>
            <w:pPr>
              <w:pStyle w:val="46"/>
              <w:snapToGrid w:val="0"/>
              <w:spacing w:line="360" w:lineRule="auto"/>
              <w:ind w:firstLine="480" w:firstLineChars="200"/>
              <w:jc w:val="both"/>
              <w:rPr>
                <w:rFonts w:ascii="Times New Roman" w:hAnsi="Times New Roman" w:cs="Times New Roman"/>
              </w:rPr>
            </w:pPr>
            <w:r>
              <w:rPr>
                <w:rFonts w:ascii="Times New Roman" w:hAnsi="Times New Roman" w:cs="Times New Roman"/>
              </w:rPr>
              <w:t>项目一般工业固体废弃物执行GB18599-2020《一般工业固体废物贮存和填埋污染控制标准》，危险废物执行《危险废物贮存污染物控制标准》（GB18597-2001）及其修改单的相关规定。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 w:hRule="atLeast"/>
          <w:jc w:val="center"/>
        </w:trPr>
        <w:tc>
          <w:tcPr>
            <w:tcW w:w="757" w:type="dxa"/>
            <w:tcBorders>
              <w:tl2br w:val="nil"/>
              <w:tr2bl w:val="nil"/>
            </w:tcBorders>
          </w:tcPr>
          <w:p>
            <w:pPr>
              <w:pStyle w:val="46"/>
              <w:snapToGrid w:val="0"/>
              <w:spacing w:line="360" w:lineRule="auto"/>
              <w:jc w:val="center"/>
              <w:rPr>
                <w:rFonts w:ascii="Times New Roman" w:hAnsi="Times New Roman" w:cs="Times New Roman"/>
                <w:sz w:val="20"/>
              </w:rPr>
            </w:pPr>
          </w:p>
          <w:p>
            <w:pPr>
              <w:pStyle w:val="46"/>
              <w:snapToGrid w:val="0"/>
              <w:spacing w:line="360" w:lineRule="auto"/>
              <w:jc w:val="center"/>
              <w:rPr>
                <w:rFonts w:ascii="Times New Roman" w:hAnsi="Times New Roman" w:cs="Times New Roman"/>
                <w:sz w:val="20"/>
              </w:rPr>
            </w:pPr>
          </w:p>
          <w:p>
            <w:pPr>
              <w:pStyle w:val="46"/>
              <w:snapToGrid w:val="0"/>
              <w:spacing w:line="360" w:lineRule="auto"/>
              <w:jc w:val="center"/>
              <w:rPr>
                <w:rFonts w:ascii="Times New Roman" w:hAnsi="Times New Roman" w:cs="Times New Roman"/>
                <w:sz w:val="20"/>
              </w:rPr>
            </w:pPr>
          </w:p>
          <w:p>
            <w:pPr>
              <w:pStyle w:val="46"/>
              <w:snapToGrid w:val="0"/>
              <w:spacing w:line="360" w:lineRule="auto"/>
              <w:jc w:val="center"/>
              <w:rPr>
                <w:rFonts w:ascii="Times New Roman" w:hAnsi="Times New Roman" w:cs="Times New Roman"/>
                <w:sz w:val="20"/>
              </w:rPr>
            </w:pPr>
          </w:p>
          <w:p>
            <w:pPr>
              <w:pStyle w:val="46"/>
              <w:snapToGrid w:val="0"/>
              <w:spacing w:line="360" w:lineRule="auto"/>
              <w:jc w:val="center"/>
              <w:rPr>
                <w:rFonts w:ascii="Times New Roman" w:hAnsi="Times New Roman" w:cs="Times New Roman"/>
                <w:sz w:val="18"/>
              </w:rPr>
            </w:pPr>
          </w:p>
          <w:p>
            <w:pPr>
              <w:pStyle w:val="46"/>
              <w:snapToGrid w:val="0"/>
              <w:spacing w:line="360" w:lineRule="auto"/>
              <w:jc w:val="center"/>
              <w:rPr>
                <w:rFonts w:ascii="Times New Roman" w:hAnsi="Times New Roman" w:cs="Times New Roman"/>
                <w:sz w:val="21"/>
              </w:rPr>
            </w:pPr>
            <w:r>
              <w:rPr>
                <w:rFonts w:ascii="Times New Roman" w:hAnsi="Times New Roman" w:cs="Times New Roman"/>
                <w:sz w:val="21"/>
              </w:rPr>
              <w:t>总量控制指标</w:t>
            </w:r>
          </w:p>
        </w:tc>
        <w:tc>
          <w:tcPr>
            <w:tcW w:w="8147" w:type="dxa"/>
            <w:tcBorders>
              <w:tl2br w:val="nil"/>
              <w:tr2bl w:val="nil"/>
            </w:tcBorders>
          </w:tcPr>
          <w:p>
            <w:pPr>
              <w:widowControl/>
              <w:snapToGrid w:val="0"/>
              <w:spacing w:line="360" w:lineRule="auto"/>
              <w:ind w:firstLine="480" w:firstLineChars="200"/>
              <w:rPr>
                <w:rFonts w:ascii="Times New Roman" w:hAnsi="Times New Roman" w:cs="Times New Roman"/>
                <w:color w:val="000000"/>
              </w:rPr>
            </w:pPr>
            <w:r>
              <w:rPr>
                <w:rFonts w:ascii="Times New Roman" w:hAnsi="Times New Roman" w:cs="Times New Roman"/>
              </w:rPr>
              <w:t>按照《全国主要污染物排放总量控制计划》中的要求，结合项目工艺特征和排污特点，本项目总量控制指标如下。</w:t>
            </w:r>
          </w:p>
          <w:p>
            <w:pPr>
              <w:widowControl/>
              <w:snapToGrid w:val="0"/>
              <w:spacing w:line="360" w:lineRule="auto"/>
              <w:ind w:firstLine="480" w:firstLineChars="200"/>
              <w:rPr>
                <w:rFonts w:ascii="Times New Roman" w:hAnsi="Times New Roman" w:cs="Times New Roman"/>
              </w:rPr>
            </w:pPr>
            <w:r>
              <w:rPr>
                <w:rFonts w:ascii="Times New Roman" w:hAnsi="Times New Roman" w:cs="Times New Roman"/>
              </w:rPr>
              <w:t>1、废水</w:t>
            </w:r>
          </w:p>
          <w:p>
            <w:pPr>
              <w:widowControl/>
              <w:snapToGrid w:val="0"/>
              <w:spacing w:line="360" w:lineRule="auto"/>
              <w:ind w:firstLine="480" w:firstLineChars="200"/>
              <w:rPr>
                <w:rFonts w:ascii="Times New Roman" w:hAnsi="Times New Roman" w:cs="Times New Roman"/>
              </w:rPr>
            </w:pPr>
            <w:r>
              <w:rPr>
                <w:rFonts w:ascii="Times New Roman" w:hAnsi="Times New Roman" w:cs="Times New Roman"/>
              </w:rPr>
              <w:t>根据工程分析，本项目生活</w:t>
            </w:r>
            <w:r>
              <w:rPr>
                <w:rFonts w:ascii="Times New Roman" w:hAnsi="Times New Roman" w:cs="Times New Roman"/>
                <w:lang w:val="en-US"/>
              </w:rPr>
              <w:t>污水</w:t>
            </w:r>
            <w:r>
              <w:rPr>
                <w:rFonts w:ascii="Times New Roman" w:hAnsi="Times New Roman" w:cs="Times New Roman"/>
              </w:rPr>
              <w:t>经</w:t>
            </w:r>
            <w:r>
              <w:rPr>
                <w:rFonts w:ascii="Times New Roman" w:hAnsi="Times New Roman" w:cs="Times New Roman"/>
                <w:color w:val="000000"/>
              </w:rPr>
              <w:t>云南俊腾达房地产开发有限公司</w:t>
            </w:r>
            <w:r>
              <w:rPr>
                <w:rFonts w:ascii="Times New Roman" w:hAnsi="Times New Roman" w:cs="Times New Roman"/>
              </w:rPr>
              <w:t>化粪池处理后进入</w:t>
            </w:r>
            <w:r>
              <w:rPr>
                <w:rFonts w:ascii="Times New Roman" w:hAnsi="Times New Roman" w:cs="Times New Roman"/>
                <w:color w:val="000000"/>
              </w:rPr>
              <w:t>云南俊腾达房地产开发有限公司</w:t>
            </w:r>
            <w:r>
              <w:rPr>
                <w:rFonts w:ascii="Times New Roman" w:hAnsi="Times New Roman" w:cs="Times New Roman"/>
                <w:color w:val="000000"/>
                <w:lang w:val="en-US"/>
              </w:rPr>
              <w:t>中水处理站</w:t>
            </w:r>
            <w:r>
              <w:rPr>
                <w:rFonts w:ascii="Times New Roman" w:hAnsi="Times New Roman" w:cs="Times New Roman"/>
              </w:rPr>
              <w:t>，</w:t>
            </w:r>
            <w:r>
              <w:rPr>
                <w:rFonts w:ascii="Times New Roman" w:hAnsi="Times New Roman" w:cs="Times New Roman"/>
                <w:lang w:val="en-US"/>
              </w:rPr>
              <w:t>废水总量控制纳入</w:t>
            </w:r>
            <w:r>
              <w:rPr>
                <w:rFonts w:ascii="Times New Roman" w:hAnsi="Times New Roman" w:cs="Times New Roman"/>
                <w:color w:val="000000"/>
              </w:rPr>
              <w:t>云南俊腾达房地产开发有限公司</w:t>
            </w:r>
            <w:r>
              <w:rPr>
                <w:rFonts w:ascii="Times New Roman" w:hAnsi="Times New Roman" w:cs="Times New Roman"/>
                <w:color w:val="000000"/>
                <w:lang w:val="en-US"/>
              </w:rPr>
              <w:t>中水处理站</w:t>
            </w:r>
            <w:r>
              <w:rPr>
                <w:rFonts w:ascii="Times New Roman" w:hAnsi="Times New Roman" w:cs="Times New Roman"/>
              </w:rPr>
              <w:t>进行考核。</w:t>
            </w:r>
          </w:p>
          <w:p>
            <w:pPr>
              <w:widowControl/>
              <w:snapToGrid w:val="0"/>
              <w:spacing w:line="360" w:lineRule="auto"/>
              <w:ind w:firstLine="420"/>
              <w:rPr>
                <w:rFonts w:ascii="Times New Roman" w:hAnsi="Times New Roman" w:cs="Times New Roman"/>
              </w:rPr>
            </w:pPr>
            <w:r>
              <w:rPr>
                <w:rFonts w:ascii="Times New Roman" w:hAnsi="Times New Roman" w:cs="Times New Roman"/>
              </w:rPr>
              <w:t>废水量：</w:t>
            </w:r>
            <w:r>
              <w:rPr>
                <w:rFonts w:ascii="Times New Roman" w:hAnsi="Times New Roman" w:cs="Times New Roman"/>
                <w:lang w:val="en-US"/>
              </w:rPr>
              <w:t>336</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p>
            <w:pPr>
              <w:widowControl/>
              <w:snapToGrid w:val="0"/>
              <w:spacing w:line="36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CODcr：</w:t>
            </w:r>
            <w:r>
              <w:rPr>
                <w:rFonts w:ascii="Times New Roman" w:hAnsi="Times New Roman" w:cs="Times New Roman"/>
                <w:color w:val="000000" w:themeColor="text1"/>
                <w:lang w:val="en-US"/>
                <w14:textFill>
                  <w14:solidFill>
                    <w14:schemeClr w14:val="tx1"/>
                  </w14:solidFill>
                </w14:textFill>
              </w:rPr>
              <w:t>0.</w:t>
            </w:r>
            <w:r>
              <w:rPr>
                <w:rFonts w:hint="eastAsia" w:ascii="Times New Roman" w:hAnsi="Times New Roman" w:cs="Times New Roman"/>
                <w:color w:val="000000" w:themeColor="text1"/>
                <w:lang w:val="en-US"/>
                <w14:textFill>
                  <w14:solidFill>
                    <w14:schemeClr w14:val="tx1"/>
                  </w14:solidFill>
                </w14:textFill>
              </w:rPr>
              <w:t>114</w:t>
            </w:r>
            <w:r>
              <w:rPr>
                <w:rFonts w:ascii="Times New Roman" w:hAnsi="Times New Roman" w:cs="Times New Roman"/>
                <w:color w:val="000000" w:themeColor="text1"/>
                <w14:textFill>
                  <w14:solidFill>
                    <w14:schemeClr w14:val="tx1"/>
                  </w14:solidFill>
                </w14:textFill>
              </w:rPr>
              <w:t>t/a；BOD</w:t>
            </w:r>
            <w:r>
              <w:rPr>
                <w:rFonts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0.0</w:t>
            </w:r>
            <w:r>
              <w:rPr>
                <w:rFonts w:hint="eastAsia" w:ascii="Times New Roman" w:hAnsi="Times New Roman" w:cs="Times New Roman"/>
                <w:color w:val="000000" w:themeColor="text1"/>
                <w:lang w:val="en-US"/>
                <w14:textFill>
                  <w14:solidFill>
                    <w14:schemeClr w14:val="tx1"/>
                  </w14:solidFill>
                </w14:textFill>
              </w:rPr>
              <w:t>665</w:t>
            </w:r>
            <w:r>
              <w:rPr>
                <w:rFonts w:ascii="Times New Roman" w:hAnsi="Times New Roman" w:cs="Times New Roman"/>
                <w:color w:val="000000" w:themeColor="text1"/>
                <w14:textFill>
                  <w14:solidFill>
                    <w14:schemeClr w14:val="tx1"/>
                  </w14:solidFill>
                </w14:textFill>
              </w:rPr>
              <w:t>t/a；氨氮：</w:t>
            </w:r>
            <w:r>
              <w:rPr>
                <w:rFonts w:ascii="Times New Roman" w:hAnsi="Times New Roman" w:cs="Times New Roman"/>
                <w:color w:val="000000" w:themeColor="text1"/>
                <w:lang w:val="en-US"/>
                <w14:textFill>
                  <w14:solidFill>
                    <w14:schemeClr w14:val="tx1"/>
                  </w14:solidFill>
                </w14:textFill>
              </w:rPr>
              <w:t>0.00</w:t>
            </w:r>
            <w:r>
              <w:rPr>
                <w:rFonts w:hint="eastAsia" w:ascii="Times New Roman" w:hAnsi="Times New Roman" w:cs="Times New Roman"/>
                <w:color w:val="000000" w:themeColor="text1"/>
                <w:lang w:val="en-US"/>
                <w14:textFill>
                  <w14:solidFill>
                    <w14:schemeClr w14:val="tx1"/>
                  </w14:solidFill>
                </w14:textFill>
              </w:rPr>
              <w:t>65</w:t>
            </w:r>
            <w:r>
              <w:rPr>
                <w:rFonts w:ascii="Times New Roman" w:hAnsi="Times New Roman" w:cs="Times New Roman"/>
                <w:color w:val="000000" w:themeColor="text1"/>
                <w14:textFill>
                  <w14:solidFill>
                    <w14:schemeClr w14:val="tx1"/>
                  </w14:solidFill>
                </w14:textFill>
              </w:rPr>
              <w:t>t/a；总磷：</w:t>
            </w:r>
            <w:r>
              <w:rPr>
                <w:rFonts w:ascii="Times New Roman" w:hAnsi="Times New Roman" w:cs="Times New Roman"/>
                <w:color w:val="000000" w:themeColor="text1"/>
                <w:lang w:val="en-US"/>
                <w14:textFill>
                  <w14:solidFill>
                    <w14:schemeClr w14:val="tx1"/>
                  </w14:solidFill>
                </w14:textFill>
              </w:rPr>
              <w:t>0.002</w:t>
            </w:r>
            <w:r>
              <w:rPr>
                <w:rFonts w:hint="eastAsia" w:ascii="Times New Roman" w:hAnsi="Times New Roman" w:cs="Times New Roman"/>
                <w:color w:val="000000" w:themeColor="text1"/>
                <w:lang w:val="en-US"/>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t/a；动植物油：</w:t>
            </w:r>
            <w:r>
              <w:rPr>
                <w:rFonts w:ascii="Times New Roman" w:hAnsi="Times New Roman" w:cs="Times New Roman"/>
                <w:color w:val="000000" w:themeColor="text1"/>
                <w:lang w:val="en-US"/>
                <w14:textFill>
                  <w14:solidFill>
                    <w14:schemeClr w14:val="tx1"/>
                  </w14:solidFill>
                </w14:textFill>
              </w:rPr>
              <w:t>0.0060</w:t>
            </w:r>
            <w:r>
              <w:rPr>
                <w:rFonts w:ascii="Times New Roman" w:hAnsi="Times New Roman" w:cs="Times New Roman"/>
                <w:color w:val="000000" w:themeColor="text1"/>
                <w14:textFill>
                  <w14:solidFill>
                    <w14:schemeClr w14:val="tx1"/>
                  </w14:solidFill>
                </w14:textFill>
              </w:rPr>
              <w:t>t/a；</w:t>
            </w:r>
            <w:r>
              <w:rPr>
                <w:rFonts w:ascii="Times New Roman" w:hAnsi="Times New Roman" w:cs="Times New Roman"/>
                <w:color w:val="000000" w:themeColor="text1"/>
                <w:lang w:val="en-US"/>
                <w14:textFill>
                  <w14:solidFill>
                    <w14:schemeClr w14:val="tx1"/>
                  </w14:solidFill>
                </w14:textFill>
              </w:rPr>
              <w:t>悬浮物：0.0</w:t>
            </w:r>
            <w:r>
              <w:rPr>
                <w:rFonts w:hint="eastAsia" w:ascii="Times New Roman" w:hAnsi="Times New Roman" w:cs="Times New Roman"/>
                <w:color w:val="000000" w:themeColor="text1"/>
                <w:lang w:val="en-US"/>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t/a。</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2、废气</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废气量：</w:t>
            </w:r>
            <w:r>
              <w:rPr>
                <w:rFonts w:ascii="Times New Roman" w:hAnsi="Times New Roman" w:cs="Times New Roman"/>
                <w:color w:val="000000"/>
                <w:lang w:val="en-US"/>
              </w:rPr>
              <w:t>30000</w:t>
            </w:r>
            <w:r>
              <w:rPr>
                <w:rFonts w:ascii="Times New Roman" w:hAnsi="Times New Roman" w:cs="Times New Roman"/>
                <w:color w:val="000000"/>
              </w:rPr>
              <w:t>万m</w:t>
            </w:r>
            <w:r>
              <w:rPr>
                <w:rFonts w:ascii="Times New Roman" w:hAnsi="Times New Roman" w:cs="Times New Roman"/>
                <w:color w:val="000000"/>
                <w:vertAlign w:val="superscript"/>
              </w:rPr>
              <w:t>3</w:t>
            </w:r>
            <w:r>
              <w:rPr>
                <w:rFonts w:ascii="Times New Roman" w:hAnsi="Times New Roman" w:cs="Times New Roman"/>
                <w:color w:val="000000"/>
              </w:rPr>
              <w:t>/a，有组织排放颗粒物</w:t>
            </w:r>
            <w:r>
              <w:rPr>
                <w:rFonts w:ascii="Times New Roman" w:hAnsi="Times New Roman" w:cs="Times New Roman"/>
                <w:color w:val="000000"/>
                <w:lang w:val="en-US"/>
              </w:rPr>
              <w:t>0.</w:t>
            </w:r>
            <w:r>
              <w:rPr>
                <w:rFonts w:hint="eastAsia" w:ascii="Times New Roman" w:hAnsi="Times New Roman" w:cs="Times New Roman"/>
                <w:color w:val="000000"/>
                <w:lang w:val="en-US"/>
              </w:rPr>
              <w:t>00017</w:t>
            </w:r>
            <w:r>
              <w:rPr>
                <w:rFonts w:ascii="Times New Roman" w:hAnsi="Times New Roman" w:cs="Times New Roman"/>
                <w:color w:val="000000"/>
              </w:rPr>
              <w:t>t/a，有组织非甲烷总烃</w:t>
            </w:r>
            <w:r>
              <w:rPr>
                <w:rFonts w:ascii="Times New Roman" w:hAnsi="Times New Roman" w:cs="Times New Roman"/>
                <w:color w:val="000000"/>
                <w:lang w:val="en-US"/>
              </w:rPr>
              <w:t>0.1944</w:t>
            </w:r>
            <w:r>
              <w:rPr>
                <w:rFonts w:ascii="Times New Roman" w:hAnsi="Times New Roman" w:cs="Times New Roman"/>
                <w:color w:val="000000"/>
              </w:rPr>
              <w:t>t/a；</w:t>
            </w:r>
            <w:r>
              <w:rPr>
                <w:rFonts w:ascii="Times New Roman" w:hAnsi="Times New Roman" w:cs="Times New Roman"/>
                <w:color w:val="000000"/>
                <w:lang w:val="en-US"/>
              </w:rPr>
              <w:t>无</w:t>
            </w:r>
            <w:r>
              <w:rPr>
                <w:rFonts w:ascii="Times New Roman" w:hAnsi="Times New Roman" w:cs="Times New Roman"/>
                <w:color w:val="000000"/>
              </w:rPr>
              <w:t>组织排放颗粒物</w:t>
            </w:r>
            <w:r>
              <w:rPr>
                <w:rFonts w:ascii="Times New Roman" w:hAnsi="Times New Roman" w:cs="Times New Roman"/>
                <w:color w:val="000000"/>
                <w:lang w:val="en-US"/>
              </w:rPr>
              <w:t>0.</w:t>
            </w:r>
            <w:r>
              <w:rPr>
                <w:rFonts w:hint="eastAsia" w:ascii="Times New Roman" w:hAnsi="Times New Roman" w:cs="Times New Roman"/>
                <w:color w:val="000000"/>
                <w:lang w:val="en-US"/>
              </w:rPr>
              <w:t>000</w:t>
            </w:r>
            <w:r>
              <w:rPr>
                <w:rFonts w:ascii="Times New Roman" w:hAnsi="Times New Roman" w:cs="Times New Roman"/>
                <w:color w:val="000000"/>
                <w:lang w:val="en-US"/>
              </w:rPr>
              <w:t>375</w:t>
            </w:r>
            <w:r>
              <w:rPr>
                <w:rFonts w:ascii="Times New Roman" w:hAnsi="Times New Roman" w:cs="Times New Roman"/>
                <w:color w:val="000000"/>
              </w:rPr>
              <w:t>t/a，</w:t>
            </w:r>
            <w:r>
              <w:rPr>
                <w:rFonts w:ascii="Times New Roman" w:hAnsi="Times New Roman" w:cs="Times New Roman"/>
                <w:color w:val="000000"/>
                <w:lang w:val="en-US"/>
              </w:rPr>
              <w:t>无</w:t>
            </w:r>
            <w:r>
              <w:rPr>
                <w:rFonts w:ascii="Times New Roman" w:hAnsi="Times New Roman" w:cs="Times New Roman"/>
                <w:color w:val="000000"/>
              </w:rPr>
              <w:t>组织非甲烷总烃</w:t>
            </w:r>
            <w:r>
              <w:rPr>
                <w:rFonts w:ascii="Times New Roman" w:hAnsi="Times New Roman" w:cs="Times New Roman"/>
                <w:color w:val="000000"/>
                <w:lang w:val="en-US"/>
              </w:rPr>
              <w:t>0.0675</w:t>
            </w:r>
            <w:r>
              <w:rPr>
                <w:rFonts w:ascii="Times New Roman" w:hAnsi="Times New Roman" w:cs="Times New Roman"/>
                <w:color w:val="000000"/>
              </w:rPr>
              <w:t>t/a；</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 4、固体废弃物</w:t>
            </w:r>
          </w:p>
          <w:p>
            <w:pPr>
              <w:pStyle w:val="25"/>
              <w:snapToGrid w:val="0"/>
              <w:spacing w:after="0"/>
              <w:ind w:left="480" w:firstLine="560"/>
              <w:rPr>
                <w:rFonts w:ascii="Times New Roman" w:hAnsi="Times New Roman" w:eastAsia="宋体" w:cs="Times New Roman"/>
              </w:rPr>
            </w:pPr>
            <w:r>
              <w:rPr>
                <w:rFonts w:ascii="Times New Roman" w:hAnsi="Times New Roman" w:eastAsia="宋体" w:cs="Times New Roman"/>
                <w:sz w:val="24"/>
              </w:rPr>
              <w:t>固体废物均得到合理处理，处置率100%。</w:t>
            </w:r>
          </w:p>
          <w:p>
            <w:pPr>
              <w:pStyle w:val="24"/>
              <w:snapToGrid w:val="0"/>
              <w:ind w:firstLine="240"/>
              <w:rPr>
                <w:rFonts w:ascii="Times New Roman" w:hAnsi="Times New Roman" w:cs="Times New Roman"/>
              </w:rPr>
            </w:pPr>
          </w:p>
          <w:p>
            <w:pPr>
              <w:snapToGrid w:val="0"/>
              <w:rPr>
                <w:rFonts w:ascii="Times New Roman" w:hAnsi="Times New Roman" w:cs="Times New Roman"/>
              </w:rPr>
            </w:pPr>
          </w:p>
          <w:p>
            <w:pPr>
              <w:pStyle w:val="25"/>
              <w:snapToGrid w:val="0"/>
              <w:spacing w:after="0"/>
              <w:ind w:left="480" w:firstLine="560"/>
              <w:rPr>
                <w:rFonts w:ascii="Times New Roman" w:hAnsi="Times New Roman" w:cs="Times New Roman"/>
              </w:rPr>
            </w:pPr>
          </w:p>
          <w:p>
            <w:pPr>
              <w:pStyle w:val="24"/>
              <w:snapToGrid w:val="0"/>
              <w:ind w:firstLine="240"/>
              <w:rPr>
                <w:rFonts w:ascii="Times New Roman" w:hAnsi="Times New Roman" w:cs="Times New Roman"/>
              </w:rPr>
            </w:pPr>
          </w:p>
          <w:p>
            <w:pPr>
              <w:pStyle w:val="25"/>
              <w:snapToGrid w:val="0"/>
              <w:spacing w:after="0"/>
              <w:ind w:left="0" w:leftChars="0" w:firstLine="0"/>
              <w:rPr>
                <w:rFonts w:ascii="Times New Roman" w:hAnsi="Times New Roman" w:cs="Times New Roman"/>
              </w:rPr>
            </w:pPr>
          </w:p>
        </w:tc>
      </w:tr>
    </w:tbl>
    <w:p>
      <w:pPr>
        <w:snapToGrid w:val="0"/>
        <w:spacing w:line="360" w:lineRule="auto"/>
        <w:ind w:firstLine="420" w:firstLineChars="200"/>
        <w:jc w:val="both"/>
        <w:rPr>
          <w:rFonts w:ascii="Times New Roman" w:hAnsi="Times New Roman" w:cs="Times New Roman"/>
          <w:sz w:val="21"/>
        </w:rPr>
        <w:sectPr>
          <w:footerReference r:id="rId8" w:type="default"/>
          <w:footerReference r:id="rId9" w:type="even"/>
          <w:pgSz w:w="11910" w:h="16850"/>
          <w:pgMar w:top="1440" w:right="1417" w:bottom="1440" w:left="1417" w:header="0" w:footer="817" w:gutter="0"/>
          <w:cols w:space="720" w:num="1"/>
        </w:sectPr>
      </w:pPr>
    </w:p>
    <w:p>
      <w:pPr>
        <w:pStyle w:val="14"/>
        <w:snapToGrid w:val="0"/>
        <w:jc w:val="center"/>
        <w:outlineLvl w:val="0"/>
        <w:rPr>
          <w:rFonts w:ascii="Times New Roman" w:hAnsi="Times New Roman" w:cs="Times New Roman"/>
          <w:sz w:val="21"/>
        </w:rPr>
      </w:pPr>
      <w:bookmarkStart w:id="8" w:name="_Toc3439"/>
      <w:r>
        <w:rPr>
          <w:rFonts w:ascii="Times New Roman" w:hAnsi="Times New Roman" w:cs="Times New Roman"/>
        </w:rPr>
        <w:t>四、主要环境影响和保护措施</w:t>
      </w:r>
      <w:bookmarkEnd w:id="8"/>
    </w:p>
    <w:tbl>
      <w:tblPr>
        <w:tblStyle w:val="26"/>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31"/>
        <w:gridCol w:w="8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9" w:hRule="atLeast"/>
          <w:jc w:val="center"/>
        </w:trPr>
        <w:tc>
          <w:tcPr>
            <w:tcW w:w="806" w:type="dxa"/>
            <w:tcBorders>
              <w:tl2br w:val="nil"/>
              <w:tr2bl w:val="nil"/>
            </w:tcBorders>
          </w:tcPr>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spacing w:line="242" w:lineRule="auto"/>
              <w:ind w:left="160" w:right="43"/>
              <w:jc w:val="both"/>
              <w:rPr>
                <w:rFonts w:ascii="Times New Roman" w:hAnsi="Times New Roman" w:cs="Times New Roman"/>
                <w:sz w:val="21"/>
              </w:rPr>
            </w:pPr>
            <w:r>
              <w:rPr>
                <w:rFonts w:ascii="Times New Roman" w:hAnsi="Times New Roman" w:cs="Times New Roman"/>
                <w:sz w:val="21"/>
              </w:rPr>
              <w:t xml:space="preserve">施工期环境保护措施 </w:t>
            </w:r>
          </w:p>
        </w:tc>
        <w:tc>
          <w:tcPr>
            <w:tcW w:w="8769" w:type="dxa"/>
            <w:tcBorders>
              <w:tl2br w:val="nil"/>
              <w:tr2bl w:val="nil"/>
            </w:tcBorders>
          </w:tcPr>
          <w:p>
            <w:pPr>
              <w:pStyle w:val="14"/>
              <w:autoSpaceDE/>
              <w:autoSpaceDN/>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w:t>
            </w:r>
            <w:r>
              <w:rPr>
                <w:rFonts w:ascii="Times New Roman" w:hAnsi="Times New Roman" w:eastAsia="宋体" w:cs="Times New Roman"/>
                <w:sz w:val="24"/>
                <w:szCs w:val="24"/>
                <w:lang w:val="en-US"/>
              </w:rPr>
              <w:t>购买位于</w:t>
            </w:r>
            <w:r>
              <w:rPr>
                <w:rFonts w:ascii="Times New Roman" w:hAnsi="Times New Roman" w:eastAsia="宋体" w:cs="Times New Roman"/>
                <w:sz w:val="24"/>
                <w:szCs w:val="24"/>
              </w:rPr>
              <w:t>云南省</w:t>
            </w:r>
            <w:r>
              <w:rPr>
                <w:rFonts w:ascii="Times New Roman" w:hAnsi="Times New Roman" w:eastAsia="宋体" w:cs="Times New Roman"/>
                <w:sz w:val="24"/>
                <w:szCs w:val="24"/>
                <w:lang w:val="en-US"/>
              </w:rPr>
              <w:t>昆明市晋宁区晋宁</w:t>
            </w:r>
            <w:r>
              <w:rPr>
                <w:rFonts w:ascii="Times New Roman" w:hAnsi="Times New Roman" w:eastAsia="宋体" w:cs="Times New Roman"/>
                <w:sz w:val="24"/>
                <w:szCs w:val="24"/>
              </w:rPr>
              <w:t>工业园区</w:t>
            </w:r>
            <w:r>
              <w:rPr>
                <w:rFonts w:ascii="Times New Roman" w:hAnsi="Times New Roman" w:eastAsia="宋体" w:cs="Times New Roman"/>
                <w:sz w:val="24"/>
                <w:szCs w:val="24"/>
                <w:lang w:val="en-US"/>
              </w:rPr>
              <w:t>晋城基地内</w:t>
            </w:r>
            <w:r>
              <w:rPr>
                <w:rFonts w:ascii="Times New Roman" w:hAnsi="Times New Roman" w:eastAsia="宋体" w:cs="Times New Roman"/>
                <w:sz w:val="24"/>
                <w:szCs w:val="24"/>
              </w:rPr>
              <w:t>俊腾达标准化厂房</w:t>
            </w:r>
            <w:r>
              <w:rPr>
                <w:rFonts w:ascii="Times New Roman" w:hAnsi="Times New Roman" w:eastAsia="宋体" w:cs="Times New Roman"/>
                <w:sz w:val="24"/>
                <w:szCs w:val="24"/>
                <w:lang w:val="en-US"/>
              </w:rPr>
              <w:t>C6栋已建设好的</w:t>
            </w:r>
            <w:r>
              <w:rPr>
                <w:rFonts w:ascii="Times New Roman" w:hAnsi="Times New Roman" w:eastAsia="宋体" w:cs="Times New Roman"/>
                <w:sz w:val="24"/>
                <w:szCs w:val="24"/>
              </w:rPr>
              <w:t>厂房、场地</w:t>
            </w:r>
            <w:r>
              <w:rPr>
                <w:rFonts w:ascii="Times New Roman" w:hAnsi="Times New Roman" w:eastAsia="宋体" w:cs="Times New Roman"/>
                <w:color w:val="000000"/>
                <w:sz w:val="24"/>
                <w:szCs w:val="24"/>
              </w:rPr>
              <w:t>及相关配套设施</w:t>
            </w:r>
            <w:r>
              <w:rPr>
                <w:rFonts w:ascii="Times New Roman" w:hAnsi="Times New Roman" w:eastAsia="宋体" w:cs="Times New Roman"/>
                <w:color w:val="000000"/>
                <w:sz w:val="24"/>
                <w:szCs w:val="24"/>
                <w:lang w:val="en-US"/>
              </w:rPr>
              <w:t>进行生产建设</w:t>
            </w:r>
            <w:r>
              <w:rPr>
                <w:rFonts w:ascii="Times New Roman" w:hAnsi="Times New Roman" w:eastAsia="宋体" w:cs="Times New Roman"/>
                <w:sz w:val="24"/>
                <w:szCs w:val="24"/>
              </w:rPr>
              <w:t>，本项目</w:t>
            </w:r>
            <w:r>
              <w:rPr>
                <w:rFonts w:hint="eastAsia" w:ascii="Times New Roman" w:hAnsi="Times New Roman" w:eastAsia="宋体" w:cs="Times New Roman"/>
                <w:sz w:val="24"/>
                <w:szCs w:val="24"/>
                <w:lang w:val="en-US"/>
              </w:rPr>
              <w:t>施工期施工内容主要为安装相应的生产设施及环保设备和建设环保设施。因此，施工期主要污染是施工期噪声、扬尘、施工废水等，其对环境的不利影响是短暂的，将随着施工期的结束而消失。</w:t>
            </w:r>
          </w:p>
          <w:p>
            <w:p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（一）废气</w:t>
            </w:r>
          </w:p>
          <w:p>
            <w:p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1、施工大气环境影响</w:t>
            </w:r>
          </w:p>
          <w:p>
            <w:p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（1）施工扬尘</w:t>
            </w:r>
          </w:p>
          <w:p>
            <w:pPr>
              <w:autoSpaceDE/>
              <w:autoSpaceDN/>
              <w:snapToGrid w:val="0"/>
              <w:spacing w:line="360" w:lineRule="auto"/>
              <w:ind w:firstLine="480"/>
              <w:rPr>
                <w:rFonts w:ascii="Times New Roman" w:hAnsi="Times New Roman" w:cs="Times New Roman"/>
                <w:color w:val="000000"/>
              </w:rPr>
            </w:pPr>
            <w:r>
              <w:rPr>
                <w:rFonts w:ascii="Times New Roman" w:hAnsi="Times New Roman" w:cs="Times New Roman"/>
                <w:color w:val="000000"/>
              </w:rPr>
              <w:t>项目在危废暂存间建设过程中会产生少量粉尘，产生量较少，主要污染物为TSP，不含有有毒有害的特殊污染物质，粉尘呈无组织排放，经过空气稀释、自然扩散后对周围环境影响较小。</w:t>
            </w:r>
          </w:p>
          <w:p>
            <w:p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（2）机械尾气</w:t>
            </w:r>
          </w:p>
          <w:p>
            <w:pPr>
              <w:autoSpaceDE/>
              <w:autoSpaceDN/>
              <w:snapToGrid w:val="0"/>
              <w:spacing w:line="360" w:lineRule="auto"/>
              <w:ind w:firstLine="480"/>
              <w:rPr>
                <w:rFonts w:ascii="Times New Roman" w:hAnsi="Times New Roman" w:cs="Times New Roman"/>
                <w:color w:val="000000"/>
              </w:rPr>
            </w:pPr>
            <w:r>
              <w:rPr>
                <w:rFonts w:ascii="Times New Roman" w:hAnsi="Times New Roman" w:cs="Times New Roman"/>
                <w:color w:val="000000"/>
              </w:rPr>
              <w:t>施工期机械尾气主要来源于运输车辆排放的废气，运输车辆燃油排放的废气中含有CO、NO、THC等污染物。项目施工期间，有运输材料车辆进入，会产生少量汽车尾气，该部分废气通过植被吸附、空气自然消散。</w:t>
            </w:r>
          </w:p>
          <w:p>
            <w:pPr>
              <w:autoSpaceDE/>
              <w:autoSpaceDN/>
              <w:snapToGrid w:val="0"/>
              <w:spacing w:line="360" w:lineRule="auto"/>
              <w:ind w:firstLine="482" w:firstLineChars="200"/>
              <w:rPr>
                <w:rFonts w:ascii="Times New Roman" w:hAnsi="Times New Roman" w:cs="Times New Roman"/>
                <w:b/>
                <w:bCs/>
                <w:color w:val="000000"/>
              </w:rPr>
            </w:pPr>
            <w:r>
              <w:rPr>
                <w:rFonts w:ascii="Times New Roman" w:hAnsi="Times New Roman" w:cs="Times New Roman"/>
                <w:b/>
                <w:bCs/>
                <w:color w:val="000000"/>
                <w:lang w:val="en-US"/>
              </w:rPr>
              <w:t>2、</w:t>
            </w:r>
            <w:r>
              <w:rPr>
                <w:rFonts w:ascii="Times New Roman" w:hAnsi="Times New Roman" w:cs="Times New Roman"/>
                <w:b/>
                <w:bCs/>
                <w:color w:val="000000"/>
              </w:rPr>
              <w:t>施工期大气污染防治措施</w:t>
            </w:r>
          </w:p>
          <w:p>
            <w:pPr>
              <w:autoSpaceDE/>
              <w:autoSpaceDN/>
              <w:snapToGrid w:val="0"/>
              <w:spacing w:line="360" w:lineRule="auto"/>
              <w:ind w:firstLine="480"/>
              <w:rPr>
                <w:rFonts w:ascii="Times New Roman" w:hAnsi="Times New Roman" w:cs="Times New Roman"/>
              </w:rPr>
            </w:pPr>
            <w:r>
              <w:rPr>
                <w:rFonts w:ascii="Times New Roman" w:hAnsi="Times New Roman" w:cs="Times New Roman"/>
              </w:rPr>
              <w:t>①危废暂存间在建设时产生粉尘，必要时应进行洒水降尘。</w:t>
            </w:r>
          </w:p>
          <w:p>
            <w:pPr>
              <w:autoSpaceDE/>
              <w:autoSpaceDN/>
              <w:snapToGrid w:val="0"/>
              <w:spacing w:line="360" w:lineRule="auto"/>
              <w:ind w:firstLine="480"/>
              <w:rPr>
                <w:rFonts w:ascii="Times New Roman" w:hAnsi="Times New Roman" w:cs="Times New Roman"/>
              </w:rPr>
            </w:pPr>
            <w:r>
              <w:rPr>
                <w:rFonts w:ascii="Times New Roman" w:hAnsi="Times New Roman" w:cs="Times New Roman"/>
              </w:rPr>
              <w:t>②运输车辆应限速慢行，并适量装车，以防运输过程中撒落引起二次扬尘。</w:t>
            </w:r>
          </w:p>
          <w:p>
            <w:pPr>
              <w:autoSpaceDE/>
              <w:autoSpaceDN/>
              <w:snapToGrid w:val="0"/>
              <w:spacing w:line="360" w:lineRule="auto"/>
              <w:ind w:firstLine="480"/>
              <w:rPr>
                <w:rFonts w:ascii="Times New Roman" w:hAnsi="Times New Roman" w:cs="Times New Roman"/>
              </w:rPr>
            </w:pPr>
            <w:r>
              <w:rPr>
                <w:rFonts w:ascii="Times New Roman" w:hAnsi="Times New Roman" w:cs="Times New Roman"/>
              </w:rPr>
              <w:t>③使用尾气达标排放的施工机械和运输车辆，不得使用劣质燃料。</w:t>
            </w:r>
          </w:p>
          <w:p>
            <w:p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（二）废水</w:t>
            </w:r>
          </w:p>
          <w:p>
            <w:pPr>
              <w:autoSpaceDE/>
              <w:autoSpaceDN/>
              <w:snapToGrid w:val="0"/>
              <w:spacing w:line="360" w:lineRule="auto"/>
              <w:ind w:firstLine="480"/>
              <w:rPr>
                <w:rFonts w:ascii="Times New Roman" w:hAnsi="Times New Roman" w:cs="Times New Roman"/>
                <w:b/>
                <w:bCs/>
                <w:color w:val="000000"/>
              </w:rPr>
            </w:pPr>
            <w:r>
              <w:rPr>
                <w:rFonts w:ascii="Times New Roman" w:hAnsi="Times New Roman" w:cs="Times New Roman"/>
                <w:b/>
                <w:bCs/>
                <w:color w:val="000000"/>
              </w:rPr>
              <w:t>1、施工期废水环境影响分析</w:t>
            </w:r>
          </w:p>
          <w:p>
            <w:pPr>
              <w:autoSpaceDE/>
              <w:autoSpaceDN/>
              <w:snapToGrid w:val="0"/>
              <w:spacing w:line="360" w:lineRule="auto"/>
              <w:ind w:firstLine="480"/>
              <w:rPr>
                <w:rFonts w:ascii="Times New Roman" w:hAnsi="Times New Roman" w:cs="Times New Roman"/>
                <w:color w:val="000000"/>
              </w:rPr>
            </w:pPr>
            <w:r>
              <w:rPr>
                <w:rFonts w:ascii="Times New Roman" w:hAnsi="Times New Roman" w:cs="Times New Roman"/>
                <w:color w:val="000000"/>
              </w:rPr>
              <w:t>项目施工期产生废水主要为施工过程产生的施工废水、施工人员生活污水。</w:t>
            </w:r>
          </w:p>
          <w:p>
            <w:pPr>
              <w:autoSpaceDE/>
              <w:autoSpaceDN/>
              <w:snapToGrid w:val="0"/>
              <w:spacing w:line="360" w:lineRule="auto"/>
              <w:ind w:firstLine="482"/>
              <w:rPr>
                <w:rFonts w:ascii="Times New Roman" w:hAnsi="Times New Roman" w:cs="Times New Roman"/>
                <w:b/>
                <w:bCs/>
                <w:color w:val="000000"/>
              </w:rPr>
            </w:pPr>
            <w:bookmarkStart w:id="9" w:name="_Toc5064"/>
            <w:r>
              <w:rPr>
                <w:rFonts w:ascii="Times New Roman" w:hAnsi="Times New Roman" w:cs="Times New Roman"/>
                <w:b/>
                <w:bCs/>
                <w:color w:val="000000"/>
              </w:rPr>
              <w:t>（1）施工废水</w:t>
            </w:r>
            <w:bookmarkEnd w:id="9"/>
          </w:p>
          <w:p>
            <w:pPr>
              <w:autoSpaceDE/>
              <w:autoSpaceDN/>
              <w:snapToGrid w:val="0"/>
              <w:spacing w:line="360" w:lineRule="auto"/>
              <w:ind w:firstLine="480"/>
              <w:rPr>
                <w:rFonts w:ascii="Times New Roman" w:hAnsi="Times New Roman" w:cs="Times New Roman"/>
                <w:color w:val="000000"/>
              </w:rPr>
            </w:pPr>
            <w:bookmarkStart w:id="10" w:name="_Toc19289"/>
            <w:r>
              <w:rPr>
                <w:rFonts w:ascii="Times New Roman" w:hAnsi="Times New Roman" w:cs="Times New Roman"/>
                <w:color w:val="000000"/>
              </w:rPr>
              <w:t>项目施工期的废水主要来源于设备、工具清洗废水，产生量较小，主要污染物为SS。</w:t>
            </w:r>
            <w:bookmarkEnd w:id="10"/>
          </w:p>
          <w:p>
            <w:pPr>
              <w:autoSpaceDE/>
              <w:autoSpaceDN/>
              <w:snapToGrid w:val="0"/>
              <w:spacing w:line="360" w:lineRule="auto"/>
              <w:ind w:firstLine="482"/>
              <w:rPr>
                <w:rFonts w:ascii="Times New Roman" w:hAnsi="Times New Roman" w:cs="Times New Roman"/>
                <w:b/>
                <w:bCs/>
                <w:color w:val="000000"/>
              </w:rPr>
            </w:pPr>
            <w:bookmarkStart w:id="11" w:name="_Toc11388"/>
            <w:r>
              <w:rPr>
                <w:rFonts w:ascii="Times New Roman" w:hAnsi="Times New Roman" w:cs="Times New Roman"/>
                <w:b/>
                <w:bCs/>
                <w:color w:val="000000"/>
              </w:rPr>
              <w:t>（2）施工人员生活污水</w:t>
            </w:r>
            <w:bookmarkEnd w:id="11"/>
          </w:p>
          <w:p>
            <w:pPr>
              <w:autoSpaceDE/>
              <w:autoSpaceDN/>
              <w:snapToGrid w:val="0"/>
              <w:spacing w:line="360" w:lineRule="auto"/>
              <w:ind w:firstLine="480"/>
              <w:rPr>
                <w:rFonts w:ascii="Times New Roman" w:hAnsi="Times New Roman" w:cs="Times New Roman"/>
                <w:color w:val="000000"/>
              </w:rPr>
            </w:pPr>
            <w:bookmarkStart w:id="12" w:name="_Toc3457"/>
            <w:r>
              <w:rPr>
                <w:rFonts w:ascii="Times New Roman" w:hAnsi="Times New Roman" w:cs="Times New Roman"/>
                <w:color w:val="000000"/>
              </w:rPr>
              <w:t>施工期施工人员不在厂内食宿，仅产生清洗废水，主要污染物为COD、SS、BOD</w:t>
            </w:r>
            <w:r>
              <w:rPr>
                <w:rFonts w:ascii="Times New Roman" w:hAnsi="Times New Roman" w:cs="Times New Roman"/>
                <w:color w:val="000000"/>
                <w:vertAlign w:val="subscript"/>
              </w:rPr>
              <w:t>5</w:t>
            </w:r>
            <w:r>
              <w:rPr>
                <w:rFonts w:ascii="Times New Roman" w:hAnsi="Times New Roman" w:cs="Times New Roman"/>
                <w:color w:val="000000"/>
              </w:rPr>
              <w:t>等。</w:t>
            </w:r>
            <w:bookmarkEnd w:id="12"/>
            <w:bookmarkStart w:id="13" w:name="_Toc18778"/>
          </w:p>
          <w:p>
            <w:pPr>
              <w:autoSpaceDE/>
              <w:autoSpaceDN/>
              <w:snapToGrid w:val="0"/>
              <w:spacing w:line="360" w:lineRule="auto"/>
              <w:ind w:firstLine="480"/>
              <w:rPr>
                <w:rFonts w:ascii="Times New Roman" w:hAnsi="Times New Roman" w:cs="Times New Roman"/>
                <w:b/>
                <w:bCs/>
                <w:color w:val="000000"/>
              </w:rPr>
            </w:pPr>
            <w:r>
              <w:rPr>
                <w:rFonts w:ascii="Times New Roman" w:hAnsi="Times New Roman" w:cs="Times New Roman"/>
                <w:b/>
                <w:bCs/>
                <w:color w:val="000000"/>
              </w:rPr>
              <w:t>2、施工期废水污染防治措施</w:t>
            </w:r>
          </w:p>
          <w:p>
            <w:pPr>
              <w:autoSpaceDE/>
              <w:autoSpaceDN/>
              <w:snapToGrid w:val="0"/>
              <w:spacing w:line="360" w:lineRule="auto"/>
              <w:ind w:firstLine="480"/>
              <w:rPr>
                <w:rFonts w:ascii="Times New Roman" w:hAnsi="Times New Roman" w:cs="Times New Roman"/>
                <w:color w:val="000000"/>
              </w:rPr>
            </w:pPr>
            <w:r>
              <w:rPr>
                <w:rFonts w:hint="eastAsia"/>
              </w:rPr>
              <w:t>施工废水经临时沉淀池沉淀后回用于施工现场洒水抑尘</w:t>
            </w:r>
            <w:r>
              <w:rPr>
                <w:rFonts w:ascii="Times New Roman" w:hAnsi="Times New Roman" w:cs="Times New Roman"/>
                <w:color w:val="000000"/>
              </w:rPr>
              <w:t>、施工人员生活污水排入</w:t>
            </w:r>
            <w:r>
              <w:rPr>
                <w:rFonts w:hint="eastAsia" w:ascii="Times New Roman" w:hAnsi="Times New Roman" w:cs="Times New Roman"/>
                <w:color w:val="000000"/>
                <w:lang w:val="en-US"/>
              </w:rPr>
              <w:t>依托</w:t>
            </w:r>
            <w:r>
              <w:t>云南俊腾达房地产开发有限公司</w:t>
            </w:r>
            <w:r>
              <w:rPr>
                <w:rFonts w:ascii="Times New Roman" w:hAnsi="Times New Roman" w:cs="Times New Roman"/>
                <w:color w:val="000000"/>
              </w:rPr>
              <w:t>已建设的化粪池处理，然后排入一体化污水处理设施处理，</w:t>
            </w:r>
            <w:bookmarkEnd w:id="13"/>
            <w:r>
              <w:rPr>
                <w:rFonts w:ascii="Times New Roman" w:hAnsi="Times New Roman" w:cs="Times New Roman"/>
                <w:color w:val="000000"/>
              </w:rPr>
              <w:t>处理后的水用于绿化、道路浇洒等。</w:t>
            </w:r>
          </w:p>
          <w:p>
            <w:pPr>
              <w:numPr>
                <w:ilvl w:val="0"/>
                <w:numId w:val="6"/>
              </w:num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噪声</w:t>
            </w:r>
          </w:p>
          <w:p>
            <w:pPr>
              <w:autoSpaceDE/>
              <w:autoSpaceDN/>
              <w:snapToGrid w:val="0"/>
              <w:spacing w:line="360" w:lineRule="auto"/>
              <w:ind w:firstLine="482"/>
              <w:rPr>
                <w:rFonts w:ascii="Times New Roman" w:hAnsi="Times New Roman" w:cs="Times New Roman"/>
                <w:b/>
                <w:bCs/>
              </w:rPr>
            </w:pPr>
            <w:r>
              <w:rPr>
                <w:rFonts w:ascii="Times New Roman" w:hAnsi="Times New Roman" w:cs="Times New Roman"/>
                <w:b/>
                <w:bCs/>
              </w:rPr>
              <w:t>1、施工期噪声环境影响分析</w:t>
            </w:r>
          </w:p>
          <w:p>
            <w:pPr>
              <w:autoSpaceDE/>
              <w:autoSpaceDN/>
              <w:snapToGrid w:val="0"/>
              <w:spacing w:line="360" w:lineRule="auto"/>
              <w:ind w:firstLine="480"/>
              <w:rPr>
                <w:rFonts w:ascii="Times New Roman" w:hAnsi="Times New Roman" w:cs="Times New Roman"/>
                <w:color w:val="000000"/>
              </w:rPr>
            </w:pPr>
            <w:r>
              <w:rPr>
                <w:rFonts w:ascii="Times New Roman" w:hAnsi="Times New Roman" w:cs="Times New Roman"/>
                <w:color w:val="000000"/>
              </w:rPr>
              <w:t>项目在进行环保设备安装、危废暂存间建设过程中会产生一定的噪声，噪声强度约为70~85dB（A）。项目施工期较短，均在室内进行作业，且夜间不施工，施工期产生的噪声对周围环境的影响持续时间较短，随着施工期结束，噪声也随之消失。</w:t>
            </w:r>
          </w:p>
          <w:p>
            <w:p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2、施工期噪声污染防治措施</w:t>
            </w:r>
          </w:p>
          <w:p>
            <w:pPr>
              <w:autoSpaceDE/>
              <w:autoSpaceDN/>
              <w:snapToGrid w:val="0"/>
              <w:spacing w:line="360" w:lineRule="auto"/>
              <w:ind w:firstLine="480"/>
              <w:rPr>
                <w:rFonts w:ascii="Times New Roman" w:hAnsi="Times New Roman" w:cs="Times New Roman"/>
              </w:rPr>
            </w:pPr>
            <w:r>
              <w:rPr>
                <w:rFonts w:ascii="Times New Roman" w:hAnsi="Times New Roman" w:cs="Times New Roman"/>
              </w:rPr>
              <w:t>①合理安排施工时间，禁止在夜间22:00~</w:t>
            </w:r>
            <w:r>
              <w:rPr>
                <w:rFonts w:ascii="Times New Roman" w:hAnsi="Times New Roman" w:cs="Times New Roman"/>
                <w:lang w:val="en-US"/>
              </w:rPr>
              <w:t>06</w:t>
            </w:r>
            <w:r>
              <w:rPr>
                <w:rFonts w:ascii="Times New Roman" w:hAnsi="Times New Roman" w:cs="Times New Roman"/>
              </w:rPr>
              <w:t>:00施工，减少施工噪声对环境的影响。</w:t>
            </w:r>
          </w:p>
          <w:p>
            <w:pPr>
              <w:autoSpaceDE/>
              <w:autoSpaceDN/>
              <w:snapToGrid w:val="0"/>
              <w:spacing w:line="360" w:lineRule="auto"/>
              <w:ind w:firstLine="480"/>
              <w:rPr>
                <w:rFonts w:ascii="Times New Roman" w:hAnsi="Times New Roman" w:cs="Times New Roman"/>
              </w:rPr>
            </w:pPr>
            <w:r>
              <w:rPr>
                <w:rFonts w:ascii="Times New Roman" w:hAnsi="Times New Roman" w:cs="Times New Roman"/>
              </w:rPr>
              <w:t>②优先采用先进工艺的低噪声设备；设备用完后或不用时应立即关闭。</w:t>
            </w:r>
          </w:p>
          <w:p>
            <w:p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（四）固体废弃物</w:t>
            </w:r>
          </w:p>
          <w:p>
            <w:p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1、建筑垃圾</w:t>
            </w:r>
          </w:p>
          <w:p>
            <w:pPr>
              <w:autoSpaceDE/>
              <w:autoSpaceDN/>
              <w:snapToGrid w:val="0"/>
              <w:spacing w:line="360" w:lineRule="auto"/>
              <w:ind w:firstLine="480"/>
              <w:rPr>
                <w:rFonts w:ascii="Times New Roman" w:hAnsi="Times New Roman" w:cs="Times New Roman"/>
                <w:color w:val="000000"/>
              </w:rPr>
            </w:pPr>
            <w:r>
              <w:rPr>
                <w:rFonts w:ascii="Times New Roman" w:hAnsi="Times New Roman" w:cs="Times New Roman"/>
                <w:color w:val="000000"/>
              </w:rPr>
              <w:t>施工期建筑垃圾主要是施工废弃材料。项目建设危废暂存间工程量较小，建筑垃圾集中收集后尽量回收利用，不能回收利用的建筑垃圾运至指定地点处置。</w:t>
            </w:r>
          </w:p>
          <w:p>
            <w:pPr>
              <w:autoSpaceDE/>
              <w:autoSpaceDN/>
              <w:snapToGrid w:val="0"/>
              <w:spacing w:line="360" w:lineRule="auto"/>
              <w:ind w:firstLine="482"/>
              <w:rPr>
                <w:rFonts w:ascii="Times New Roman" w:hAnsi="Times New Roman" w:cs="Times New Roman"/>
                <w:b/>
                <w:bCs/>
                <w:color w:val="000000"/>
              </w:rPr>
            </w:pPr>
            <w:r>
              <w:rPr>
                <w:rFonts w:ascii="Times New Roman" w:hAnsi="Times New Roman" w:cs="Times New Roman"/>
                <w:b/>
                <w:bCs/>
                <w:color w:val="000000"/>
              </w:rPr>
              <w:t>2、废包装材料</w:t>
            </w:r>
          </w:p>
          <w:p>
            <w:pPr>
              <w:autoSpaceDE/>
              <w:autoSpaceDN/>
              <w:snapToGrid w:val="0"/>
              <w:spacing w:line="360" w:lineRule="auto"/>
              <w:ind w:firstLine="480"/>
              <w:rPr>
                <w:rFonts w:ascii="Times New Roman" w:hAnsi="Times New Roman" w:cs="Times New Roman"/>
                <w:color w:val="000000"/>
              </w:rPr>
            </w:pPr>
            <w:bookmarkStart w:id="14" w:name="_Toc4002"/>
            <w:bookmarkStart w:id="15" w:name="_Toc13733"/>
            <w:bookmarkStart w:id="16" w:name="_Toc29830"/>
            <w:r>
              <w:rPr>
                <w:rFonts w:ascii="Times New Roman" w:hAnsi="Times New Roman" w:cs="Times New Roman"/>
                <w:color w:val="000000"/>
              </w:rPr>
              <w:t>设备废包装材料，设备安装产生的废包装由建设单位外售至废品回收站。</w:t>
            </w:r>
            <w:bookmarkEnd w:id="14"/>
            <w:bookmarkEnd w:id="15"/>
            <w:bookmarkEnd w:id="16"/>
          </w:p>
          <w:p>
            <w:pPr>
              <w:autoSpaceDE/>
              <w:autoSpaceDN/>
              <w:snapToGrid w:val="0"/>
              <w:spacing w:line="360" w:lineRule="auto"/>
              <w:ind w:firstLine="482"/>
              <w:rPr>
                <w:rFonts w:ascii="Times New Roman" w:hAnsi="Times New Roman" w:cs="Times New Roman"/>
                <w:b/>
                <w:bCs/>
                <w:color w:val="000000"/>
              </w:rPr>
            </w:pPr>
            <w:bookmarkStart w:id="17" w:name="_Toc7120"/>
            <w:bookmarkStart w:id="18" w:name="_Toc9354"/>
            <w:bookmarkStart w:id="19" w:name="_Toc20350"/>
            <w:r>
              <w:rPr>
                <w:rFonts w:ascii="Times New Roman" w:hAnsi="Times New Roman" w:cs="Times New Roman"/>
                <w:b/>
                <w:bCs/>
                <w:color w:val="000000"/>
              </w:rPr>
              <w:t>3、生活垃圾</w:t>
            </w:r>
            <w:bookmarkEnd w:id="17"/>
            <w:bookmarkEnd w:id="18"/>
            <w:bookmarkEnd w:id="19"/>
          </w:p>
          <w:p>
            <w:pPr>
              <w:pStyle w:val="4"/>
              <w:autoSpaceDE/>
              <w:autoSpaceDN/>
              <w:snapToGrid w:val="0"/>
              <w:spacing w:line="360" w:lineRule="auto"/>
              <w:ind w:left="0" w:firstLine="520" w:firstLineChars="200"/>
              <w:rPr>
                <w:rFonts w:ascii="Times New Roman" w:hAnsi="Times New Roman" w:cs="Times New Roman"/>
              </w:rPr>
            </w:pPr>
            <w:r>
              <w:rPr>
                <w:rFonts w:ascii="Times New Roman" w:hAnsi="Times New Roman" w:cs="Times New Roman"/>
                <w:color w:val="000000"/>
                <w:sz w:val="24"/>
              </w:rPr>
              <w:t>项目在施工时，产生的生活垃圾集中收集后委托环卫部门清运处置。</w:t>
            </w:r>
          </w:p>
          <w:p>
            <w:pPr>
              <w:pStyle w:val="46"/>
              <w:snapToGrid w:val="0"/>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6" w:hRule="atLeast"/>
          <w:jc w:val="center"/>
        </w:trPr>
        <w:tc>
          <w:tcPr>
            <w:tcW w:w="806" w:type="dxa"/>
            <w:tcBorders>
              <w:tl2br w:val="nil"/>
              <w:tr2bl w:val="nil"/>
            </w:tcBorders>
          </w:tcPr>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0"/>
              </w:rPr>
            </w:pPr>
          </w:p>
          <w:p>
            <w:pPr>
              <w:pStyle w:val="46"/>
              <w:snapToGrid w:val="0"/>
              <w:rPr>
                <w:rFonts w:ascii="Times New Roman" w:hAnsi="Times New Roman" w:cs="Times New Roman"/>
                <w:sz w:val="22"/>
              </w:rPr>
            </w:pPr>
          </w:p>
          <w:p>
            <w:pPr>
              <w:pStyle w:val="46"/>
              <w:snapToGrid w:val="0"/>
              <w:spacing w:line="242" w:lineRule="auto"/>
              <w:ind w:left="160" w:right="43"/>
              <w:jc w:val="both"/>
              <w:rPr>
                <w:rFonts w:ascii="Times New Roman" w:hAnsi="Times New Roman" w:cs="Times New Roman"/>
                <w:sz w:val="21"/>
              </w:rPr>
            </w:pPr>
            <w:r>
              <w:rPr>
                <w:rFonts w:ascii="Times New Roman" w:hAnsi="Times New Roman" w:cs="Times New Roman"/>
                <w:sz w:val="21"/>
              </w:rPr>
              <w:t xml:space="preserve">运营期环境影响和保护措施 </w:t>
            </w:r>
          </w:p>
        </w:tc>
        <w:tc>
          <w:tcPr>
            <w:tcW w:w="8769" w:type="dxa"/>
            <w:tcBorders>
              <w:tl2br w:val="nil"/>
              <w:tr2bl w:val="nil"/>
            </w:tcBorders>
          </w:tcPr>
          <w:p>
            <w:pPr>
              <w:pStyle w:val="46"/>
              <w:snapToGrid w:val="0"/>
              <w:ind w:left="591"/>
              <w:rPr>
                <w:rFonts w:ascii="Times New Roman" w:hAnsi="Times New Roman" w:cs="Times New Roman"/>
                <w:b/>
              </w:rPr>
            </w:pPr>
            <w:r>
              <w:rPr>
                <w:rFonts w:ascii="Times New Roman" w:hAnsi="Times New Roman" w:cs="Times New Roman"/>
                <w:b/>
              </w:rPr>
              <w:t>一、运营期废气环境影响及保护措施</w:t>
            </w:r>
          </w:p>
          <w:p>
            <w:pPr>
              <w:snapToGrid w:val="0"/>
              <w:spacing w:line="360" w:lineRule="auto"/>
              <w:ind w:firstLine="241" w:firstLineChars="100"/>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lang w:val="en-US"/>
              </w:rPr>
              <w:t>有组织</w:t>
            </w:r>
            <w:r>
              <w:rPr>
                <w:rFonts w:ascii="Times New Roman" w:hAnsi="Times New Roman" w:cs="Times New Roman"/>
                <w:b/>
                <w:bCs/>
              </w:rPr>
              <w:t>废气</w:t>
            </w:r>
          </w:p>
          <w:p>
            <w:pPr>
              <w:pStyle w:val="45"/>
              <w:tabs>
                <w:tab w:val="left" w:pos="1350"/>
              </w:tabs>
              <w:snapToGrid w:val="0"/>
              <w:spacing w:line="360" w:lineRule="auto"/>
              <w:ind w:firstLine="440" w:firstLineChars="200"/>
              <w:rPr>
                <w:rFonts w:ascii="Times New Roman" w:hAnsi="Times New Roman" w:cs="Times New Roman"/>
              </w:rPr>
            </w:pPr>
            <w:r>
              <w:rPr>
                <w:rFonts w:ascii="Times New Roman" w:hAnsi="Times New Roman" w:cs="Times New Roman"/>
                <w:spacing w:val="-10"/>
              </w:rPr>
              <w:t>营运期，项目废气主要为：</w:t>
            </w:r>
            <w:r>
              <w:rPr>
                <w:rFonts w:ascii="Times New Roman" w:hAnsi="Times New Roman" w:cs="Times New Roman"/>
                <w:spacing w:val="-10"/>
                <w:lang w:val="en-US"/>
              </w:rPr>
              <w:t>本项目排放的有组织废气主要为食品用塑料包装容器挤出废气、食品用塑料包装容器注塑废气、破碎粉尘</w:t>
            </w:r>
            <w:r>
              <w:rPr>
                <w:rFonts w:ascii="Times New Roman" w:hAnsi="Times New Roman" w:cs="Times New Roman"/>
                <w:position w:val="2"/>
              </w:rPr>
              <w:t>；具</w:t>
            </w:r>
            <w:r>
              <w:rPr>
                <w:rFonts w:ascii="Times New Roman" w:hAnsi="Times New Roman" w:cs="Times New Roman"/>
              </w:rPr>
              <w:t>体分析如下：</w:t>
            </w:r>
          </w:p>
          <w:p>
            <w:pPr>
              <w:pStyle w:val="45"/>
              <w:tabs>
                <w:tab w:val="left" w:pos="1350"/>
              </w:tabs>
              <w:snapToGrid w:val="0"/>
              <w:spacing w:line="360" w:lineRule="auto"/>
              <w:ind w:firstLine="480" w:firstLineChars="200"/>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en-US"/>
              </w:rPr>
              <w:t>1</w:t>
            </w:r>
            <w:r>
              <w:rPr>
                <w:rFonts w:ascii="Times New Roman" w:hAnsi="Times New Roman" w:cs="Times New Roman"/>
              </w:rPr>
              <w:t>）</w:t>
            </w:r>
            <w:r>
              <w:rPr>
                <w:rFonts w:ascii="Times New Roman" w:hAnsi="Times New Roman" w:cs="Times New Roman"/>
                <w:lang w:val="en-US"/>
              </w:rPr>
              <w:t>有组织废气</w:t>
            </w:r>
          </w:p>
          <w:p>
            <w:pPr>
              <w:pStyle w:val="45"/>
              <w:tabs>
                <w:tab w:val="left" w:pos="1350"/>
              </w:tabs>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①食</w:t>
            </w:r>
            <w:r>
              <w:rPr>
                <w:rFonts w:ascii="Times New Roman" w:hAnsi="Times New Roman" w:cs="Times New Roman"/>
                <w:spacing w:val="-10"/>
                <w:lang w:val="en-US"/>
              </w:rPr>
              <w:t>品用塑料包装容器挤出废气</w:t>
            </w:r>
          </w:p>
          <w:p>
            <w:pPr>
              <w:pStyle w:val="14"/>
              <w:autoSpaceDE/>
              <w:autoSpaceDN/>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lang w:val="en-US"/>
              </w:rPr>
              <w:t>食</w:t>
            </w:r>
            <w:r>
              <w:rPr>
                <w:rFonts w:ascii="Times New Roman" w:hAnsi="Times New Roman" w:eastAsia="宋体" w:cs="Times New Roman"/>
                <w:spacing w:val="-10"/>
                <w:sz w:val="24"/>
                <w:lang w:val="en-US"/>
              </w:rPr>
              <w:t>品用塑料包装容器</w:t>
            </w:r>
            <w:r>
              <w:rPr>
                <w:rFonts w:ascii="Times New Roman" w:hAnsi="Times New Roman" w:eastAsia="宋体" w:cs="Times New Roman"/>
                <w:sz w:val="24"/>
                <w:lang w:val="en-US"/>
              </w:rPr>
              <w:t>挤出工序会产生有机废气，项目生产过程中使用聚乙烯颗粒</w:t>
            </w:r>
            <w:r>
              <w:rPr>
                <w:rFonts w:ascii="Times New Roman" w:hAnsi="Times New Roman" w:eastAsia="宋体" w:cs="Times New Roman"/>
              </w:rPr>
              <w:t>，</w:t>
            </w:r>
            <w:r>
              <w:rPr>
                <w:rFonts w:ascii="Times New Roman" w:hAnsi="Times New Roman" w:eastAsia="宋体" w:cs="Times New Roman"/>
                <w:sz w:val="24"/>
                <w:szCs w:val="24"/>
              </w:rPr>
              <w:t>聚乙烯由于具有超长饱和直链烷烃，所以化学稳定性较高、耐热性能好。聚乙烯熔点约为130℃，分解温度&gt;335℃，本项目加热熔融温度控制</w:t>
            </w:r>
            <w:r>
              <w:rPr>
                <w:rFonts w:ascii="Times New Roman" w:hAnsi="Times New Roman" w:eastAsia="宋体" w:cs="Times New Roman"/>
                <w:sz w:val="24"/>
                <w:szCs w:val="24"/>
                <w:lang w:val="en-US"/>
              </w:rPr>
              <w:t>在200℃左右</w:t>
            </w:r>
            <w:r>
              <w:rPr>
                <w:rFonts w:ascii="Times New Roman" w:hAnsi="Times New Roman" w:eastAsia="宋体" w:cs="Times New Roman"/>
                <w:sz w:val="24"/>
                <w:szCs w:val="24"/>
              </w:rPr>
              <w:t>，未达到原材料</w:t>
            </w:r>
            <w:r>
              <w:rPr>
                <w:rFonts w:ascii="Times New Roman" w:hAnsi="Times New Roman" w:eastAsia="宋体" w:cs="Times New Roman"/>
                <w:sz w:val="24"/>
                <w:lang w:val="en-US"/>
              </w:rPr>
              <w:t>的</w:t>
            </w:r>
            <w:r>
              <w:rPr>
                <w:rFonts w:ascii="Times New Roman" w:hAnsi="Times New Roman" w:eastAsia="宋体" w:cs="Times New Roman"/>
                <w:sz w:val="24"/>
                <w:szCs w:val="24"/>
              </w:rPr>
              <w:t>分解温度，所以，原材料在生产过程中不发生分解，无分解废气产生。但</w:t>
            </w:r>
            <w:r>
              <w:rPr>
                <w:rFonts w:ascii="Times New Roman" w:hAnsi="Times New Roman" w:eastAsia="宋体" w:cs="Times New Roman"/>
                <w:sz w:val="24"/>
                <w:lang w:val="en-US"/>
              </w:rPr>
              <w:t>聚乙烯颗粒</w:t>
            </w:r>
            <w:r>
              <w:rPr>
                <w:rFonts w:ascii="Times New Roman" w:hAnsi="Times New Roman" w:eastAsia="宋体" w:cs="Times New Roman"/>
                <w:sz w:val="24"/>
                <w:szCs w:val="24"/>
              </w:rPr>
              <w:t>原料在受热情况下，塑料中残存未聚合的反应单体挥发至空气中，从而形成有机废气。</w:t>
            </w:r>
          </w:p>
          <w:p>
            <w:pPr>
              <w:pStyle w:val="14"/>
              <w:autoSpaceDE/>
              <w:autoSpaceDN/>
              <w:snapToGrid w:val="0"/>
              <w:spacing w:line="360" w:lineRule="auto"/>
              <w:ind w:firstLine="460" w:firstLineChars="200"/>
              <w:rPr>
                <w:rFonts w:ascii="Times New Roman" w:hAnsi="Times New Roman" w:eastAsia="宋体" w:cs="Times New Roman"/>
                <w:spacing w:val="-5"/>
                <w:sz w:val="24"/>
                <w:lang w:val="en-US"/>
              </w:rPr>
            </w:pPr>
            <w:r>
              <w:rPr>
                <w:rFonts w:ascii="Times New Roman" w:hAnsi="Times New Roman" w:eastAsia="宋体" w:cs="Times New Roman"/>
                <w:spacing w:val="-5"/>
                <w:sz w:val="24"/>
                <w:lang w:val="en-US"/>
              </w:rPr>
              <w:t>产生量参照《排放源统计调查产排污核算方法和系数手册》其中的《292塑料制品行业系数手册》中的塑料包装箱及容器</w:t>
            </w:r>
            <w:r>
              <w:rPr>
                <w:rFonts w:ascii="Times New Roman" w:hAnsi="Times New Roman" w:eastAsia="宋体" w:cs="Times New Roman"/>
                <w:sz w:val="24"/>
                <w:lang w:val="en-US"/>
              </w:rPr>
              <w:t>VOCs</w:t>
            </w:r>
            <w:r>
              <w:rPr>
                <w:rFonts w:ascii="Times New Roman" w:hAnsi="Times New Roman" w:eastAsia="宋体" w:cs="Times New Roman"/>
                <w:spacing w:val="-5"/>
                <w:sz w:val="24"/>
                <w:lang w:val="en-US"/>
              </w:rPr>
              <w:t>产污系数为2.7，单位为千克/原料，本项目聚乙烯颗粒用量为230t/a，</w:t>
            </w:r>
            <w:r>
              <w:rPr>
                <w:rFonts w:ascii="Times New Roman" w:hAnsi="Times New Roman" w:eastAsia="宋体" w:cs="Times New Roman"/>
                <w:sz w:val="24"/>
                <w:lang w:val="en-US"/>
              </w:rPr>
              <w:t>则产生的VOCs（以非甲烷总烃计）为0.621</w:t>
            </w:r>
            <w:r>
              <w:rPr>
                <w:rFonts w:ascii="Times New Roman" w:hAnsi="Times New Roman" w:eastAsia="宋体" w:cs="Times New Roman"/>
                <w:spacing w:val="-5"/>
                <w:sz w:val="24"/>
                <w:lang w:val="en-US"/>
              </w:rPr>
              <w:t>t/a。</w:t>
            </w:r>
          </w:p>
          <w:p>
            <w:pPr>
              <w:autoSpaceDE/>
              <w:autoSpaceDN/>
              <w:spacing w:line="360" w:lineRule="auto"/>
              <w:ind w:firstLine="480" w:firstLineChars="200"/>
              <w:rPr>
                <w:rFonts w:ascii="Times New Roman" w:hAnsi="Times New Roman" w:cs="Times New Roman"/>
                <w:lang w:val="en-US"/>
              </w:rPr>
            </w:pPr>
            <w:r>
              <w:rPr>
                <w:rFonts w:ascii="Times New Roman" w:hAnsi="Times New Roman" w:cs="Times New Roman"/>
                <w:lang w:val="en-US"/>
              </w:rPr>
              <w:t>①项目在7台挤出机上方分别设置集气罩。</w:t>
            </w:r>
          </w:p>
          <w:p>
            <w:pPr>
              <w:pStyle w:val="45"/>
              <w:tabs>
                <w:tab w:val="left" w:pos="1350"/>
              </w:tabs>
              <w:snapToGrid w:val="0"/>
              <w:spacing w:line="360" w:lineRule="auto"/>
              <w:ind w:firstLine="480" w:firstLineChars="200"/>
              <w:rPr>
                <w:rFonts w:ascii="Times New Roman" w:hAnsi="Times New Roman" w:cs="Times New Roman"/>
                <w:spacing w:val="-5"/>
                <w:lang w:val="en-US"/>
              </w:rPr>
            </w:pPr>
            <w:r>
              <w:rPr>
                <w:rFonts w:ascii="Times New Roman" w:hAnsi="Times New Roman" w:cs="Times New Roman"/>
                <w:lang w:val="en-US"/>
              </w:rPr>
              <w:t>挤出机的集气罩通过管道与一套</w:t>
            </w:r>
            <w:r>
              <w:rPr>
                <w:rFonts w:hint="eastAsia" w:ascii="Times New Roman" w:hAnsi="Times New Roman" w:cs="Times New Roman"/>
                <w:lang w:val="en-US"/>
              </w:rPr>
              <w:t>UV光氧催化设备</w:t>
            </w:r>
            <w:r>
              <w:rPr>
                <w:rFonts w:ascii="Times New Roman" w:hAnsi="Times New Roman" w:cs="Times New Roman"/>
                <w:lang w:val="en-US"/>
              </w:rPr>
              <w:t>+活性炭吸附设备连接，非甲烷总烃经过</w:t>
            </w:r>
            <w:r>
              <w:rPr>
                <w:rFonts w:hint="eastAsia" w:ascii="Times New Roman" w:hAnsi="Times New Roman" w:cs="Times New Roman"/>
                <w:lang w:val="en-US"/>
              </w:rPr>
              <w:t>UV光氧催化设备</w:t>
            </w:r>
            <w:r>
              <w:rPr>
                <w:rFonts w:ascii="Times New Roman" w:hAnsi="Times New Roman" w:cs="Times New Roman"/>
                <w:lang w:val="en-US"/>
              </w:rPr>
              <w:t>+活性炭吸附设备处理后由30m的排气筒（1#）排放。集气罩集气率分别为90%，</w:t>
            </w:r>
            <w:r>
              <w:rPr>
                <w:rFonts w:ascii="Times New Roman" w:hAnsi="Times New Roman" w:cs="Times New Roman"/>
                <w:spacing w:val="-5"/>
                <w:lang w:val="en-US"/>
              </w:rPr>
              <w:t>本项目拟在</w:t>
            </w:r>
            <w:r>
              <w:rPr>
                <w:rFonts w:ascii="Times New Roman" w:hAnsi="Times New Roman" w:cs="Times New Roman"/>
                <w:lang w:val="en-US"/>
              </w:rPr>
              <w:t>食</w:t>
            </w:r>
            <w:r>
              <w:rPr>
                <w:rFonts w:ascii="Times New Roman" w:hAnsi="Times New Roman" w:cs="Times New Roman"/>
                <w:spacing w:val="-10"/>
                <w:lang w:val="en-US"/>
              </w:rPr>
              <w:t>品用塑料包装容器</w:t>
            </w:r>
            <w:r>
              <w:rPr>
                <w:rFonts w:ascii="Times New Roman" w:hAnsi="Times New Roman" w:cs="Times New Roman"/>
                <w:lang w:val="en-US"/>
              </w:rPr>
              <w:t>挤出</w:t>
            </w:r>
            <w:r>
              <w:rPr>
                <w:rFonts w:ascii="Times New Roman" w:hAnsi="Times New Roman" w:cs="Times New Roman"/>
                <w:spacing w:val="-5"/>
                <w:lang w:val="en-US"/>
              </w:rPr>
              <w:t>区上方安装集气罩(总风量10000m</w:t>
            </w:r>
            <w:r>
              <w:rPr>
                <w:rFonts w:ascii="Times New Roman" w:hAnsi="Times New Roman" w:cs="Times New Roman"/>
                <w:spacing w:val="-5"/>
                <w:vertAlign w:val="superscript"/>
                <w:lang w:val="en-US"/>
              </w:rPr>
              <w:t>3</w:t>
            </w:r>
            <w:r>
              <w:rPr>
                <w:rFonts w:ascii="Times New Roman" w:hAnsi="Times New Roman" w:cs="Times New Roman"/>
                <w:spacing w:val="-5"/>
                <w:lang w:val="en-US"/>
              </w:rPr>
              <w:t>/h)+UV光氧</w:t>
            </w:r>
            <w:r>
              <w:rPr>
                <w:rFonts w:hint="eastAsia" w:ascii="Times New Roman" w:hAnsi="Times New Roman" w:cs="Times New Roman"/>
                <w:spacing w:val="-5"/>
                <w:lang w:val="en-US" w:eastAsia="zh-CN"/>
              </w:rPr>
              <w:t>催化</w:t>
            </w:r>
            <w:r>
              <w:rPr>
                <w:rFonts w:ascii="Times New Roman" w:hAnsi="Times New Roman" w:cs="Times New Roman"/>
                <w:spacing w:val="-5"/>
                <w:lang w:val="en-US"/>
              </w:rPr>
              <w:t>+活性炭吸附装置，参考《广东省印刷行业挥发性有机化合物废气治理技术指南》，</w:t>
            </w:r>
            <w:r>
              <w:rPr>
                <w:rFonts w:hint="eastAsia" w:ascii="Times New Roman" w:hAnsi="Times New Roman" w:cs="Times New Roman"/>
                <w:spacing w:val="-5"/>
                <w:lang w:val="en-US"/>
              </w:rPr>
              <w:t>UV光氧催化设备</w:t>
            </w:r>
            <w:r>
              <w:rPr>
                <w:rFonts w:ascii="Times New Roman" w:hAnsi="Times New Roman" w:cs="Times New Roman"/>
                <w:spacing w:val="-5"/>
                <w:lang w:val="en-US"/>
              </w:rPr>
              <w:t>净化效率为30~50%，活性炭吸附处理设备净化效率为30~50%，本项目</w:t>
            </w:r>
            <w:r>
              <w:rPr>
                <w:rFonts w:hint="eastAsia" w:ascii="Times New Roman" w:hAnsi="Times New Roman" w:cs="Times New Roman"/>
                <w:spacing w:val="-5"/>
                <w:lang w:val="en-US"/>
              </w:rPr>
              <w:t>UV光氧催化设备</w:t>
            </w:r>
            <w:r>
              <w:rPr>
                <w:rFonts w:ascii="Times New Roman" w:hAnsi="Times New Roman" w:cs="Times New Roman"/>
                <w:spacing w:val="-5"/>
                <w:lang w:val="en-US"/>
              </w:rPr>
              <w:t>净化效率取40%，活性炭吸附处理设备净化效率取40%，收集的非甲烷总烃经过“UV光氧</w:t>
            </w:r>
            <w:r>
              <w:rPr>
                <w:rFonts w:hint="eastAsia" w:ascii="Times New Roman" w:hAnsi="Times New Roman" w:cs="Times New Roman"/>
                <w:spacing w:val="-5"/>
                <w:lang w:val="en-US" w:eastAsia="zh-CN"/>
              </w:rPr>
              <w:t>催化</w:t>
            </w:r>
            <w:r>
              <w:rPr>
                <w:rFonts w:ascii="Times New Roman" w:hAnsi="Times New Roman" w:cs="Times New Roman"/>
                <w:spacing w:val="-5"/>
                <w:lang w:val="en-US"/>
              </w:rPr>
              <w:t>+活性炭吸附装置”设施进行处理，UV光氧</w:t>
            </w:r>
            <w:r>
              <w:rPr>
                <w:rFonts w:hint="eastAsia" w:ascii="Times New Roman" w:hAnsi="Times New Roman" w:cs="Times New Roman"/>
                <w:spacing w:val="-5"/>
                <w:lang w:val="en-US" w:eastAsia="zh-CN"/>
              </w:rPr>
              <w:t>催化</w:t>
            </w:r>
            <w:r>
              <w:rPr>
                <w:rFonts w:ascii="Times New Roman" w:hAnsi="Times New Roman" w:cs="Times New Roman"/>
                <w:spacing w:val="-5"/>
                <w:lang w:val="en-US"/>
              </w:rPr>
              <w:t>+活性炭吸附装置除尘效率为68%，则有组织非甲烷总烃产生量为0.5589t/a，项目挤出机工作时间为24h/d，年工作天数为210天，引风机风量为10000m</w:t>
            </w:r>
            <w:r>
              <w:rPr>
                <w:rFonts w:ascii="Times New Roman" w:hAnsi="Times New Roman" w:cs="Times New Roman"/>
                <w:spacing w:val="-5"/>
                <w:vertAlign w:val="superscript"/>
                <w:lang w:val="en-US"/>
              </w:rPr>
              <w:t>3</w:t>
            </w:r>
            <w:r>
              <w:rPr>
                <w:rFonts w:ascii="Times New Roman" w:hAnsi="Times New Roman" w:cs="Times New Roman"/>
                <w:spacing w:val="-5"/>
                <w:lang w:val="en-US"/>
              </w:rPr>
              <w:t>/h，则有组织非甲烷总烃产生速率为0.11kg/h，产生浓度为11mg/m</w:t>
            </w:r>
            <w:r>
              <w:rPr>
                <w:rFonts w:ascii="Times New Roman" w:hAnsi="Times New Roman" w:cs="Times New Roman"/>
                <w:spacing w:val="-5"/>
                <w:vertAlign w:val="superscript"/>
                <w:lang w:val="en-US"/>
              </w:rPr>
              <w:t>3</w:t>
            </w:r>
            <w:r>
              <w:rPr>
                <w:rFonts w:ascii="Times New Roman" w:hAnsi="Times New Roman" w:cs="Times New Roman"/>
                <w:spacing w:val="-5"/>
                <w:lang w:val="en-US"/>
              </w:rPr>
              <w:t>，则有组织排放量为0.178848t/a，排放速率为0.035kg/h，排放浓度为3.5mg/m</w:t>
            </w:r>
            <w:r>
              <w:rPr>
                <w:rFonts w:ascii="Times New Roman" w:hAnsi="Times New Roman" w:cs="Times New Roman"/>
                <w:spacing w:val="-5"/>
                <w:vertAlign w:val="superscript"/>
                <w:lang w:val="en-US"/>
              </w:rPr>
              <w:t>3</w:t>
            </w:r>
            <w:r>
              <w:rPr>
                <w:rFonts w:ascii="Times New Roman" w:hAnsi="Times New Roman" w:cs="Times New Roman"/>
                <w:spacing w:val="-5"/>
                <w:lang w:val="en-US"/>
              </w:rPr>
              <w:t>。无组织非甲烷总烃排放量为0.0621t/a，排放速率为0.012kg/h。</w:t>
            </w:r>
          </w:p>
          <w:p>
            <w:pPr>
              <w:pStyle w:val="45"/>
              <w:tabs>
                <w:tab w:val="left" w:pos="1350"/>
              </w:tabs>
              <w:snapToGrid w:val="0"/>
              <w:spacing w:line="360" w:lineRule="auto"/>
              <w:ind w:firstLine="460"/>
              <w:rPr>
                <w:rFonts w:ascii="Times New Roman" w:hAnsi="Times New Roman" w:cs="Times New Roman"/>
                <w:color w:val="000000"/>
                <w:spacing w:val="-5"/>
                <w:lang w:val="en-US"/>
              </w:rPr>
            </w:pPr>
            <w:r>
              <w:rPr>
                <w:rFonts w:ascii="Times New Roman" w:hAnsi="Times New Roman" w:cs="Times New Roman"/>
                <w:color w:val="000000"/>
                <w:spacing w:val="-5"/>
                <w:lang w:val="en-US"/>
              </w:rPr>
              <w:t>项目</w:t>
            </w:r>
            <w:r>
              <w:rPr>
                <w:rFonts w:ascii="Times New Roman" w:hAnsi="Times New Roman" w:cs="Times New Roman"/>
                <w:lang w:val="en-US"/>
              </w:rPr>
              <w:t>食</w:t>
            </w:r>
            <w:r>
              <w:rPr>
                <w:rFonts w:ascii="Times New Roman" w:hAnsi="Times New Roman" w:cs="Times New Roman"/>
                <w:spacing w:val="-10"/>
                <w:lang w:val="en-US"/>
              </w:rPr>
              <w:t>品用塑料包装容器</w:t>
            </w:r>
            <w:r>
              <w:rPr>
                <w:rFonts w:ascii="Times New Roman" w:hAnsi="Times New Roman" w:cs="Times New Roman"/>
                <w:lang w:val="en-US"/>
              </w:rPr>
              <w:t>挤出</w:t>
            </w:r>
            <w:r>
              <w:rPr>
                <w:rFonts w:ascii="Times New Roman" w:hAnsi="Times New Roman" w:cs="Times New Roman"/>
                <w:color w:val="000000"/>
                <w:spacing w:val="-5"/>
                <w:lang w:val="en-US"/>
              </w:rPr>
              <w:t>生产线挤出废气产生及排放情况见表4-1。</w:t>
            </w:r>
          </w:p>
          <w:p>
            <w:pPr>
              <w:pStyle w:val="17"/>
              <w:snapToGrid w:val="0"/>
              <w:ind w:firstLine="0" w:firstLineChars="0"/>
              <w:rPr>
                <w:rFonts w:ascii="Times New Roman" w:hAnsi="Times New Roman" w:cs="Times New Roman"/>
                <w:color w:val="000000"/>
                <w:szCs w:val="21"/>
              </w:rPr>
            </w:pPr>
            <w:r>
              <w:rPr>
                <w:rFonts w:ascii="Times New Roman" w:hAnsi="Times New Roman" w:cs="Times New Roman"/>
                <w:b/>
                <w:color w:val="000000"/>
                <w:szCs w:val="21"/>
              </w:rPr>
              <w:t>表</w:t>
            </w:r>
            <w:r>
              <w:rPr>
                <w:rFonts w:ascii="Times New Roman" w:hAnsi="Times New Roman" w:cs="Times New Roman"/>
                <w:b/>
                <w:color w:val="000000"/>
                <w:spacing w:val="-62"/>
                <w:szCs w:val="21"/>
              </w:rPr>
              <w:t>4</w:t>
            </w:r>
            <w:r>
              <w:rPr>
                <w:rFonts w:ascii="Times New Roman" w:hAnsi="Times New Roman" w:cs="Times New Roman"/>
                <w:b/>
                <w:color w:val="000000"/>
                <w:szCs w:val="21"/>
              </w:rPr>
              <w:t>--</w:t>
            </w:r>
            <w:r>
              <w:rPr>
                <w:rFonts w:ascii="Times New Roman" w:hAnsi="Times New Roman" w:cs="Times New Roman"/>
                <w:b/>
                <w:color w:val="000000"/>
                <w:szCs w:val="21"/>
                <w:lang w:val="en-US"/>
              </w:rPr>
              <w:t>1</w:t>
            </w:r>
            <w:r>
              <w:rPr>
                <w:rFonts w:ascii="Times New Roman" w:hAnsi="Times New Roman" w:cs="Times New Roman"/>
                <w:b/>
                <w:color w:val="000000"/>
                <w:szCs w:val="21"/>
              </w:rPr>
              <w:tab/>
            </w:r>
            <w:r>
              <w:rPr>
                <w:rFonts w:ascii="Times New Roman" w:hAnsi="Times New Roman" w:cs="Times New Roman"/>
                <w:b/>
                <w:color w:val="000000"/>
                <w:szCs w:val="21"/>
              </w:rPr>
              <w:t>项目</w:t>
            </w:r>
            <w:r>
              <w:rPr>
                <w:rFonts w:ascii="Times New Roman" w:hAnsi="Times New Roman" w:cs="Times New Roman"/>
                <w:b/>
                <w:szCs w:val="21"/>
                <w:lang w:val="en-US"/>
              </w:rPr>
              <w:t>食</w:t>
            </w:r>
            <w:r>
              <w:rPr>
                <w:rFonts w:ascii="Times New Roman" w:hAnsi="Times New Roman" w:cs="Times New Roman"/>
                <w:b/>
                <w:spacing w:val="-10"/>
                <w:szCs w:val="21"/>
                <w:lang w:val="en-US"/>
              </w:rPr>
              <w:t>品用塑料包装容器</w:t>
            </w:r>
            <w:r>
              <w:rPr>
                <w:rFonts w:ascii="Times New Roman" w:hAnsi="Times New Roman" w:cs="Times New Roman"/>
                <w:b/>
                <w:szCs w:val="21"/>
                <w:lang w:val="en-US"/>
              </w:rPr>
              <w:t>挤出生产线</w:t>
            </w:r>
            <w:r>
              <w:rPr>
                <w:rFonts w:ascii="Times New Roman" w:hAnsi="Times New Roman" w:cs="Times New Roman"/>
                <w:b/>
                <w:color w:val="000000"/>
                <w:szCs w:val="21"/>
              </w:rPr>
              <w:t>挤压工序非甲烷总烃产生及排放情况表</w:t>
            </w:r>
          </w:p>
          <w:tbl>
            <w:tblPr>
              <w:tblStyle w:val="26"/>
              <w:tblW w:w="4998" w:type="pct"/>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8"/>
              <w:gridCol w:w="830"/>
              <w:gridCol w:w="1053"/>
              <w:gridCol w:w="805"/>
              <w:gridCol w:w="1053"/>
              <w:gridCol w:w="1690"/>
              <w:gridCol w:w="473"/>
              <w:gridCol w:w="655"/>
              <w:gridCol w:w="394"/>
              <w:gridCol w:w="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vMerge w:val="restart"/>
                  <w:vAlign w:val="center"/>
                </w:tcPr>
                <w:p>
                  <w:pPr>
                    <w:pStyle w:val="47"/>
                    <w:rPr>
                      <w:b w:val="0"/>
                      <w:color w:val="auto"/>
                    </w:rPr>
                  </w:pPr>
                  <w:r>
                    <w:rPr>
                      <w:b w:val="0"/>
                      <w:color w:val="auto"/>
                    </w:rPr>
                    <w:t>污染源</w:t>
                  </w:r>
                </w:p>
              </w:tc>
              <w:tc>
                <w:tcPr>
                  <w:tcW w:w="502" w:type="pct"/>
                  <w:vMerge w:val="restart"/>
                  <w:vAlign w:val="center"/>
                </w:tcPr>
                <w:p>
                  <w:pPr>
                    <w:pStyle w:val="47"/>
                    <w:rPr>
                      <w:b w:val="0"/>
                      <w:color w:val="auto"/>
                    </w:rPr>
                  </w:pPr>
                  <w:r>
                    <w:rPr>
                      <w:b w:val="0"/>
                      <w:color w:val="auto"/>
                    </w:rPr>
                    <w:t>产生量</w:t>
                  </w:r>
                </w:p>
                <w:p>
                  <w:pPr>
                    <w:pStyle w:val="47"/>
                    <w:rPr>
                      <w:b w:val="0"/>
                      <w:color w:val="auto"/>
                    </w:rPr>
                  </w:pPr>
                  <w:r>
                    <w:rPr>
                      <w:b w:val="0"/>
                      <w:color w:val="auto"/>
                    </w:rPr>
                    <w:t>（t/a）</w:t>
                  </w:r>
                </w:p>
              </w:tc>
              <w:tc>
                <w:tcPr>
                  <w:tcW w:w="637" w:type="pct"/>
                  <w:vMerge w:val="restart"/>
                  <w:vAlign w:val="center"/>
                </w:tcPr>
                <w:p>
                  <w:pPr>
                    <w:pStyle w:val="47"/>
                    <w:rPr>
                      <w:b w:val="0"/>
                      <w:color w:val="auto"/>
                    </w:rPr>
                  </w:pPr>
                  <w:r>
                    <w:rPr>
                      <w:b w:val="0"/>
                      <w:color w:val="auto"/>
                    </w:rPr>
                    <w:t>产生浓度（mg/m</w:t>
                  </w:r>
                  <w:r>
                    <w:rPr>
                      <w:b w:val="0"/>
                      <w:color w:val="auto"/>
                      <w:vertAlign w:val="superscript"/>
                    </w:rPr>
                    <w:t>3</w:t>
                  </w:r>
                  <w:r>
                    <w:rPr>
                      <w:b w:val="0"/>
                      <w:color w:val="auto"/>
                    </w:rPr>
                    <w:t>）</w:t>
                  </w:r>
                </w:p>
              </w:tc>
              <w:tc>
                <w:tcPr>
                  <w:tcW w:w="487" w:type="pct"/>
                  <w:vMerge w:val="restart"/>
                  <w:vAlign w:val="center"/>
                </w:tcPr>
                <w:p>
                  <w:pPr>
                    <w:pStyle w:val="47"/>
                    <w:rPr>
                      <w:b w:val="0"/>
                      <w:color w:val="auto"/>
                    </w:rPr>
                  </w:pPr>
                  <w:r>
                    <w:rPr>
                      <w:b w:val="0"/>
                      <w:color w:val="auto"/>
                    </w:rPr>
                    <w:t>排放量</w:t>
                  </w:r>
                </w:p>
                <w:p>
                  <w:pPr>
                    <w:pStyle w:val="47"/>
                    <w:rPr>
                      <w:b w:val="0"/>
                      <w:color w:val="auto"/>
                    </w:rPr>
                  </w:pPr>
                  <w:r>
                    <w:rPr>
                      <w:b w:val="0"/>
                      <w:color w:val="auto"/>
                    </w:rPr>
                    <w:t>（t/a）</w:t>
                  </w:r>
                </w:p>
              </w:tc>
              <w:tc>
                <w:tcPr>
                  <w:tcW w:w="637" w:type="pct"/>
                  <w:vMerge w:val="restart"/>
                  <w:vAlign w:val="center"/>
                </w:tcPr>
                <w:p>
                  <w:pPr>
                    <w:pStyle w:val="47"/>
                    <w:rPr>
                      <w:b w:val="0"/>
                      <w:color w:val="auto"/>
                    </w:rPr>
                  </w:pPr>
                  <w:r>
                    <w:rPr>
                      <w:b w:val="0"/>
                      <w:color w:val="auto"/>
                    </w:rPr>
                    <w:t>排放浓度（mg/m</w:t>
                  </w:r>
                  <w:r>
                    <w:rPr>
                      <w:b w:val="0"/>
                      <w:color w:val="auto"/>
                      <w:vertAlign w:val="superscript"/>
                    </w:rPr>
                    <w:t>3</w:t>
                  </w:r>
                  <w:r>
                    <w:rPr>
                      <w:b w:val="0"/>
                      <w:color w:val="auto"/>
                    </w:rPr>
                    <w:t>）</w:t>
                  </w:r>
                </w:p>
              </w:tc>
              <w:tc>
                <w:tcPr>
                  <w:tcW w:w="1022" w:type="pct"/>
                  <w:vMerge w:val="restart"/>
                  <w:vAlign w:val="center"/>
                </w:tcPr>
                <w:p>
                  <w:pPr>
                    <w:pStyle w:val="47"/>
                    <w:rPr>
                      <w:b w:val="0"/>
                      <w:color w:val="auto"/>
                    </w:rPr>
                  </w:pPr>
                  <w:r>
                    <w:rPr>
                      <w:b w:val="0"/>
                      <w:color w:val="auto"/>
                    </w:rPr>
                    <w:t>处理措施</w:t>
                  </w:r>
                </w:p>
              </w:tc>
              <w:tc>
                <w:tcPr>
                  <w:tcW w:w="286" w:type="pct"/>
                  <w:vMerge w:val="restart"/>
                  <w:vAlign w:val="center"/>
                </w:tcPr>
                <w:p>
                  <w:pPr>
                    <w:pStyle w:val="47"/>
                    <w:rPr>
                      <w:b w:val="0"/>
                      <w:color w:val="auto"/>
                    </w:rPr>
                  </w:pPr>
                </w:p>
                <w:p>
                  <w:pPr>
                    <w:pStyle w:val="47"/>
                    <w:rPr>
                      <w:b w:val="0"/>
                      <w:color w:val="auto"/>
                    </w:rPr>
                  </w:pPr>
                  <w:r>
                    <w:rPr>
                      <w:b w:val="0"/>
                      <w:color w:val="auto"/>
                    </w:rPr>
                    <w:t>处理效率</w:t>
                  </w:r>
                </w:p>
              </w:tc>
              <w:tc>
                <w:tcPr>
                  <w:tcW w:w="858" w:type="pct"/>
                  <w:gridSpan w:val="3"/>
                  <w:vAlign w:val="center"/>
                </w:tcPr>
                <w:p>
                  <w:pPr>
                    <w:pStyle w:val="47"/>
                    <w:rPr>
                      <w:b w:val="0"/>
                      <w:color w:val="auto"/>
                    </w:rPr>
                  </w:pPr>
                  <w:r>
                    <w:rPr>
                      <w:b w:val="0"/>
                      <w:color w:val="auto"/>
                    </w:rPr>
                    <w:t>排气筒参数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567" w:type="pct"/>
                  <w:vMerge w:val="continue"/>
                  <w:tcBorders>
                    <w:top w:val="nil"/>
                  </w:tcBorders>
                  <w:vAlign w:val="center"/>
                </w:tcPr>
                <w:p>
                  <w:pPr>
                    <w:pStyle w:val="47"/>
                    <w:rPr>
                      <w:b w:val="0"/>
                      <w:color w:val="auto"/>
                    </w:rPr>
                  </w:pPr>
                </w:p>
              </w:tc>
              <w:tc>
                <w:tcPr>
                  <w:tcW w:w="502" w:type="pct"/>
                  <w:vMerge w:val="continue"/>
                  <w:tcBorders>
                    <w:top w:val="nil"/>
                  </w:tcBorders>
                  <w:vAlign w:val="center"/>
                </w:tcPr>
                <w:p>
                  <w:pPr>
                    <w:pStyle w:val="47"/>
                    <w:rPr>
                      <w:b w:val="0"/>
                      <w:color w:val="auto"/>
                    </w:rPr>
                  </w:pPr>
                </w:p>
              </w:tc>
              <w:tc>
                <w:tcPr>
                  <w:tcW w:w="637" w:type="pct"/>
                  <w:vMerge w:val="continue"/>
                  <w:tcBorders>
                    <w:top w:val="nil"/>
                  </w:tcBorders>
                  <w:vAlign w:val="center"/>
                </w:tcPr>
                <w:p>
                  <w:pPr>
                    <w:pStyle w:val="47"/>
                    <w:rPr>
                      <w:b w:val="0"/>
                      <w:color w:val="auto"/>
                    </w:rPr>
                  </w:pPr>
                </w:p>
              </w:tc>
              <w:tc>
                <w:tcPr>
                  <w:tcW w:w="487" w:type="pct"/>
                  <w:vMerge w:val="continue"/>
                  <w:tcBorders>
                    <w:top w:val="nil"/>
                  </w:tcBorders>
                  <w:vAlign w:val="center"/>
                </w:tcPr>
                <w:p>
                  <w:pPr>
                    <w:pStyle w:val="47"/>
                    <w:rPr>
                      <w:b w:val="0"/>
                      <w:color w:val="auto"/>
                    </w:rPr>
                  </w:pPr>
                </w:p>
              </w:tc>
              <w:tc>
                <w:tcPr>
                  <w:tcW w:w="637" w:type="pct"/>
                  <w:vMerge w:val="continue"/>
                  <w:tcBorders>
                    <w:top w:val="nil"/>
                  </w:tcBorders>
                  <w:vAlign w:val="center"/>
                </w:tcPr>
                <w:p>
                  <w:pPr>
                    <w:pStyle w:val="47"/>
                    <w:rPr>
                      <w:b w:val="0"/>
                      <w:color w:val="auto"/>
                    </w:rPr>
                  </w:pPr>
                </w:p>
              </w:tc>
              <w:tc>
                <w:tcPr>
                  <w:tcW w:w="1022" w:type="pct"/>
                  <w:vMerge w:val="continue"/>
                  <w:tcBorders>
                    <w:top w:val="nil"/>
                  </w:tcBorders>
                  <w:vAlign w:val="center"/>
                </w:tcPr>
                <w:p>
                  <w:pPr>
                    <w:pStyle w:val="47"/>
                    <w:rPr>
                      <w:b w:val="0"/>
                      <w:color w:val="auto"/>
                    </w:rPr>
                  </w:pPr>
                </w:p>
              </w:tc>
              <w:tc>
                <w:tcPr>
                  <w:tcW w:w="286" w:type="pct"/>
                  <w:vMerge w:val="continue"/>
                  <w:tcBorders>
                    <w:top w:val="nil"/>
                  </w:tcBorders>
                  <w:vAlign w:val="center"/>
                </w:tcPr>
                <w:p>
                  <w:pPr>
                    <w:pStyle w:val="47"/>
                    <w:rPr>
                      <w:b w:val="0"/>
                      <w:color w:val="auto"/>
                    </w:rPr>
                  </w:pPr>
                </w:p>
              </w:tc>
              <w:tc>
                <w:tcPr>
                  <w:tcW w:w="396" w:type="pct"/>
                  <w:vAlign w:val="center"/>
                </w:tcPr>
                <w:p>
                  <w:pPr>
                    <w:pStyle w:val="47"/>
                    <w:rPr>
                      <w:b w:val="0"/>
                      <w:color w:val="auto"/>
                    </w:rPr>
                  </w:pPr>
                  <w:r>
                    <w:rPr>
                      <w:b w:val="0"/>
                      <w:color w:val="auto"/>
                    </w:rPr>
                    <w:t>编号</w:t>
                  </w:r>
                </w:p>
              </w:tc>
              <w:tc>
                <w:tcPr>
                  <w:tcW w:w="238" w:type="pct"/>
                  <w:vAlign w:val="center"/>
                </w:tcPr>
                <w:p>
                  <w:pPr>
                    <w:pStyle w:val="47"/>
                    <w:rPr>
                      <w:b w:val="0"/>
                      <w:color w:val="auto"/>
                    </w:rPr>
                  </w:pPr>
                  <w:r>
                    <w:rPr>
                      <w:b w:val="0"/>
                      <w:color w:val="auto"/>
                    </w:rPr>
                    <w:t>内径</w:t>
                  </w:r>
                </w:p>
                <w:p>
                  <w:pPr>
                    <w:pStyle w:val="47"/>
                    <w:rPr>
                      <w:b w:val="0"/>
                      <w:color w:val="auto"/>
                    </w:rPr>
                  </w:pPr>
                  <w:r>
                    <w:rPr>
                      <w:b w:val="0"/>
                      <w:color w:val="auto"/>
                    </w:rPr>
                    <w:t>/m</w:t>
                  </w:r>
                </w:p>
              </w:tc>
              <w:tc>
                <w:tcPr>
                  <w:tcW w:w="223" w:type="pct"/>
                  <w:vAlign w:val="center"/>
                </w:tcPr>
                <w:p>
                  <w:pPr>
                    <w:pStyle w:val="47"/>
                    <w:rPr>
                      <w:b w:val="0"/>
                      <w:color w:val="auto"/>
                    </w:rPr>
                  </w:pPr>
                  <w:r>
                    <w:rPr>
                      <w:b w:val="0"/>
                      <w:color w:val="auto"/>
                    </w:rPr>
                    <w:t>高度</w:t>
                  </w:r>
                </w:p>
                <w:p>
                  <w:pPr>
                    <w:pStyle w:val="47"/>
                    <w:rPr>
                      <w:b w:val="0"/>
                      <w:color w:val="auto"/>
                    </w:rPr>
                  </w:pPr>
                  <w:r>
                    <w:rPr>
                      <w:b w:val="0"/>
                      <w:color w:val="auto"/>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567" w:type="pct"/>
                  <w:vAlign w:val="center"/>
                </w:tcPr>
                <w:p>
                  <w:pPr>
                    <w:pStyle w:val="47"/>
                    <w:rPr>
                      <w:b w:val="0"/>
                      <w:color w:val="auto"/>
                    </w:rPr>
                  </w:pPr>
                  <w:r>
                    <w:rPr>
                      <w:b w:val="0"/>
                      <w:color w:val="auto"/>
                    </w:rPr>
                    <w:t>挤出机</w:t>
                  </w:r>
                </w:p>
              </w:tc>
              <w:tc>
                <w:tcPr>
                  <w:tcW w:w="502" w:type="pct"/>
                  <w:vAlign w:val="center"/>
                </w:tcPr>
                <w:p>
                  <w:pPr>
                    <w:pStyle w:val="47"/>
                    <w:rPr>
                      <w:b w:val="0"/>
                      <w:color w:val="auto"/>
                    </w:rPr>
                  </w:pPr>
                  <w:r>
                    <w:rPr>
                      <w:b w:val="0"/>
                      <w:color w:val="auto"/>
                    </w:rPr>
                    <w:t>0.5589</w:t>
                  </w:r>
                </w:p>
              </w:tc>
              <w:tc>
                <w:tcPr>
                  <w:tcW w:w="637" w:type="pct"/>
                  <w:vAlign w:val="center"/>
                </w:tcPr>
                <w:p>
                  <w:pPr>
                    <w:pStyle w:val="47"/>
                    <w:rPr>
                      <w:b w:val="0"/>
                      <w:color w:val="auto"/>
                    </w:rPr>
                  </w:pPr>
                  <w:r>
                    <w:rPr>
                      <w:b w:val="0"/>
                      <w:color w:val="auto"/>
                    </w:rPr>
                    <w:t>11</w:t>
                  </w:r>
                </w:p>
              </w:tc>
              <w:tc>
                <w:tcPr>
                  <w:tcW w:w="487" w:type="pct"/>
                  <w:vAlign w:val="center"/>
                </w:tcPr>
                <w:p>
                  <w:pPr>
                    <w:pStyle w:val="47"/>
                    <w:rPr>
                      <w:b w:val="0"/>
                      <w:color w:val="auto"/>
                    </w:rPr>
                  </w:pPr>
                  <w:r>
                    <w:rPr>
                      <w:b w:val="0"/>
                      <w:color w:val="auto"/>
                    </w:rPr>
                    <w:t>0.178848</w:t>
                  </w:r>
                </w:p>
              </w:tc>
              <w:tc>
                <w:tcPr>
                  <w:tcW w:w="637" w:type="pct"/>
                  <w:vAlign w:val="center"/>
                </w:tcPr>
                <w:p>
                  <w:pPr>
                    <w:pStyle w:val="47"/>
                    <w:rPr>
                      <w:b w:val="0"/>
                      <w:color w:val="auto"/>
                    </w:rPr>
                  </w:pPr>
                  <w:r>
                    <w:rPr>
                      <w:b w:val="0"/>
                      <w:color w:val="auto"/>
                    </w:rPr>
                    <w:t>3.5</w:t>
                  </w:r>
                </w:p>
              </w:tc>
              <w:tc>
                <w:tcPr>
                  <w:tcW w:w="1022" w:type="pct"/>
                  <w:vAlign w:val="center"/>
                </w:tcPr>
                <w:p>
                  <w:pPr>
                    <w:pStyle w:val="47"/>
                    <w:rPr>
                      <w:b w:val="0"/>
                      <w:color w:val="auto"/>
                    </w:rPr>
                  </w:pPr>
                  <w:r>
                    <w:rPr>
                      <w:b w:val="0"/>
                      <w:color w:val="auto"/>
                    </w:rPr>
                    <w:t>集气罩+UV光氧</w:t>
                  </w:r>
                  <w:r>
                    <w:rPr>
                      <w:rFonts w:hint="eastAsia"/>
                      <w:b w:val="0"/>
                      <w:color w:val="auto"/>
                      <w:lang w:val="en-US" w:eastAsia="zh-CN"/>
                    </w:rPr>
                    <w:t>催化</w:t>
                  </w:r>
                  <w:r>
                    <w:rPr>
                      <w:b w:val="0"/>
                      <w:color w:val="auto"/>
                    </w:rPr>
                    <w:t>+活性炭吸附，风机风量10000m</w:t>
                  </w:r>
                  <w:r>
                    <w:rPr>
                      <w:b w:val="0"/>
                      <w:color w:val="auto"/>
                      <w:vertAlign w:val="superscript"/>
                    </w:rPr>
                    <w:t>3</w:t>
                  </w:r>
                  <w:r>
                    <w:rPr>
                      <w:b w:val="0"/>
                      <w:color w:val="auto"/>
                    </w:rPr>
                    <w:t>/h</w:t>
                  </w:r>
                </w:p>
              </w:tc>
              <w:tc>
                <w:tcPr>
                  <w:tcW w:w="286" w:type="pct"/>
                  <w:vAlign w:val="center"/>
                </w:tcPr>
                <w:p>
                  <w:pPr>
                    <w:pStyle w:val="47"/>
                    <w:rPr>
                      <w:b w:val="0"/>
                      <w:color w:val="auto"/>
                    </w:rPr>
                  </w:pPr>
                  <w:r>
                    <w:rPr>
                      <w:b w:val="0"/>
                      <w:color w:val="auto"/>
                    </w:rPr>
                    <w:t>68%</w:t>
                  </w:r>
                </w:p>
              </w:tc>
              <w:tc>
                <w:tcPr>
                  <w:tcW w:w="396" w:type="pct"/>
                  <w:vAlign w:val="center"/>
                </w:tcPr>
                <w:p>
                  <w:pPr>
                    <w:pStyle w:val="47"/>
                    <w:rPr>
                      <w:b w:val="0"/>
                      <w:color w:val="auto"/>
                    </w:rPr>
                  </w:pPr>
                  <w:r>
                    <w:rPr>
                      <w:b w:val="0"/>
                      <w:color w:val="auto"/>
                    </w:rPr>
                    <w:t>DA001</w:t>
                  </w:r>
                </w:p>
              </w:tc>
              <w:tc>
                <w:tcPr>
                  <w:tcW w:w="238" w:type="pct"/>
                  <w:vAlign w:val="center"/>
                </w:tcPr>
                <w:p>
                  <w:pPr>
                    <w:pStyle w:val="47"/>
                    <w:rPr>
                      <w:b w:val="0"/>
                      <w:color w:val="auto"/>
                    </w:rPr>
                  </w:pPr>
                  <w:r>
                    <w:rPr>
                      <w:b w:val="0"/>
                      <w:color w:val="auto"/>
                    </w:rPr>
                    <w:t>0.</w:t>
                  </w:r>
                  <w:r>
                    <w:rPr>
                      <w:rFonts w:hint="eastAsia"/>
                      <w:b w:val="0"/>
                      <w:color w:val="auto"/>
                    </w:rPr>
                    <w:t>4</w:t>
                  </w:r>
                </w:p>
              </w:tc>
              <w:tc>
                <w:tcPr>
                  <w:tcW w:w="223" w:type="pct"/>
                  <w:vAlign w:val="center"/>
                </w:tcPr>
                <w:p>
                  <w:pPr>
                    <w:pStyle w:val="47"/>
                    <w:rPr>
                      <w:b w:val="0"/>
                      <w:color w:val="auto"/>
                    </w:rPr>
                  </w:pPr>
                  <w:r>
                    <w:rPr>
                      <w:b w:val="0"/>
                      <w:color w:val="auto"/>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10"/>
                  <w:vAlign w:val="center"/>
                </w:tcPr>
                <w:p>
                  <w:pPr>
                    <w:pStyle w:val="47"/>
                    <w:rPr>
                      <w:b w:val="0"/>
                      <w:color w:val="auto"/>
                    </w:rPr>
                  </w:pPr>
                  <w:r>
                    <w:rPr>
                      <w:b w:val="0"/>
                      <w:color w:val="auto"/>
                    </w:rPr>
                    <w:t>注：项目每年生产210天，每天生产24h。</w:t>
                  </w:r>
                </w:p>
              </w:tc>
            </w:tr>
          </w:tbl>
          <w:p>
            <w:pPr>
              <w:pStyle w:val="45"/>
              <w:tabs>
                <w:tab w:val="left" w:pos="1350"/>
              </w:tabs>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②食</w:t>
            </w:r>
            <w:r>
              <w:rPr>
                <w:rFonts w:ascii="Times New Roman" w:hAnsi="Times New Roman" w:cs="Times New Roman"/>
                <w:spacing w:val="-10"/>
                <w:lang w:val="en-US"/>
              </w:rPr>
              <w:t>品用塑料包装容器注塑废气</w:t>
            </w:r>
          </w:p>
          <w:p>
            <w:pPr>
              <w:pStyle w:val="14"/>
              <w:autoSpaceDE/>
              <w:autoSpaceDN/>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lang w:val="en-US"/>
              </w:rPr>
              <w:t>食</w:t>
            </w:r>
            <w:r>
              <w:rPr>
                <w:rFonts w:ascii="Times New Roman" w:hAnsi="Times New Roman" w:eastAsia="宋体" w:cs="Times New Roman"/>
                <w:spacing w:val="-10"/>
                <w:sz w:val="24"/>
                <w:lang w:val="en-US"/>
              </w:rPr>
              <w:t>品用塑料包装容器注塑</w:t>
            </w:r>
            <w:r>
              <w:rPr>
                <w:rFonts w:ascii="Times New Roman" w:hAnsi="Times New Roman" w:eastAsia="宋体" w:cs="Times New Roman"/>
                <w:sz w:val="24"/>
                <w:lang w:val="en-US"/>
              </w:rPr>
              <w:t>工序会产生有机废气，项目生产过程中使用聚乙烯颗粒</w:t>
            </w:r>
            <w:r>
              <w:rPr>
                <w:rFonts w:ascii="Times New Roman" w:hAnsi="Times New Roman" w:eastAsia="宋体" w:cs="Times New Roman"/>
              </w:rPr>
              <w:t>，</w:t>
            </w:r>
            <w:r>
              <w:rPr>
                <w:rFonts w:ascii="Times New Roman" w:hAnsi="Times New Roman" w:eastAsia="宋体" w:cs="Times New Roman"/>
                <w:sz w:val="24"/>
                <w:szCs w:val="24"/>
              </w:rPr>
              <w:t>聚乙烯由于具有超长饱和直链烷烃，所以化学稳定性较高、耐热性能好。聚乙烯熔点约为130℃，分解温度&gt;335℃，本项目加热熔融温度控制</w:t>
            </w:r>
            <w:r>
              <w:rPr>
                <w:rFonts w:ascii="Times New Roman" w:hAnsi="Times New Roman" w:eastAsia="宋体" w:cs="Times New Roman"/>
                <w:sz w:val="24"/>
                <w:szCs w:val="24"/>
                <w:lang w:val="en-US"/>
              </w:rPr>
              <w:t>在200℃左右</w:t>
            </w:r>
            <w:r>
              <w:rPr>
                <w:rFonts w:ascii="Times New Roman" w:hAnsi="Times New Roman" w:eastAsia="宋体" w:cs="Times New Roman"/>
                <w:sz w:val="24"/>
                <w:szCs w:val="24"/>
              </w:rPr>
              <w:t>，未达到原材料</w:t>
            </w:r>
            <w:r>
              <w:rPr>
                <w:rFonts w:ascii="Times New Roman" w:hAnsi="Times New Roman" w:eastAsia="宋体" w:cs="Times New Roman"/>
                <w:sz w:val="24"/>
                <w:lang w:val="en-US"/>
              </w:rPr>
              <w:t>的</w:t>
            </w:r>
            <w:r>
              <w:rPr>
                <w:rFonts w:ascii="Times New Roman" w:hAnsi="Times New Roman" w:eastAsia="宋体" w:cs="Times New Roman"/>
                <w:sz w:val="24"/>
                <w:szCs w:val="24"/>
              </w:rPr>
              <w:t>分解温度，所以，原材料在生产过程中不发生分解，无分解废气产生。但</w:t>
            </w:r>
            <w:r>
              <w:rPr>
                <w:rFonts w:ascii="Times New Roman" w:hAnsi="Times New Roman" w:eastAsia="宋体" w:cs="Times New Roman"/>
                <w:sz w:val="24"/>
                <w:lang w:val="en-US"/>
              </w:rPr>
              <w:t>聚乙烯颗粒</w:t>
            </w:r>
            <w:r>
              <w:rPr>
                <w:rFonts w:ascii="Times New Roman" w:hAnsi="Times New Roman" w:eastAsia="宋体" w:cs="Times New Roman"/>
                <w:sz w:val="24"/>
                <w:szCs w:val="24"/>
              </w:rPr>
              <w:t>原料在受热情况下，塑料中残存未聚合的反应单体挥发至空气中，从而形成有机废气。</w:t>
            </w:r>
          </w:p>
          <w:p>
            <w:pPr>
              <w:pStyle w:val="14"/>
              <w:autoSpaceDE/>
              <w:autoSpaceDN/>
              <w:snapToGrid w:val="0"/>
              <w:spacing w:line="360" w:lineRule="auto"/>
              <w:ind w:firstLine="460" w:firstLineChars="200"/>
              <w:rPr>
                <w:rFonts w:ascii="Times New Roman" w:hAnsi="Times New Roman" w:eastAsia="宋体" w:cs="Times New Roman"/>
                <w:spacing w:val="-5"/>
                <w:sz w:val="24"/>
                <w:lang w:val="en-US"/>
              </w:rPr>
            </w:pPr>
            <w:r>
              <w:rPr>
                <w:rFonts w:ascii="Times New Roman" w:hAnsi="Times New Roman" w:eastAsia="宋体" w:cs="Times New Roman"/>
                <w:spacing w:val="-5"/>
                <w:sz w:val="24"/>
                <w:lang w:val="en-US"/>
              </w:rPr>
              <w:t>产生量参照《排放源统计调查产排污核算方法和系数手册》其中的《292塑料制品行业系数手册》中的中的塑料包装箱及容器</w:t>
            </w:r>
            <w:r>
              <w:rPr>
                <w:rFonts w:ascii="Times New Roman" w:hAnsi="Times New Roman" w:eastAsia="宋体" w:cs="Times New Roman"/>
                <w:sz w:val="24"/>
                <w:lang w:val="en-US"/>
              </w:rPr>
              <w:t>VOCs</w:t>
            </w:r>
            <w:r>
              <w:rPr>
                <w:rFonts w:ascii="Times New Roman" w:hAnsi="Times New Roman" w:eastAsia="宋体" w:cs="Times New Roman"/>
                <w:spacing w:val="-5"/>
                <w:sz w:val="24"/>
                <w:lang w:val="en-US"/>
              </w:rPr>
              <w:t>产污系数为2.7，单位为千克/原料，本项目聚乙烯颗粒用量为20t/a，</w:t>
            </w:r>
            <w:r>
              <w:rPr>
                <w:rFonts w:ascii="Times New Roman" w:hAnsi="Times New Roman" w:eastAsia="宋体" w:cs="Times New Roman"/>
                <w:sz w:val="24"/>
                <w:lang w:val="en-US"/>
              </w:rPr>
              <w:t>则产生的VOCs（以非甲烷总烃计）为0.054</w:t>
            </w:r>
            <w:r>
              <w:rPr>
                <w:rFonts w:ascii="Times New Roman" w:hAnsi="Times New Roman" w:eastAsia="宋体" w:cs="Times New Roman"/>
                <w:spacing w:val="-5"/>
                <w:sz w:val="24"/>
                <w:lang w:val="en-US"/>
              </w:rPr>
              <w:t>t/a。</w:t>
            </w:r>
          </w:p>
          <w:p>
            <w:pPr>
              <w:autoSpaceDE/>
              <w:autoSpaceDN/>
              <w:spacing w:line="360" w:lineRule="auto"/>
              <w:ind w:firstLine="480" w:firstLineChars="200"/>
              <w:rPr>
                <w:rFonts w:ascii="Times New Roman" w:hAnsi="Times New Roman" w:cs="Times New Roman"/>
                <w:lang w:val="en-US"/>
              </w:rPr>
            </w:pPr>
            <w:r>
              <w:rPr>
                <w:rFonts w:ascii="Times New Roman" w:hAnsi="Times New Roman" w:cs="Times New Roman"/>
                <w:lang w:val="en-US"/>
              </w:rPr>
              <w:t>②项目在4台注塑机上方分别设置集气罩。</w:t>
            </w:r>
          </w:p>
          <w:p>
            <w:pPr>
              <w:pStyle w:val="45"/>
              <w:tabs>
                <w:tab w:val="left" w:pos="1350"/>
              </w:tabs>
              <w:snapToGrid w:val="0"/>
              <w:spacing w:line="360" w:lineRule="auto"/>
              <w:ind w:firstLine="480" w:firstLineChars="200"/>
              <w:rPr>
                <w:rFonts w:ascii="Times New Roman" w:hAnsi="Times New Roman" w:cs="Times New Roman"/>
                <w:spacing w:val="-5"/>
                <w:lang w:val="en-US"/>
              </w:rPr>
            </w:pPr>
            <w:r>
              <w:rPr>
                <w:rFonts w:ascii="Times New Roman" w:hAnsi="Times New Roman" w:cs="Times New Roman"/>
                <w:lang w:val="en-US"/>
              </w:rPr>
              <w:t>注塑机的集气罩通过管道与一套</w:t>
            </w:r>
            <w:r>
              <w:rPr>
                <w:rFonts w:hint="eastAsia" w:ascii="Times New Roman" w:hAnsi="Times New Roman" w:cs="Times New Roman"/>
                <w:lang w:val="en-US"/>
              </w:rPr>
              <w:t>UV光氧催化设备</w:t>
            </w:r>
            <w:r>
              <w:rPr>
                <w:rFonts w:ascii="Times New Roman" w:hAnsi="Times New Roman" w:cs="Times New Roman"/>
                <w:lang w:val="en-US"/>
              </w:rPr>
              <w:t>+活性炭吸附设备连接，非甲烷总烃经过</w:t>
            </w:r>
            <w:r>
              <w:rPr>
                <w:rFonts w:hint="eastAsia" w:ascii="Times New Roman" w:hAnsi="Times New Roman" w:cs="Times New Roman"/>
                <w:lang w:val="en-US"/>
              </w:rPr>
              <w:t>UV光氧催化设备</w:t>
            </w:r>
            <w:r>
              <w:rPr>
                <w:rFonts w:ascii="Times New Roman" w:hAnsi="Times New Roman" w:cs="Times New Roman"/>
                <w:lang w:val="en-US"/>
              </w:rPr>
              <w:t>+活性炭吸附设备处理后由30m的排气筒（2#）排放。集气罩集气率分别为90%，</w:t>
            </w:r>
            <w:r>
              <w:rPr>
                <w:rFonts w:ascii="Times New Roman" w:hAnsi="Times New Roman" w:cs="Times New Roman"/>
                <w:spacing w:val="-5"/>
                <w:lang w:val="en-US"/>
              </w:rPr>
              <w:t>本项目拟在</w:t>
            </w:r>
            <w:r>
              <w:rPr>
                <w:rFonts w:ascii="Times New Roman" w:hAnsi="Times New Roman" w:cs="Times New Roman"/>
                <w:lang w:val="en-US"/>
              </w:rPr>
              <w:t>食</w:t>
            </w:r>
            <w:r>
              <w:rPr>
                <w:rFonts w:ascii="Times New Roman" w:hAnsi="Times New Roman" w:cs="Times New Roman"/>
                <w:spacing w:val="-10"/>
                <w:lang w:val="en-US"/>
              </w:rPr>
              <w:t>品用塑料包装容器</w:t>
            </w:r>
            <w:r>
              <w:rPr>
                <w:rFonts w:ascii="Times New Roman" w:hAnsi="Times New Roman" w:cs="Times New Roman"/>
                <w:lang w:val="en-US"/>
              </w:rPr>
              <w:t>挤出</w:t>
            </w:r>
            <w:r>
              <w:rPr>
                <w:rFonts w:ascii="Times New Roman" w:hAnsi="Times New Roman" w:cs="Times New Roman"/>
                <w:spacing w:val="-5"/>
                <w:lang w:val="en-US"/>
              </w:rPr>
              <w:t>区上方安装集气罩(总风量10000m</w:t>
            </w:r>
            <w:r>
              <w:rPr>
                <w:rFonts w:ascii="Times New Roman" w:hAnsi="Times New Roman" w:cs="Times New Roman"/>
                <w:spacing w:val="-5"/>
                <w:vertAlign w:val="superscript"/>
                <w:lang w:val="en-US"/>
              </w:rPr>
              <w:t>3</w:t>
            </w:r>
            <w:r>
              <w:rPr>
                <w:rFonts w:ascii="Times New Roman" w:hAnsi="Times New Roman" w:cs="Times New Roman"/>
                <w:spacing w:val="-5"/>
                <w:lang w:val="en-US"/>
              </w:rPr>
              <w:t>/h)+UV光氧</w:t>
            </w:r>
            <w:r>
              <w:rPr>
                <w:rFonts w:hint="eastAsia" w:ascii="Times New Roman" w:hAnsi="Times New Roman" w:cs="Times New Roman"/>
                <w:spacing w:val="-5"/>
                <w:lang w:val="en-US" w:eastAsia="zh-CN"/>
              </w:rPr>
              <w:t>催化</w:t>
            </w:r>
            <w:r>
              <w:rPr>
                <w:rFonts w:ascii="Times New Roman" w:hAnsi="Times New Roman" w:cs="Times New Roman"/>
                <w:spacing w:val="-5"/>
                <w:lang w:val="en-US"/>
              </w:rPr>
              <w:t>+活性炭吸附装置，参考《广东省印刷行业挥发性有机化合物废气治理技术指南》，</w:t>
            </w:r>
            <w:r>
              <w:rPr>
                <w:rFonts w:hint="eastAsia" w:ascii="Times New Roman" w:hAnsi="Times New Roman" w:cs="Times New Roman"/>
                <w:spacing w:val="-5"/>
                <w:lang w:val="en-US"/>
              </w:rPr>
              <w:t>UV光氧催化设备</w:t>
            </w:r>
            <w:r>
              <w:rPr>
                <w:rFonts w:ascii="Times New Roman" w:hAnsi="Times New Roman" w:cs="Times New Roman"/>
                <w:spacing w:val="-5"/>
                <w:lang w:val="en-US"/>
              </w:rPr>
              <w:t>净化效率为30~50%，活性炭吸附处理设备净化效率为30~50%，本项目</w:t>
            </w:r>
            <w:r>
              <w:rPr>
                <w:rFonts w:hint="eastAsia" w:ascii="Times New Roman" w:hAnsi="Times New Roman" w:cs="Times New Roman"/>
                <w:spacing w:val="-5"/>
                <w:lang w:val="en-US"/>
              </w:rPr>
              <w:t>UV光氧催化设备</w:t>
            </w:r>
            <w:r>
              <w:rPr>
                <w:rFonts w:ascii="Times New Roman" w:hAnsi="Times New Roman" w:cs="Times New Roman"/>
                <w:spacing w:val="-5"/>
                <w:lang w:val="en-US"/>
              </w:rPr>
              <w:t>净化效率取40%，活性炭吸附处理设备净化效率取40%，收集的非甲烷总烃经过“UV光氧</w:t>
            </w:r>
            <w:r>
              <w:rPr>
                <w:rFonts w:hint="eastAsia" w:ascii="Times New Roman" w:hAnsi="Times New Roman" w:cs="Times New Roman"/>
                <w:spacing w:val="-5"/>
                <w:lang w:val="en-US" w:eastAsia="zh-CN"/>
              </w:rPr>
              <w:t>催化</w:t>
            </w:r>
            <w:r>
              <w:rPr>
                <w:rFonts w:ascii="Times New Roman" w:hAnsi="Times New Roman" w:cs="Times New Roman"/>
                <w:spacing w:val="-5"/>
                <w:lang w:val="en-US"/>
              </w:rPr>
              <w:t>+活性炭吸附装置”设施进行处理，UV光氧</w:t>
            </w:r>
            <w:r>
              <w:rPr>
                <w:rFonts w:hint="eastAsia" w:ascii="Times New Roman" w:hAnsi="Times New Roman" w:cs="Times New Roman"/>
                <w:spacing w:val="-5"/>
                <w:lang w:val="en-US" w:eastAsia="zh-CN"/>
              </w:rPr>
              <w:t>催化</w:t>
            </w:r>
            <w:r>
              <w:rPr>
                <w:rFonts w:ascii="Times New Roman" w:hAnsi="Times New Roman" w:cs="Times New Roman"/>
                <w:spacing w:val="-5"/>
                <w:lang w:val="en-US"/>
              </w:rPr>
              <w:t>+活性炭吸附装置除尘效率为68%，则有组织非甲烷总烃产生量为0.0486t/a，项目挤出机工作时间为24h/d，年工作天数为210天，引风机风量为10000m</w:t>
            </w:r>
            <w:r>
              <w:rPr>
                <w:rFonts w:ascii="Times New Roman" w:hAnsi="Times New Roman" w:cs="Times New Roman"/>
                <w:spacing w:val="-5"/>
                <w:vertAlign w:val="superscript"/>
                <w:lang w:val="en-US"/>
              </w:rPr>
              <w:t>3</w:t>
            </w:r>
            <w:r>
              <w:rPr>
                <w:rFonts w:ascii="Times New Roman" w:hAnsi="Times New Roman" w:cs="Times New Roman"/>
                <w:spacing w:val="-5"/>
                <w:lang w:val="en-US"/>
              </w:rPr>
              <w:t>/h，则有组织非甲烷总烃产生速率为0.01kg/h，产生浓度为1mg/m</w:t>
            </w:r>
            <w:r>
              <w:rPr>
                <w:rFonts w:ascii="Times New Roman" w:hAnsi="Times New Roman" w:cs="Times New Roman"/>
                <w:spacing w:val="-5"/>
                <w:vertAlign w:val="superscript"/>
                <w:lang w:val="en-US"/>
              </w:rPr>
              <w:t>3</w:t>
            </w:r>
            <w:r>
              <w:rPr>
                <w:rFonts w:ascii="Times New Roman" w:hAnsi="Times New Roman" w:cs="Times New Roman"/>
                <w:spacing w:val="-5"/>
                <w:lang w:val="en-US"/>
              </w:rPr>
              <w:t>，则有组织排放量为0.015552t/a，排放速率为0.003kg/h，排放浓度为0.3mg/m</w:t>
            </w:r>
            <w:r>
              <w:rPr>
                <w:rFonts w:ascii="Times New Roman" w:hAnsi="Times New Roman" w:cs="Times New Roman"/>
                <w:spacing w:val="-5"/>
                <w:vertAlign w:val="superscript"/>
                <w:lang w:val="en-US"/>
              </w:rPr>
              <w:t>3</w:t>
            </w:r>
            <w:r>
              <w:rPr>
                <w:rFonts w:ascii="Times New Roman" w:hAnsi="Times New Roman" w:cs="Times New Roman"/>
                <w:spacing w:val="-5"/>
                <w:lang w:val="en-US"/>
              </w:rPr>
              <w:t>。无组织非甲烷总烃排放量为0.0054t/a，排放速率为0.001kg/h。</w:t>
            </w:r>
          </w:p>
          <w:p>
            <w:pPr>
              <w:pStyle w:val="45"/>
              <w:tabs>
                <w:tab w:val="left" w:pos="1350"/>
              </w:tabs>
              <w:snapToGrid w:val="0"/>
              <w:spacing w:line="360" w:lineRule="auto"/>
              <w:ind w:firstLine="460"/>
              <w:rPr>
                <w:rFonts w:ascii="Times New Roman" w:hAnsi="Times New Roman" w:cs="Times New Roman"/>
                <w:color w:val="000000"/>
                <w:spacing w:val="-5"/>
                <w:lang w:val="en-US"/>
              </w:rPr>
            </w:pPr>
            <w:r>
              <w:rPr>
                <w:rFonts w:ascii="Times New Roman" w:hAnsi="Times New Roman" w:cs="Times New Roman"/>
                <w:color w:val="000000"/>
                <w:spacing w:val="-5"/>
                <w:lang w:val="en-US"/>
              </w:rPr>
              <w:t>项目</w:t>
            </w:r>
            <w:r>
              <w:rPr>
                <w:rFonts w:ascii="Times New Roman" w:hAnsi="Times New Roman" w:cs="Times New Roman"/>
                <w:lang w:val="en-US"/>
              </w:rPr>
              <w:t>食</w:t>
            </w:r>
            <w:r>
              <w:rPr>
                <w:rFonts w:ascii="Times New Roman" w:hAnsi="Times New Roman" w:cs="Times New Roman"/>
                <w:spacing w:val="-10"/>
                <w:lang w:val="en-US"/>
              </w:rPr>
              <w:t>品用塑料包装容器注塑</w:t>
            </w:r>
            <w:r>
              <w:rPr>
                <w:rFonts w:ascii="Times New Roman" w:hAnsi="Times New Roman" w:cs="Times New Roman"/>
                <w:color w:val="000000"/>
                <w:spacing w:val="-5"/>
                <w:lang w:val="en-US"/>
              </w:rPr>
              <w:t>生产线注塑废气产生及排放情况见表4-2。</w:t>
            </w:r>
          </w:p>
          <w:p>
            <w:pPr>
              <w:pStyle w:val="17"/>
              <w:snapToGrid w:val="0"/>
              <w:ind w:firstLine="0" w:firstLineChars="0"/>
              <w:rPr>
                <w:rFonts w:ascii="Times New Roman" w:hAnsi="Times New Roman" w:cs="Times New Roman"/>
                <w:color w:val="000000"/>
                <w:szCs w:val="21"/>
              </w:rPr>
            </w:pPr>
            <w:r>
              <w:rPr>
                <w:rFonts w:ascii="Times New Roman" w:hAnsi="Times New Roman" w:cs="Times New Roman"/>
                <w:b/>
                <w:color w:val="000000"/>
                <w:szCs w:val="21"/>
              </w:rPr>
              <w:t>表</w:t>
            </w:r>
            <w:r>
              <w:rPr>
                <w:rFonts w:ascii="Times New Roman" w:hAnsi="Times New Roman" w:cs="Times New Roman"/>
                <w:b/>
                <w:color w:val="000000"/>
                <w:spacing w:val="-62"/>
                <w:szCs w:val="21"/>
              </w:rPr>
              <w:t>4</w:t>
            </w:r>
            <w:r>
              <w:rPr>
                <w:rFonts w:ascii="Times New Roman" w:hAnsi="Times New Roman" w:cs="Times New Roman"/>
                <w:b/>
                <w:color w:val="000000"/>
                <w:szCs w:val="21"/>
              </w:rPr>
              <w:t>--</w:t>
            </w:r>
            <w:r>
              <w:rPr>
                <w:rFonts w:ascii="Times New Roman" w:hAnsi="Times New Roman" w:cs="Times New Roman"/>
                <w:b/>
                <w:color w:val="000000"/>
                <w:szCs w:val="21"/>
                <w:lang w:val="en-US"/>
              </w:rPr>
              <w:t>2</w:t>
            </w:r>
            <w:r>
              <w:rPr>
                <w:rFonts w:ascii="Times New Roman" w:hAnsi="Times New Roman" w:cs="Times New Roman"/>
                <w:b/>
                <w:color w:val="000000"/>
                <w:szCs w:val="21"/>
              </w:rPr>
              <w:tab/>
            </w:r>
            <w:r>
              <w:rPr>
                <w:rFonts w:ascii="Times New Roman" w:hAnsi="Times New Roman" w:cs="Times New Roman"/>
                <w:b/>
                <w:color w:val="000000"/>
                <w:szCs w:val="21"/>
              </w:rPr>
              <w:t>项目</w:t>
            </w:r>
            <w:r>
              <w:rPr>
                <w:rFonts w:ascii="Times New Roman" w:hAnsi="Times New Roman" w:cs="Times New Roman"/>
                <w:b/>
                <w:szCs w:val="21"/>
                <w:lang w:val="en-US"/>
              </w:rPr>
              <w:t>食</w:t>
            </w:r>
            <w:r>
              <w:rPr>
                <w:rFonts w:ascii="Times New Roman" w:hAnsi="Times New Roman" w:cs="Times New Roman"/>
                <w:b/>
                <w:spacing w:val="-10"/>
                <w:szCs w:val="21"/>
                <w:lang w:val="en-US"/>
              </w:rPr>
              <w:t>品用塑料包装容器注塑</w:t>
            </w:r>
            <w:r>
              <w:rPr>
                <w:rFonts w:ascii="Times New Roman" w:hAnsi="Times New Roman" w:cs="Times New Roman"/>
                <w:b/>
                <w:color w:val="000000"/>
                <w:spacing w:val="-5"/>
                <w:szCs w:val="21"/>
                <w:lang w:val="en-US"/>
              </w:rPr>
              <w:t>生产线注塑</w:t>
            </w:r>
            <w:r>
              <w:rPr>
                <w:rFonts w:ascii="Times New Roman" w:hAnsi="Times New Roman" w:cs="Times New Roman"/>
                <w:b/>
                <w:color w:val="000000"/>
                <w:szCs w:val="21"/>
              </w:rPr>
              <w:t>工序非甲烷总烃产生及排放情况表</w:t>
            </w:r>
          </w:p>
          <w:tbl>
            <w:tblPr>
              <w:tblStyle w:val="26"/>
              <w:tblW w:w="4997" w:type="pct"/>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5"/>
              <w:gridCol w:w="827"/>
              <w:gridCol w:w="1053"/>
              <w:gridCol w:w="805"/>
              <w:gridCol w:w="1053"/>
              <w:gridCol w:w="1690"/>
              <w:gridCol w:w="473"/>
              <w:gridCol w:w="653"/>
              <w:gridCol w:w="393"/>
              <w:gridCol w:w="3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6" w:type="pct"/>
                  <w:vMerge w:val="restart"/>
                  <w:vAlign w:val="center"/>
                </w:tcPr>
                <w:p>
                  <w:pPr>
                    <w:pStyle w:val="47"/>
                    <w:rPr>
                      <w:b w:val="0"/>
                      <w:color w:val="auto"/>
                    </w:rPr>
                  </w:pPr>
                  <w:r>
                    <w:rPr>
                      <w:b w:val="0"/>
                      <w:color w:val="auto"/>
                    </w:rPr>
                    <w:t>污染源</w:t>
                  </w:r>
                </w:p>
              </w:tc>
              <w:tc>
                <w:tcPr>
                  <w:tcW w:w="500" w:type="pct"/>
                  <w:vMerge w:val="restart"/>
                  <w:vAlign w:val="center"/>
                </w:tcPr>
                <w:p>
                  <w:pPr>
                    <w:pStyle w:val="47"/>
                    <w:rPr>
                      <w:b w:val="0"/>
                      <w:color w:val="auto"/>
                    </w:rPr>
                  </w:pPr>
                  <w:r>
                    <w:rPr>
                      <w:b w:val="0"/>
                      <w:color w:val="auto"/>
                    </w:rPr>
                    <w:t>产生量</w:t>
                  </w:r>
                </w:p>
                <w:p>
                  <w:pPr>
                    <w:pStyle w:val="47"/>
                    <w:rPr>
                      <w:b w:val="0"/>
                      <w:color w:val="auto"/>
                    </w:rPr>
                  </w:pPr>
                  <w:r>
                    <w:rPr>
                      <w:b w:val="0"/>
                      <w:color w:val="auto"/>
                    </w:rPr>
                    <w:t>（t/a）</w:t>
                  </w:r>
                </w:p>
              </w:tc>
              <w:tc>
                <w:tcPr>
                  <w:tcW w:w="637" w:type="pct"/>
                  <w:vMerge w:val="restart"/>
                  <w:vAlign w:val="center"/>
                </w:tcPr>
                <w:p>
                  <w:pPr>
                    <w:pStyle w:val="47"/>
                    <w:rPr>
                      <w:b w:val="0"/>
                      <w:color w:val="auto"/>
                    </w:rPr>
                  </w:pPr>
                  <w:r>
                    <w:rPr>
                      <w:b w:val="0"/>
                      <w:color w:val="auto"/>
                    </w:rPr>
                    <w:t>产生浓度（mg/m</w:t>
                  </w:r>
                  <w:r>
                    <w:rPr>
                      <w:b w:val="0"/>
                      <w:color w:val="auto"/>
                      <w:vertAlign w:val="superscript"/>
                    </w:rPr>
                    <w:t>3</w:t>
                  </w:r>
                  <w:r>
                    <w:rPr>
                      <w:b w:val="0"/>
                      <w:color w:val="auto"/>
                    </w:rPr>
                    <w:t>）</w:t>
                  </w:r>
                </w:p>
              </w:tc>
              <w:tc>
                <w:tcPr>
                  <w:tcW w:w="487" w:type="pct"/>
                  <w:vMerge w:val="restart"/>
                  <w:vAlign w:val="center"/>
                </w:tcPr>
                <w:p>
                  <w:pPr>
                    <w:pStyle w:val="47"/>
                    <w:rPr>
                      <w:b w:val="0"/>
                      <w:color w:val="auto"/>
                    </w:rPr>
                  </w:pPr>
                  <w:r>
                    <w:rPr>
                      <w:b w:val="0"/>
                      <w:color w:val="auto"/>
                    </w:rPr>
                    <w:t>排放量</w:t>
                  </w:r>
                </w:p>
                <w:p>
                  <w:pPr>
                    <w:pStyle w:val="47"/>
                    <w:rPr>
                      <w:b w:val="0"/>
                      <w:color w:val="auto"/>
                    </w:rPr>
                  </w:pPr>
                  <w:r>
                    <w:rPr>
                      <w:b w:val="0"/>
                      <w:color w:val="auto"/>
                    </w:rPr>
                    <w:t>（t/a）</w:t>
                  </w:r>
                </w:p>
              </w:tc>
              <w:tc>
                <w:tcPr>
                  <w:tcW w:w="637" w:type="pct"/>
                  <w:vMerge w:val="restart"/>
                  <w:vAlign w:val="center"/>
                </w:tcPr>
                <w:p>
                  <w:pPr>
                    <w:pStyle w:val="47"/>
                    <w:rPr>
                      <w:b w:val="0"/>
                      <w:color w:val="auto"/>
                    </w:rPr>
                  </w:pPr>
                  <w:r>
                    <w:rPr>
                      <w:b w:val="0"/>
                      <w:color w:val="auto"/>
                    </w:rPr>
                    <w:t>排放浓度（mg/m</w:t>
                  </w:r>
                  <w:r>
                    <w:rPr>
                      <w:b w:val="0"/>
                      <w:color w:val="auto"/>
                      <w:vertAlign w:val="superscript"/>
                    </w:rPr>
                    <w:t>3</w:t>
                  </w:r>
                  <w:r>
                    <w:rPr>
                      <w:b w:val="0"/>
                      <w:color w:val="auto"/>
                    </w:rPr>
                    <w:t>）</w:t>
                  </w:r>
                </w:p>
              </w:tc>
              <w:tc>
                <w:tcPr>
                  <w:tcW w:w="1022" w:type="pct"/>
                  <w:vMerge w:val="restart"/>
                  <w:vAlign w:val="center"/>
                </w:tcPr>
                <w:p>
                  <w:pPr>
                    <w:pStyle w:val="47"/>
                    <w:rPr>
                      <w:b w:val="0"/>
                      <w:color w:val="auto"/>
                    </w:rPr>
                  </w:pPr>
                  <w:r>
                    <w:rPr>
                      <w:b w:val="0"/>
                      <w:color w:val="auto"/>
                    </w:rPr>
                    <w:t>处理措施</w:t>
                  </w:r>
                </w:p>
              </w:tc>
              <w:tc>
                <w:tcPr>
                  <w:tcW w:w="286" w:type="pct"/>
                  <w:vMerge w:val="restart"/>
                  <w:vAlign w:val="center"/>
                </w:tcPr>
                <w:p>
                  <w:pPr>
                    <w:pStyle w:val="47"/>
                    <w:rPr>
                      <w:b w:val="0"/>
                      <w:color w:val="auto"/>
                    </w:rPr>
                  </w:pPr>
                </w:p>
                <w:p>
                  <w:pPr>
                    <w:pStyle w:val="47"/>
                    <w:rPr>
                      <w:b w:val="0"/>
                      <w:color w:val="auto"/>
                    </w:rPr>
                  </w:pPr>
                  <w:r>
                    <w:rPr>
                      <w:b w:val="0"/>
                      <w:color w:val="auto"/>
                    </w:rPr>
                    <w:t>处理效率</w:t>
                  </w:r>
                </w:p>
              </w:tc>
              <w:tc>
                <w:tcPr>
                  <w:tcW w:w="862" w:type="pct"/>
                  <w:gridSpan w:val="3"/>
                  <w:vAlign w:val="center"/>
                </w:tcPr>
                <w:p>
                  <w:pPr>
                    <w:pStyle w:val="47"/>
                    <w:rPr>
                      <w:b w:val="0"/>
                      <w:color w:val="auto"/>
                    </w:rPr>
                  </w:pPr>
                  <w:r>
                    <w:rPr>
                      <w:b w:val="0"/>
                      <w:color w:val="auto"/>
                    </w:rPr>
                    <w:t>排气筒参数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566" w:type="pct"/>
                  <w:vMerge w:val="continue"/>
                  <w:tcBorders>
                    <w:top w:val="nil"/>
                  </w:tcBorders>
                  <w:vAlign w:val="center"/>
                </w:tcPr>
                <w:p>
                  <w:pPr>
                    <w:pStyle w:val="47"/>
                    <w:rPr>
                      <w:b w:val="0"/>
                      <w:color w:val="auto"/>
                    </w:rPr>
                  </w:pPr>
                </w:p>
              </w:tc>
              <w:tc>
                <w:tcPr>
                  <w:tcW w:w="500" w:type="pct"/>
                  <w:vMerge w:val="continue"/>
                  <w:tcBorders>
                    <w:top w:val="nil"/>
                  </w:tcBorders>
                  <w:vAlign w:val="center"/>
                </w:tcPr>
                <w:p>
                  <w:pPr>
                    <w:pStyle w:val="47"/>
                    <w:rPr>
                      <w:b w:val="0"/>
                      <w:color w:val="auto"/>
                    </w:rPr>
                  </w:pPr>
                </w:p>
              </w:tc>
              <w:tc>
                <w:tcPr>
                  <w:tcW w:w="637" w:type="pct"/>
                  <w:vMerge w:val="continue"/>
                  <w:tcBorders>
                    <w:top w:val="nil"/>
                  </w:tcBorders>
                  <w:vAlign w:val="center"/>
                </w:tcPr>
                <w:p>
                  <w:pPr>
                    <w:pStyle w:val="47"/>
                    <w:rPr>
                      <w:b w:val="0"/>
                      <w:color w:val="auto"/>
                    </w:rPr>
                  </w:pPr>
                </w:p>
              </w:tc>
              <w:tc>
                <w:tcPr>
                  <w:tcW w:w="487" w:type="pct"/>
                  <w:vMerge w:val="continue"/>
                  <w:tcBorders>
                    <w:top w:val="nil"/>
                  </w:tcBorders>
                  <w:vAlign w:val="center"/>
                </w:tcPr>
                <w:p>
                  <w:pPr>
                    <w:pStyle w:val="47"/>
                    <w:rPr>
                      <w:b w:val="0"/>
                      <w:color w:val="auto"/>
                    </w:rPr>
                  </w:pPr>
                </w:p>
              </w:tc>
              <w:tc>
                <w:tcPr>
                  <w:tcW w:w="637" w:type="pct"/>
                  <w:vMerge w:val="continue"/>
                  <w:tcBorders>
                    <w:top w:val="nil"/>
                  </w:tcBorders>
                  <w:vAlign w:val="center"/>
                </w:tcPr>
                <w:p>
                  <w:pPr>
                    <w:pStyle w:val="47"/>
                    <w:rPr>
                      <w:b w:val="0"/>
                      <w:color w:val="auto"/>
                    </w:rPr>
                  </w:pPr>
                </w:p>
              </w:tc>
              <w:tc>
                <w:tcPr>
                  <w:tcW w:w="1022" w:type="pct"/>
                  <w:vMerge w:val="continue"/>
                  <w:tcBorders>
                    <w:top w:val="nil"/>
                  </w:tcBorders>
                  <w:vAlign w:val="center"/>
                </w:tcPr>
                <w:p>
                  <w:pPr>
                    <w:pStyle w:val="47"/>
                    <w:rPr>
                      <w:b w:val="0"/>
                      <w:color w:val="auto"/>
                    </w:rPr>
                  </w:pPr>
                </w:p>
              </w:tc>
              <w:tc>
                <w:tcPr>
                  <w:tcW w:w="286" w:type="pct"/>
                  <w:vMerge w:val="continue"/>
                  <w:tcBorders>
                    <w:top w:val="nil"/>
                  </w:tcBorders>
                  <w:vAlign w:val="center"/>
                </w:tcPr>
                <w:p>
                  <w:pPr>
                    <w:pStyle w:val="47"/>
                    <w:rPr>
                      <w:b w:val="0"/>
                      <w:color w:val="auto"/>
                    </w:rPr>
                  </w:pPr>
                </w:p>
              </w:tc>
              <w:tc>
                <w:tcPr>
                  <w:tcW w:w="395" w:type="pct"/>
                  <w:vAlign w:val="center"/>
                </w:tcPr>
                <w:p>
                  <w:pPr>
                    <w:pStyle w:val="47"/>
                    <w:rPr>
                      <w:b w:val="0"/>
                      <w:color w:val="auto"/>
                    </w:rPr>
                  </w:pPr>
                  <w:r>
                    <w:rPr>
                      <w:b w:val="0"/>
                      <w:color w:val="auto"/>
                    </w:rPr>
                    <w:t>编号</w:t>
                  </w:r>
                </w:p>
              </w:tc>
              <w:tc>
                <w:tcPr>
                  <w:tcW w:w="238" w:type="pct"/>
                  <w:vAlign w:val="center"/>
                </w:tcPr>
                <w:p>
                  <w:pPr>
                    <w:pStyle w:val="47"/>
                    <w:rPr>
                      <w:b w:val="0"/>
                      <w:color w:val="auto"/>
                    </w:rPr>
                  </w:pPr>
                  <w:r>
                    <w:rPr>
                      <w:b w:val="0"/>
                      <w:color w:val="auto"/>
                    </w:rPr>
                    <w:t>内径</w:t>
                  </w:r>
                </w:p>
                <w:p>
                  <w:pPr>
                    <w:pStyle w:val="47"/>
                    <w:rPr>
                      <w:b w:val="0"/>
                      <w:color w:val="auto"/>
                    </w:rPr>
                  </w:pPr>
                  <w:r>
                    <w:rPr>
                      <w:b w:val="0"/>
                      <w:color w:val="auto"/>
                    </w:rPr>
                    <w:t>/m</w:t>
                  </w:r>
                </w:p>
              </w:tc>
              <w:tc>
                <w:tcPr>
                  <w:tcW w:w="228" w:type="pct"/>
                  <w:vAlign w:val="center"/>
                </w:tcPr>
                <w:p>
                  <w:pPr>
                    <w:pStyle w:val="47"/>
                    <w:rPr>
                      <w:b w:val="0"/>
                      <w:color w:val="auto"/>
                    </w:rPr>
                  </w:pPr>
                  <w:r>
                    <w:rPr>
                      <w:b w:val="0"/>
                      <w:color w:val="auto"/>
                    </w:rPr>
                    <w:t>高度</w:t>
                  </w:r>
                </w:p>
                <w:p>
                  <w:pPr>
                    <w:pStyle w:val="47"/>
                    <w:rPr>
                      <w:b w:val="0"/>
                      <w:color w:val="auto"/>
                    </w:rPr>
                  </w:pPr>
                  <w:r>
                    <w:rPr>
                      <w:b w:val="0"/>
                      <w:color w:val="auto"/>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566" w:type="pct"/>
                  <w:vAlign w:val="center"/>
                </w:tcPr>
                <w:p>
                  <w:pPr>
                    <w:pStyle w:val="47"/>
                    <w:rPr>
                      <w:b w:val="0"/>
                      <w:color w:val="auto"/>
                    </w:rPr>
                  </w:pPr>
                  <w:r>
                    <w:rPr>
                      <w:b w:val="0"/>
                      <w:bCs w:val="0"/>
                      <w:color w:val="auto"/>
                    </w:rPr>
                    <w:t>注塑机</w:t>
                  </w:r>
                </w:p>
              </w:tc>
              <w:tc>
                <w:tcPr>
                  <w:tcW w:w="500" w:type="pct"/>
                  <w:vAlign w:val="center"/>
                </w:tcPr>
                <w:p>
                  <w:pPr>
                    <w:pStyle w:val="47"/>
                    <w:rPr>
                      <w:b w:val="0"/>
                      <w:color w:val="auto"/>
                    </w:rPr>
                  </w:pPr>
                  <w:r>
                    <w:rPr>
                      <w:b w:val="0"/>
                      <w:color w:val="auto"/>
                    </w:rPr>
                    <w:t>0.0486</w:t>
                  </w:r>
                </w:p>
              </w:tc>
              <w:tc>
                <w:tcPr>
                  <w:tcW w:w="637" w:type="pct"/>
                  <w:vAlign w:val="center"/>
                </w:tcPr>
                <w:p>
                  <w:pPr>
                    <w:pStyle w:val="47"/>
                    <w:rPr>
                      <w:b w:val="0"/>
                      <w:color w:val="auto"/>
                    </w:rPr>
                  </w:pPr>
                  <w:r>
                    <w:rPr>
                      <w:b w:val="0"/>
                      <w:color w:val="auto"/>
                    </w:rPr>
                    <w:t>1</w:t>
                  </w:r>
                </w:p>
              </w:tc>
              <w:tc>
                <w:tcPr>
                  <w:tcW w:w="487" w:type="pct"/>
                  <w:vAlign w:val="center"/>
                </w:tcPr>
                <w:p>
                  <w:pPr>
                    <w:pStyle w:val="47"/>
                    <w:rPr>
                      <w:b w:val="0"/>
                      <w:color w:val="auto"/>
                    </w:rPr>
                  </w:pPr>
                  <w:r>
                    <w:rPr>
                      <w:b w:val="0"/>
                      <w:color w:val="auto"/>
                    </w:rPr>
                    <w:t>0.015552</w:t>
                  </w:r>
                </w:p>
              </w:tc>
              <w:tc>
                <w:tcPr>
                  <w:tcW w:w="637" w:type="pct"/>
                  <w:vAlign w:val="center"/>
                </w:tcPr>
                <w:p>
                  <w:pPr>
                    <w:pStyle w:val="47"/>
                  </w:pPr>
                  <w:r>
                    <w:rPr>
                      <w:b w:val="0"/>
                      <w:bCs w:val="0"/>
                    </w:rPr>
                    <w:t>0.3</w:t>
                  </w:r>
                </w:p>
              </w:tc>
              <w:tc>
                <w:tcPr>
                  <w:tcW w:w="1022" w:type="pct"/>
                  <w:vAlign w:val="center"/>
                </w:tcPr>
                <w:p>
                  <w:pPr>
                    <w:pStyle w:val="47"/>
                    <w:rPr>
                      <w:b w:val="0"/>
                      <w:color w:val="auto"/>
                    </w:rPr>
                  </w:pPr>
                  <w:r>
                    <w:rPr>
                      <w:b w:val="0"/>
                      <w:color w:val="auto"/>
                    </w:rPr>
                    <w:t>集气罩+UV光氧</w:t>
                  </w:r>
                  <w:r>
                    <w:rPr>
                      <w:rFonts w:hint="eastAsia"/>
                      <w:b w:val="0"/>
                      <w:color w:val="auto"/>
                      <w:lang w:val="en-US" w:eastAsia="zh-CN"/>
                    </w:rPr>
                    <w:t>催化</w:t>
                  </w:r>
                  <w:r>
                    <w:rPr>
                      <w:b w:val="0"/>
                      <w:color w:val="auto"/>
                    </w:rPr>
                    <w:t>+活性炭吸附，风机风量10000m</w:t>
                  </w:r>
                  <w:r>
                    <w:rPr>
                      <w:b w:val="0"/>
                      <w:color w:val="auto"/>
                      <w:vertAlign w:val="superscript"/>
                    </w:rPr>
                    <w:t>3</w:t>
                  </w:r>
                  <w:r>
                    <w:rPr>
                      <w:b w:val="0"/>
                      <w:color w:val="auto"/>
                    </w:rPr>
                    <w:t>/h</w:t>
                  </w:r>
                </w:p>
              </w:tc>
              <w:tc>
                <w:tcPr>
                  <w:tcW w:w="286" w:type="pct"/>
                  <w:vAlign w:val="center"/>
                </w:tcPr>
                <w:p>
                  <w:pPr>
                    <w:pStyle w:val="47"/>
                    <w:rPr>
                      <w:b w:val="0"/>
                      <w:color w:val="auto"/>
                    </w:rPr>
                  </w:pPr>
                  <w:r>
                    <w:rPr>
                      <w:b w:val="0"/>
                      <w:color w:val="auto"/>
                    </w:rPr>
                    <w:t>68%</w:t>
                  </w:r>
                </w:p>
              </w:tc>
              <w:tc>
                <w:tcPr>
                  <w:tcW w:w="395" w:type="pct"/>
                  <w:vAlign w:val="center"/>
                </w:tcPr>
                <w:p>
                  <w:pPr>
                    <w:pStyle w:val="47"/>
                    <w:rPr>
                      <w:b w:val="0"/>
                      <w:color w:val="auto"/>
                    </w:rPr>
                  </w:pPr>
                  <w:r>
                    <w:rPr>
                      <w:b w:val="0"/>
                      <w:color w:val="auto"/>
                    </w:rPr>
                    <w:t>DA002</w:t>
                  </w:r>
                </w:p>
              </w:tc>
              <w:tc>
                <w:tcPr>
                  <w:tcW w:w="238" w:type="pct"/>
                  <w:vAlign w:val="center"/>
                </w:tcPr>
                <w:p>
                  <w:pPr>
                    <w:pStyle w:val="47"/>
                    <w:rPr>
                      <w:b w:val="0"/>
                      <w:color w:val="auto"/>
                    </w:rPr>
                  </w:pPr>
                  <w:r>
                    <w:rPr>
                      <w:b w:val="0"/>
                      <w:color w:val="auto"/>
                    </w:rPr>
                    <w:t>0.</w:t>
                  </w:r>
                  <w:r>
                    <w:rPr>
                      <w:rFonts w:hint="eastAsia"/>
                      <w:b w:val="0"/>
                      <w:color w:val="auto"/>
                    </w:rPr>
                    <w:t>4</w:t>
                  </w:r>
                </w:p>
              </w:tc>
              <w:tc>
                <w:tcPr>
                  <w:tcW w:w="228" w:type="pct"/>
                  <w:vAlign w:val="center"/>
                </w:tcPr>
                <w:p>
                  <w:pPr>
                    <w:pStyle w:val="47"/>
                    <w:rPr>
                      <w:b w:val="0"/>
                      <w:color w:val="auto"/>
                    </w:rPr>
                  </w:pPr>
                  <w:r>
                    <w:rPr>
                      <w:b w:val="0"/>
                      <w:color w:val="auto"/>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10"/>
                  <w:vAlign w:val="center"/>
                </w:tcPr>
                <w:p>
                  <w:pPr>
                    <w:pStyle w:val="47"/>
                    <w:rPr>
                      <w:b w:val="0"/>
                      <w:color w:val="auto"/>
                    </w:rPr>
                  </w:pPr>
                  <w:r>
                    <w:rPr>
                      <w:b w:val="0"/>
                      <w:color w:val="auto"/>
                    </w:rPr>
                    <w:t>注：项目每年生产210天，每天生产24h。</w:t>
                  </w:r>
                </w:p>
              </w:tc>
            </w:tr>
          </w:tbl>
          <w:p>
            <w:pPr>
              <w:pStyle w:val="45"/>
              <w:tabs>
                <w:tab w:val="left" w:pos="1350"/>
              </w:tabs>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②破碎粉尘</w:t>
            </w:r>
          </w:p>
          <w:p>
            <w:pPr>
              <w:pStyle w:val="46"/>
              <w:snapToGrid w:val="0"/>
              <w:spacing w:line="360" w:lineRule="auto"/>
              <w:ind w:firstLine="480" w:firstLineChars="200"/>
              <w:jc w:val="both"/>
              <w:rPr>
                <w:rFonts w:ascii="Times New Roman" w:hAnsi="Times New Roman" w:cs="Times New Roman"/>
              </w:rPr>
            </w:pPr>
            <w:r>
              <w:rPr>
                <w:rFonts w:ascii="Times New Roman" w:hAnsi="Times New Roman" w:cs="Times New Roman"/>
              </w:rPr>
              <w:t>本操作工序是对及不合格产品进行进一步的破碎加工。根据业主提供资料，不合格产品约为成品总量的</w:t>
            </w:r>
            <w:r>
              <w:rPr>
                <w:rFonts w:ascii="Times New Roman" w:hAnsi="Times New Roman" w:cs="Times New Roman"/>
                <w:lang w:val="en-US"/>
              </w:rPr>
              <w:t>4</w:t>
            </w:r>
            <w:r>
              <w:rPr>
                <w:rFonts w:ascii="Times New Roman" w:hAnsi="Times New Roman" w:cs="Times New Roman"/>
              </w:rPr>
              <w:t>%，本项目</w:t>
            </w:r>
            <w:r>
              <w:rPr>
                <w:rFonts w:ascii="Times New Roman" w:hAnsi="Times New Roman" w:cs="Times New Roman"/>
                <w:lang w:val="en-US"/>
              </w:rPr>
              <w:t>食</w:t>
            </w:r>
            <w:r>
              <w:rPr>
                <w:rFonts w:ascii="Times New Roman" w:hAnsi="Times New Roman" w:cs="Times New Roman"/>
                <w:spacing w:val="-10"/>
                <w:lang w:val="en-US"/>
              </w:rPr>
              <w:t>品用塑料包装容器</w:t>
            </w:r>
            <w:r>
              <w:rPr>
                <w:rFonts w:ascii="Times New Roman" w:hAnsi="Times New Roman" w:cs="Times New Roman"/>
              </w:rPr>
              <w:t>成品总量为</w:t>
            </w:r>
            <w:r>
              <w:rPr>
                <w:rFonts w:ascii="Times New Roman" w:hAnsi="Times New Roman" w:cs="Times New Roman"/>
                <w:lang w:val="en-US"/>
              </w:rPr>
              <w:t>250</w:t>
            </w:r>
            <w:r>
              <w:rPr>
                <w:rFonts w:ascii="Times New Roman" w:hAnsi="Times New Roman" w:cs="Times New Roman"/>
              </w:rPr>
              <w:t>t/a，则不合格产品产生量约为</w:t>
            </w:r>
            <w:r>
              <w:rPr>
                <w:rFonts w:ascii="Times New Roman" w:hAnsi="Times New Roman" w:cs="Times New Roman"/>
                <w:lang w:val="en-US"/>
              </w:rPr>
              <w:t>10</w:t>
            </w:r>
            <w:r>
              <w:rPr>
                <w:rFonts w:ascii="Times New Roman" w:hAnsi="Times New Roman" w:cs="Times New Roman"/>
              </w:rPr>
              <w:t>t/a，</w:t>
            </w:r>
            <w:r>
              <w:rPr>
                <w:rFonts w:ascii="Times New Roman" w:hAnsi="Times New Roman" w:cs="Times New Roman"/>
                <w:lang w:val="en-US"/>
              </w:rPr>
              <w:t>此部分破碎</w:t>
            </w:r>
            <w:r>
              <w:rPr>
                <w:rFonts w:hint="eastAsia" w:ascii="Times New Roman" w:hAnsi="Times New Roman" w:cs="Times New Roman"/>
                <w:lang w:val="en-US"/>
              </w:rPr>
              <w:t>收集</w:t>
            </w:r>
            <w:r>
              <w:rPr>
                <w:rFonts w:ascii="Times New Roman" w:hAnsi="Times New Roman" w:cs="Times New Roman"/>
                <w:lang w:val="en-US"/>
              </w:rPr>
              <w:t>后</w:t>
            </w:r>
            <w:r>
              <w:rPr>
                <w:rFonts w:hint="eastAsia" w:ascii="Times New Roman" w:hAnsi="Times New Roman" w:cs="Times New Roman"/>
                <w:lang w:val="en-US"/>
              </w:rPr>
              <w:t>由原材料厂家进行回收利用</w:t>
            </w:r>
            <w:r>
              <w:rPr>
                <w:rFonts w:ascii="Times New Roman" w:hAnsi="Times New Roman" w:cs="Times New Roman"/>
                <w:lang w:val="en-US"/>
              </w:rPr>
              <w:t>，破碎过程会有少量粉尘产生，</w:t>
            </w:r>
            <w:r>
              <w:rPr>
                <w:rFonts w:ascii="Times New Roman" w:hAnsi="Times New Roman" w:cs="Times New Roman"/>
              </w:rPr>
              <w:t>评价参考参照</w:t>
            </w:r>
            <w:r>
              <w:rPr>
                <w:rFonts w:ascii="Times New Roman" w:hAnsi="Times New Roman" w:cs="Times New Roman"/>
                <w:lang w:val="en-US"/>
              </w:rPr>
              <w:t>考《工业源产排污核算方法和系数手册》（2021 年 6 月发布）中42 废弃资源综合利用行业系数手册，废聚乙烯颗粒破碎过程中颗粒物产生系数为375克/吨，</w:t>
            </w:r>
            <w:r>
              <w:rPr>
                <w:rFonts w:ascii="Times New Roman" w:hAnsi="Times New Roman" w:cs="Times New Roman"/>
              </w:rPr>
              <w:t>则颗粒物产生量为</w:t>
            </w:r>
            <w:r>
              <w:rPr>
                <w:rFonts w:hint="eastAsia" w:ascii="Times New Roman" w:hAnsi="Times New Roman" w:cs="Times New Roman"/>
                <w:lang w:val="en-US"/>
              </w:rPr>
              <w:t>0.00375</w:t>
            </w:r>
            <w:r>
              <w:rPr>
                <w:rFonts w:ascii="Times New Roman" w:hAnsi="Times New Roman" w:cs="Times New Roman"/>
                <w:lang w:val="en-US"/>
              </w:rPr>
              <w:t>t/a。</w:t>
            </w:r>
          </w:p>
          <w:p>
            <w:pPr>
              <w:pStyle w:val="17"/>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lang w:val="en-US"/>
              </w:rPr>
              <w:t>本项目在破碎区处设置集气罩收集破碎粉尘，集气罩收集效率约为90%，经收集后经由布袋除尘器处理达标后由1根30m高排气筒DA003排放。</w:t>
            </w:r>
            <w:r>
              <w:rPr>
                <w:rFonts w:ascii="Times New Roman" w:hAnsi="Times New Roman" w:cs="Times New Roman"/>
                <w:sz w:val="24"/>
                <w:szCs w:val="24"/>
              </w:rPr>
              <w:t>参照</w:t>
            </w:r>
            <w:r>
              <w:rPr>
                <w:rFonts w:ascii="Times New Roman" w:hAnsi="Times New Roman" w:cs="Times New Roman"/>
                <w:sz w:val="24"/>
                <w:szCs w:val="24"/>
                <w:lang w:val="en-US"/>
              </w:rPr>
              <w:t>考《工业源产排污核算方法和系数手册》（2021 年 6 月发布）中42 废弃资源综合利用行业系数手册，废聚乙烯颗粒破碎</w:t>
            </w:r>
            <w:r>
              <w:rPr>
                <w:rFonts w:ascii="Times New Roman" w:hAnsi="Times New Roman" w:cs="Times New Roman"/>
                <w:sz w:val="24"/>
                <w:szCs w:val="24"/>
              </w:rPr>
              <w:t>工段使用袋式除尘技术效率为9</w:t>
            </w:r>
            <w:r>
              <w:rPr>
                <w:rFonts w:ascii="Times New Roman" w:hAnsi="Times New Roman" w:cs="Times New Roman"/>
                <w:sz w:val="24"/>
                <w:szCs w:val="24"/>
                <w:lang w:val="en-US"/>
              </w:rPr>
              <w:t>5</w:t>
            </w:r>
            <w:r>
              <w:rPr>
                <w:rFonts w:ascii="Times New Roman" w:hAnsi="Times New Roman" w:cs="Times New Roman"/>
                <w:sz w:val="24"/>
                <w:szCs w:val="24"/>
              </w:rPr>
              <w:t>%，本项目</w:t>
            </w:r>
            <w:r>
              <w:rPr>
                <w:rFonts w:ascii="Times New Roman" w:hAnsi="Times New Roman" w:cs="Times New Roman"/>
                <w:sz w:val="24"/>
                <w:szCs w:val="24"/>
                <w:lang w:val="en-US"/>
              </w:rPr>
              <w:t>布袋除尘处理治理效率取95%，风机风量为10000m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/h，</w:t>
            </w:r>
            <w:r>
              <w:rPr>
                <w:rFonts w:ascii="Times New Roman" w:hAnsi="Times New Roman" w:cs="Times New Roman"/>
                <w:sz w:val="24"/>
                <w:szCs w:val="24"/>
              </w:rPr>
              <w:t>破碎机每年工作约</w:t>
            </w:r>
            <w:r>
              <w:rPr>
                <w:rFonts w:ascii="Times New Roman" w:hAnsi="Times New Roman" w:cs="Times New Roman"/>
                <w:sz w:val="24"/>
                <w:szCs w:val="24"/>
                <w:lang w:val="en-US"/>
              </w:rPr>
              <w:t>5040</w:t>
            </w:r>
            <w:r>
              <w:rPr>
                <w:rFonts w:ascii="Times New Roman" w:hAnsi="Times New Roman" w:cs="Times New Roman"/>
                <w:sz w:val="24"/>
                <w:szCs w:val="24"/>
              </w:rPr>
              <w:t>小时，</w:t>
            </w:r>
            <w:r>
              <w:rPr>
                <w:rFonts w:ascii="Times New Roman" w:hAnsi="Times New Roman" w:cs="Times New Roman"/>
                <w:sz w:val="24"/>
                <w:szCs w:val="24"/>
                <w:lang w:val="en-US"/>
              </w:rPr>
              <w:t>因此有组织产生量为</w:t>
            </w:r>
            <w:r>
              <w:rPr>
                <w:rFonts w:hint="eastAsia" w:ascii="Times New Roman" w:hAnsi="Times New Roman" w:cs="Times New Roman"/>
                <w:sz w:val="24"/>
                <w:szCs w:val="24"/>
                <w:lang w:val="en-US"/>
              </w:rPr>
              <w:t>0.003375</w:t>
            </w:r>
            <w:r>
              <w:rPr>
                <w:rFonts w:ascii="Times New Roman" w:hAnsi="Times New Roman" w:cs="Times New Roman"/>
                <w:sz w:val="24"/>
                <w:szCs w:val="24"/>
              </w:rPr>
              <w:t>t/a，处理后</w:t>
            </w:r>
            <w:r>
              <w:rPr>
                <w:rFonts w:ascii="Times New Roman" w:hAnsi="Times New Roman" w:cs="Times New Roman"/>
                <w:sz w:val="24"/>
                <w:szCs w:val="24"/>
                <w:lang w:val="en-US"/>
              </w:rPr>
              <w:t>排放量为0.</w:t>
            </w:r>
            <w:r>
              <w:rPr>
                <w:rFonts w:hint="eastAsia" w:ascii="Times New Roman" w:hAnsi="Times New Roman" w:cs="Times New Roman"/>
                <w:sz w:val="24"/>
                <w:szCs w:val="24"/>
                <w:lang w:val="en-US"/>
              </w:rPr>
              <w:t>00017</w:t>
            </w:r>
            <w:r>
              <w:rPr>
                <w:rFonts w:ascii="Times New Roman" w:hAnsi="Times New Roman" w:cs="Times New Roman"/>
                <w:sz w:val="24"/>
                <w:szCs w:val="24"/>
              </w:rPr>
              <w:t>t/a，</w:t>
            </w:r>
            <w:r>
              <w:rPr>
                <w:rFonts w:ascii="Times New Roman" w:hAnsi="Times New Roman" w:cs="Times New Roman"/>
                <w:sz w:val="24"/>
                <w:szCs w:val="24"/>
                <w:lang w:val="en-US"/>
              </w:rPr>
              <w:t>排放速率为0.0</w:t>
            </w:r>
            <w:r>
              <w:rPr>
                <w:rFonts w:hint="eastAsia" w:ascii="Times New Roman" w:hAnsi="Times New Roman" w:cs="Times New Roman"/>
                <w:sz w:val="24"/>
                <w:szCs w:val="24"/>
                <w:lang w:val="en-US"/>
              </w:rPr>
              <w:t>000</w:t>
            </w:r>
            <w:r>
              <w:rPr>
                <w:rFonts w:ascii="Times New Roman" w:hAnsi="Times New Roman" w:cs="Times New Roman"/>
                <w:sz w:val="24"/>
                <w:szCs w:val="24"/>
                <w:lang w:val="en-US"/>
              </w:rPr>
              <w:t>3</w:t>
            </w:r>
            <w:r>
              <w:rPr>
                <w:rFonts w:ascii="Times New Roman" w:hAnsi="Times New Roman" w:cs="Times New Roman"/>
                <w:sz w:val="24"/>
                <w:szCs w:val="24"/>
              </w:rPr>
              <w:t>kg/h</w:t>
            </w:r>
            <w:r>
              <w:rPr>
                <w:rFonts w:ascii="Times New Roman" w:hAnsi="Times New Roman" w:cs="Times New Roman"/>
                <w:sz w:val="24"/>
                <w:szCs w:val="24"/>
                <w:lang w:val="en-US"/>
              </w:rPr>
              <w:t>，排放浓度为</w:t>
            </w:r>
            <w:r>
              <w:rPr>
                <w:rFonts w:hint="eastAsia" w:ascii="Times New Roman" w:hAnsi="Times New Roman" w:cs="Times New Roman"/>
                <w:sz w:val="24"/>
                <w:szCs w:val="24"/>
                <w:lang w:val="en-US"/>
              </w:rPr>
              <w:t>0.00</w:t>
            </w:r>
            <w:r>
              <w:rPr>
                <w:rFonts w:ascii="Times New Roman" w:hAnsi="Times New Roman" w:cs="Times New Roman"/>
                <w:sz w:val="24"/>
                <w:szCs w:val="24"/>
                <w:lang w:val="en-US"/>
              </w:rPr>
              <w:t>3mg/m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Pr>
                <w:rFonts w:ascii="Times New Roman" w:hAnsi="Times New Roman" w:cs="Times New Roman"/>
                <w:sz w:val="24"/>
                <w:szCs w:val="24"/>
              </w:rPr>
              <w:t>无组织排放量为</w:t>
            </w:r>
            <w:r>
              <w:rPr>
                <w:rFonts w:hint="eastAsia" w:ascii="Times New Roman" w:hAnsi="Times New Roman" w:cs="Times New Roman"/>
                <w:sz w:val="24"/>
                <w:szCs w:val="24"/>
                <w:lang w:val="en-US"/>
              </w:rPr>
              <w:t>0.000375</w:t>
            </w:r>
            <w:r>
              <w:rPr>
                <w:rFonts w:ascii="Times New Roman" w:hAnsi="Times New Roman" w:cs="Times New Roman"/>
                <w:sz w:val="24"/>
                <w:szCs w:val="24"/>
              </w:rPr>
              <w:t>t/a，即排放速率为</w:t>
            </w:r>
            <w:r>
              <w:rPr>
                <w:rFonts w:hint="eastAsia" w:ascii="Times New Roman" w:hAnsi="Times New Roman" w:cs="Times New Roman"/>
                <w:sz w:val="24"/>
                <w:szCs w:val="24"/>
                <w:lang w:val="en-US"/>
              </w:rPr>
              <w:t>0.00007</w:t>
            </w:r>
            <w:r>
              <w:rPr>
                <w:rFonts w:ascii="Times New Roman" w:hAnsi="Times New Roman" w:cs="Times New Roman"/>
                <w:sz w:val="24"/>
                <w:szCs w:val="24"/>
              </w:rPr>
              <w:t>kg/h。</w:t>
            </w:r>
          </w:p>
          <w:p>
            <w:pPr>
              <w:pStyle w:val="17"/>
              <w:snapToGrid w:val="0"/>
              <w:spacing w:line="360" w:lineRule="auto"/>
              <w:ind w:firstLine="470"/>
              <w:rPr>
                <w:rFonts w:ascii="Times New Roman" w:hAnsi="Times New Roman" w:cs="Times New Roman"/>
                <w:sz w:val="24"/>
                <w:szCs w:val="24"/>
                <w:lang w:val="en-US"/>
              </w:rPr>
            </w:pPr>
            <w:r>
              <w:rPr>
                <w:rFonts w:ascii="Times New Roman" w:hAnsi="Times New Roman" w:cs="Times New Roman"/>
                <w:color w:val="000000"/>
                <w:spacing w:val="-5"/>
                <w:sz w:val="24"/>
                <w:lang w:val="en-US"/>
              </w:rPr>
              <w:t>项目</w:t>
            </w:r>
            <w:r>
              <w:rPr>
                <w:rFonts w:ascii="Times New Roman" w:hAnsi="Times New Roman" w:cs="Times New Roman"/>
                <w:sz w:val="24"/>
                <w:lang w:val="en-US"/>
              </w:rPr>
              <w:t>食</w:t>
            </w:r>
            <w:r>
              <w:rPr>
                <w:rFonts w:ascii="Times New Roman" w:hAnsi="Times New Roman" w:cs="Times New Roman"/>
                <w:spacing w:val="-10"/>
                <w:sz w:val="24"/>
                <w:lang w:val="en-US"/>
              </w:rPr>
              <w:t>品用塑料包装容器破碎粉尘</w:t>
            </w:r>
            <w:r>
              <w:rPr>
                <w:rFonts w:ascii="Times New Roman" w:hAnsi="Times New Roman" w:cs="Times New Roman"/>
                <w:color w:val="000000"/>
                <w:spacing w:val="-5"/>
                <w:sz w:val="24"/>
                <w:lang w:val="en-US"/>
              </w:rPr>
              <w:t>产生及排放情况见表4-3</w:t>
            </w:r>
          </w:p>
          <w:p>
            <w:pPr>
              <w:pStyle w:val="17"/>
              <w:snapToGrid w:val="0"/>
              <w:ind w:firstLine="211" w:firstLineChars="100"/>
              <w:jc w:val="center"/>
              <w:rPr>
                <w:rFonts w:ascii="Times New Roman" w:hAnsi="Times New Roman" w:cs="Times New Roman"/>
                <w:color w:val="000000"/>
                <w:szCs w:val="21"/>
              </w:rPr>
            </w:pPr>
            <w:r>
              <w:rPr>
                <w:rFonts w:ascii="Times New Roman" w:hAnsi="Times New Roman" w:cs="Times New Roman"/>
                <w:b/>
                <w:color w:val="000000"/>
                <w:szCs w:val="21"/>
              </w:rPr>
              <w:t>表</w:t>
            </w:r>
            <w:r>
              <w:rPr>
                <w:rFonts w:ascii="Times New Roman" w:hAnsi="Times New Roman" w:cs="Times New Roman"/>
                <w:b/>
                <w:color w:val="000000"/>
                <w:spacing w:val="-62"/>
                <w:szCs w:val="21"/>
              </w:rPr>
              <w:t>4</w:t>
            </w:r>
            <w:r>
              <w:rPr>
                <w:rFonts w:ascii="Times New Roman" w:hAnsi="Times New Roman" w:cs="Times New Roman"/>
                <w:b/>
                <w:color w:val="000000"/>
                <w:szCs w:val="21"/>
              </w:rPr>
              <w:t>--</w:t>
            </w:r>
            <w:r>
              <w:rPr>
                <w:rFonts w:ascii="Times New Roman" w:hAnsi="Times New Roman" w:cs="Times New Roman"/>
                <w:b/>
                <w:color w:val="000000"/>
                <w:szCs w:val="21"/>
                <w:lang w:val="en-US"/>
              </w:rPr>
              <w:t>3</w:t>
            </w:r>
            <w:r>
              <w:rPr>
                <w:rFonts w:ascii="Times New Roman" w:hAnsi="Times New Roman" w:cs="Times New Roman"/>
                <w:b/>
                <w:color w:val="000000"/>
                <w:szCs w:val="21"/>
              </w:rPr>
              <w:tab/>
            </w:r>
            <w:r>
              <w:rPr>
                <w:rFonts w:ascii="Times New Roman" w:hAnsi="Times New Roman" w:cs="Times New Roman"/>
                <w:b/>
                <w:color w:val="000000"/>
                <w:szCs w:val="21"/>
              </w:rPr>
              <w:t>项目</w:t>
            </w:r>
            <w:r>
              <w:rPr>
                <w:rFonts w:ascii="Times New Roman" w:hAnsi="Times New Roman" w:cs="Times New Roman"/>
                <w:b/>
                <w:szCs w:val="21"/>
                <w:lang w:val="en-US"/>
              </w:rPr>
              <w:t>食</w:t>
            </w:r>
            <w:r>
              <w:rPr>
                <w:rFonts w:ascii="Times New Roman" w:hAnsi="Times New Roman" w:cs="Times New Roman"/>
                <w:b/>
                <w:spacing w:val="-10"/>
                <w:szCs w:val="21"/>
                <w:lang w:val="en-US"/>
              </w:rPr>
              <w:t>品用塑料包装容器破碎</w:t>
            </w:r>
            <w:r>
              <w:rPr>
                <w:rFonts w:ascii="Times New Roman" w:hAnsi="Times New Roman" w:cs="Times New Roman"/>
                <w:b/>
                <w:color w:val="000000"/>
                <w:szCs w:val="21"/>
              </w:rPr>
              <w:t>工序</w:t>
            </w:r>
            <w:r>
              <w:rPr>
                <w:rFonts w:ascii="Times New Roman" w:hAnsi="Times New Roman" w:cs="Times New Roman"/>
                <w:b/>
                <w:color w:val="000000"/>
                <w:szCs w:val="21"/>
                <w:lang w:val="en-US"/>
              </w:rPr>
              <w:t>颗粒物</w:t>
            </w:r>
            <w:r>
              <w:rPr>
                <w:rFonts w:ascii="Times New Roman" w:hAnsi="Times New Roman" w:cs="Times New Roman"/>
                <w:b/>
                <w:color w:val="000000"/>
                <w:szCs w:val="21"/>
              </w:rPr>
              <w:t>产生及排放情况表</w:t>
            </w:r>
          </w:p>
          <w:tbl>
            <w:tblPr>
              <w:tblStyle w:val="26"/>
              <w:tblW w:w="4998" w:type="pct"/>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8"/>
              <w:gridCol w:w="830"/>
              <w:gridCol w:w="1053"/>
              <w:gridCol w:w="805"/>
              <w:gridCol w:w="1053"/>
              <w:gridCol w:w="1690"/>
              <w:gridCol w:w="473"/>
              <w:gridCol w:w="655"/>
              <w:gridCol w:w="394"/>
              <w:gridCol w:w="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pct"/>
                  <w:vMerge w:val="restart"/>
                  <w:vAlign w:val="center"/>
                </w:tcPr>
                <w:p>
                  <w:pPr>
                    <w:pStyle w:val="47"/>
                    <w:rPr>
                      <w:b w:val="0"/>
                      <w:color w:val="auto"/>
                    </w:rPr>
                  </w:pPr>
                  <w:r>
                    <w:rPr>
                      <w:b w:val="0"/>
                      <w:color w:val="auto"/>
                    </w:rPr>
                    <w:t>污染源</w:t>
                  </w:r>
                </w:p>
              </w:tc>
              <w:tc>
                <w:tcPr>
                  <w:tcW w:w="502" w:type="pct"/>
                  <w:vMerge w:val="restart"/>
                  <w:vAlign w:val="center"/>
                </w:tcPr>
                <w:p>
                  <w:pPr>
                    <w:pStyle w:val="47"/>
                    <w:rPr>
                      <w:b w:val="0"/>
                      <w:color w:val="auto"/>
                    </w:rPr>
                  </w:pPr>
                  <w:r>
                    <w:rPr>
                      <w:b w:val="0"/>
                      <w:color w:val="auto"/>
                    </w:rPr>
                    <w:t>产生量</w:t>
                  </w:r>
                </w:p>
                <w:p>
                  <w:pPr>
                    <w:pStyle w:val="47"/>
                    <w:rPr>
                      <w:b w:val="0"/>
                      <w:color w:val="auto"/>
                    </w:rPr>
                  </w:pPr>
                  <w:r>
                    <w:rPr>
                      <w:b w:val="0"/>
                      <w:color w:val="auto"/>
                    </w:rPr>
                    <w:t>（t/a）</w:t>
                  </w:r>
                </w:p>
              </w:tc>
              <w:tc>
                <w:tcPr>
                  <w:tcW w:w="637" w:type="pct"/>
                  <w:vMerge w:val="restart"/>
                  <w:vAlign w:val="center"/>
                </w:tcPr>
                <w:p>
                  <w:pPr>
                    <w:pStyle w:val="47"/>
                    <w:rPr>
                      <w:b w:val="0"/>
                      <w:color w:val="auto"/>
                    </w:rPr>
                  </w:pPr>
                  <w:r>
                    <w:rPr>
                      <w:b w:val="0"/>
                      <w:color w:val="auto"/>
                    </w:rPr>
                    <w:t>产生浓度（mg/m</w:t>
                  </w:r>
                  <w:r>
                    <w:rPr>
                      <w:b w:val="0"/>
                      <w:color w:val="auto"/>
                      <w:vertAlign w:val="superscript"/>
                    </w:rPr>
                    <w:t>3</w:t>
                  </w:r>
                  <w:r>
                    <w:rPr>
                      <w:b w:val="0"/>
                      <w:color w:val="auto"/>
                    </w:rPr>
                    <w:t>）</w:t>
                  </w:r>
                </w:p>
              </w:tc>
              <w:tc>
                <w:tcPr>
                  <w:tcW w:w="487" w:type="pct"/>
                  <w:vMerge w:val="restart"/>
                  <w:vAlign w:val="center"/>
                </w:tcPr>
                <w:p>
                  <w:pPr>
                    <w:pStyle w:val="47"/>
                    <w:rPr>
                      <w:b w:val="0"/>
                      <w:color w:val="auto"/>
                    </w:rPr>
                  </w:pPr>
                  <w:r>
                    <w:rPr>
                      <w:b w:val="0"/>
                      <w:color w:val="auto"/>
                    </w:rPr>
                    <w:t>排放量</w:t>
                  </w:r>
                </w:p>
                <w:p>
                  <w:pPr>
                    <w:pStyle w:val="47"/>
                    <w:rPr>
                      <w:b w:val="0"/>
                      <w:color w:val="auto"/>
                    </w:rPr>
                  </w:pPr>
                  <w:r>
                    <w:rPr>
                      <w:b w:val="0"/>
                      <w:color w:val="auto"/>
                    </w:rPr>
                    <w:t>（t/a）</w:t>
                  </w:r>
                </w:p>
              </w:tc>
              <w:tc>
                <w:tcPr>
                  <w:tcW w:w="637" w:type="pct"/>
                  <w:vMerge w:val="restart"/>
                  <w:vAlign w:val="center"/>
                </w:tcPr>
                <w:p>
                  <w:pPr>
                    <w:pStyle w:val="47"/>
                    <w:rPr>
                      <w:b w:val="0"/>
                      <w:color w:val="auto"/>
                    </w:rPr>
                  </w:pPr>
                  <w:r>
                    <w:rPr>
                      <w:b w:val="0"/>
                      <w:color w:val="auto"/>
                    </w:rPr>
                    <w:t>排放浓度（mg/m</w:t>
                  </w:r>
                  <w:r>
                    <w:rPr>
                      <w:b w:val="0"/>
                      <w:color w:val="auto"/>
                      <w:vertAlign w:val="superscript"/>
                    </w:rPr>
                    <w:t>3</w:t>
                  </w:r>
                  <w:r>
                    <w:rPr>
                      <w:b w:val="0"/>
                      <w:color w:val="auto"/>
                    </w:rPr>
                    <w:t>）</w:t>
                  </w:r>
                </w:p>
              </w:tc>
              <w:tc>
                <w:tcPr>
                  <w:tcW w:w="1022" w:type="pct"/>
                  <w:vMerge w:val="restart"/>
                  <w:vAlign w:val="center"/>
                </w:tcPr>
                <w:p>
                  <w:pPr>
                    <w:pStyle w:val="47"/>
                    <w:rPr>
                      <w:b w:val="0"/>
                      <w:color w:val="auto"/>
                    </w:rPr>
                  </w:pPr>
                  <w:r>
                    <w:rPr>
                      <w:b w:val="0"/>
                      <w:color w:val="auto"/>
                    </w:rPr>
                    <w:t>处理措施</w:t>
                  </w:r>
                </w:p>
              </w:tc>
              <w:tc>
                <w:tcPr>
                  <w:tcW w:w="286" w:type="pct"/>
                  <w:vMerge w:val="restart"/>
                  <w:vAlign w:val="center"/>
                </w:tcPr>
                <w:p>
                  <w:pPr>
                    <w:pStyle w:val="47"/>
                    <w:rPr>
                      <w:b w:val="0"/>
                      <w:color w:val="auto"/>
                    </w:rPr>
                  </w:pPr>
                </w:p>
                <w:p>
                  <w:pPr>
                    <w:pStyle w:val="47"/>
                    <w:rPr>
                      <w:b w:val="0"/>
                      <w:color w:val="auto"/>
                    </w:rPr>
                  </w:pPr>
                  <w:r>
                    <w:rPr>
                      <w:b w:val="0"/>
                      <w:color w:val="auto"/>
                    </w:rPr>
                    <w:t>处理效率</w:t>
                  </w:r>
                </w:p>
              </w:tc>
              <w:tc>
                <w:tcPr>
                  <w:tcW w:w="858" w:type="pct"/>
                  <w:gridSpan w:val="3"/>
                  <w:vAlign w:val="center"/>
                </w:tcPr>
                <w:p>
                  <w:pPr>
                    <w:pStyle w:val="47"/>
                    <w:rPr>
                      <w:b w:val="0"/>
                      <w:color w:val="auto"/>
                    </w:rPr>
                  </w:pPr>
                  <w:r>
                    <w:rPr>
                      <w:b w:val="0"/>
                      <w:color w:val="auto"/>
                    </w:rPr>
                    <w:t>排气筒参数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567" w:type="pct"/>
                  <w:vMerge w:val="continue"/>
                  <w:tcBorders>
                    <w:top w:val="nil"/>
                  </w:tcBorders>
                  <w:vAlign w:val="center"/>
                </w:tcPr>
                <w:p>
                  <w:pPr>
                    <w:pStyle w:val="47"/>
                    <w:rPr>
                      <w:b w:val="0"/>
                      <w:color w:val="auto"/>
                    </w:rPr>
                  </w:pPr>
                </w:p>
              </w:tc>
              <w:tc>
                <w:tcPr>
                  <w:tcW w:w="502" w:type="pct"/>
                  <w:vMerge w:val="continue"/>
                  <w:tcBorders>
                    <w:top w:val="nil"/>
                  </w:tcBorders>
                  <w:vAlign w:val="center"/>
                </w:tcPr>
                <w:p>
                  <w:pPr>
                    <w:pStyle w:val="47"/>
                    <w:rPr>
                      <w:b w:val="0"/>
                      <w:color w:val="auto"/>
                    </w:rPr>
                  </w:pPr>
                </w:p>
              </w:tc>
              <w:tc>
                <w:tcPr>
                  <w:tcW w:w="637" w:type="pct"/>
                  <w:vMerge w:val="continue"/>
                  <w:tcBorders>
                    <w:top w:val="nil"/>
                  </w:tcBorders>
                  <w:vAlign w:val="center"/>
                </w:tcPr>
                <w:p>
                  <w:pPr>
                    <w:pStyle w:val="47"/>
                    <w:rPr>
                      <w:b w:val="0"/>
                      <w:color w:val="auto"/>
                    </w:rPr>
                  </w:pPr>
                </w:p>
              </w:tc>
              <w:tc>
                <w:tcPr>
                  <w:tcW w:w="487" w:type="pct"/>
                  <w:vMerge w:val="continue"/>
                  <w:tcBorders>
                    <w:top w:val="nil"/>
                  </w:tcBorders>
                  <w:vAlign w:val="center"/>
                </w:tcPr>
                <w:p>
                  <w:pPr>
                    <w:pStyle w:val="47"/>
                    <w:rPr>
                      <w:b w:val="0"/>
                      <w:color w:val="auto"/>
                    </w:rPr>
                  </w:pPr>
                </w:p>
              </w:tc>
              <w:tc>
                <w:tcPr>
                  <w:tcW w:w="637" w:type="pct"/>
                  <w:vMerge w:val="continue"/>
                  <w:tcBorders>
                    <w:top w:val="nil"/>
                  </w:tcBorders>
                  <w:vAlign w:val="center"/>
                </w:tcPr>
                <w:p>
                  <w:pPr>
                    <w:pStyle w:val="47"/>
                    <w:rPr>
                      <w:b w:val="0"/>
                      <w:color w:val="auto"/>
                    </w:rPr>
                  </w:pPr>
                </w:p>
              </w:tc>
              <w:tc>
                <w:tcPr>
                  <w:tcW w:w="1022" w:type="pct"/>
                  <w:vMerge w:val="continue"/>
                  <w:tcBorders>
                    <w:top w:val="nil"/>
                  </w:tcBorders>
                  <w:vAlign w:val="center"/>
                </w:tcPr>
                <w:p>
                  <w:pPr>
                    <w:pStyle w:val="47"/>
                    <w:rPr>
                      <w:b w:val="0"/>
                      <w:color w:val="auto"/>
                    </w:rPr>
                  </w:pPr>
                </w:p>
              </w:tc>
              <w:tc>
                <w:tcPr>
                  <w:tcW w:w="286" w:type="pct"/>
                  <w:vMerge w:val="continue"/>
                  <w:tcBorders>
                    <w:top w:val="nil"/>
                  </w:tcBorders>
                  <w:vAlign w:val="center"/>
                </w:tcPr>
                <w:p>
                  <w:pPr>
                    <w:pStyle w:val="47"/>
                    <w:rPr>
                      <w:b w:val="0"/>
                      <w:color w:val="auto"/>
                    </w:rPr>
                  </w:pPr>
                </w:p>
              </w:tc>
              <w:tc>
                <w:tcPr>
                  <w:tcW w:w="396" w:type="pct"/>
                  <w:vAlign w:val="center"/>
                </w:tcPr>
                <w:p>
                  <w:pPr>
                    <w:pStyle w:val="47"/>
                    <w:rPr>
                      <w:b w:val="0"/>
                      <w:color w:val="auto"/>
                    </w:rPr>
                  </w:pPr>
                  <w:r>
                    <w:rPr>
                      <w:b w:val="0"/>
                      <w:color w:val="auto"/>
                    </w:rPr>
                    <w:t>编号</w:t>
                  </w:r>
                </w:p>
              </w:tc>
              <w:tc>
                <w:tcPr>
                  <w:tcW w:w="238" w:type="pct"/>
                  <w:vAlign w:val="center"/>
                </w:tcPr>
                <w:p>
                  <w:pPr>
                    <w:pStyle w:val="47"/>
                    <w:rPr>
                      <w:b w:val="0"/>
                      <w:color w:val="auto"/>
                    </w:rPr>
                  </w:pPr>
                  <w:r>
                    <w:rPr>
                      <w:b w:val="0"/>
                      <w:color w:val="auto"/>
                    </w:rPr>
                    <w:t>内径</w:t>
                  </w:r>
                </w:p>
                <w:p>
                  <w:pPr>
                    <w:pStyle w:val="47"/>
                    <w:rPr>
                      <w:b w:val="0"/>
                      <w:color w:val="auto"/>
                    </w:rPr>
                  </w:pPr>
                  <w:r>
                    <w:rPr>
                      <w:b w:val="0"/>
                      <w:color w:val="auto"/>
                    </w:rPr>
                    <w:t>/m</w:t>
                  </w:r>
                </w:p>
              </w:tc>
              <w:tc>
                <w:tcPr>
                  <w:tcW w:w="223" w:type="pct"/>
                  <w:vAlign w:val="center"/>
                </w:tcPr>
                <w:p>
                  <w:pPr>
                    <w:pStyle w:val="47"/>
                    <w:rPr>
                      <w:b w:val="0"/>
                      <w:color w:val="auto"/>
                    </w:rPr>
                  </w:pPr>
                  <w:r>
                    <w:rPr>
                      <w:b w:val="0"/>
                      <w:color w:val="auto"/>
                    </w:rPr>
                    <w:t>高度</w:t>
                  </w:r>
                </w:p>
                <w:p>
                  <w:pPr>
                    <w:pStyle w:val="47"/>
                    <w:rPr>
                      <w:b w:val="0"/>
                      <w:color w:val="auto"/>
                    </w:rPr>
                  </w:pPr>
                  <w:r>
                    <w:rPr>
                      <w:b w:val="0"/>
                      <w:color w:val="auto"/>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567" w:type="pct"/>
                  <w:vAlign w:val="center"/>
                </w:tcPr>
                <w:p>
                  <w:pPr>
                    <w:pStyle w:val="47"/>
                    <w:rPr>
                      <w:b w:val="0"/>
                      <w:color w:val="auto"/>
                    </w:rPr>
                  </w:pPr>
                  <w:r>
                    <w:rPr>
                      <w:b w:val="0"/>
                      <w:color w:val="auto"/>
                    </w:rPr>
                    <w:t>破碎区</w:t>
                  </w:r>
                </w:p>
              </w:tc>
              <w:tc>
                <w:tcPr>
                  <w:tcW w:w="502" w:type="pct"/>
                  <w:vAlign w:val="center"/>
                </w:tcPr>
                <w:p>
                  <w:pPr>
                    <w:pStyle w:val="47"/>
                    <w:rPr>
                      <w:b w:val="0"/>
                      <w:color w:val="auto"/>
                    </w:rPr>
                  </w:pPr>
                  <w:r>
                    <w:rPr>
                      <w:rFonts w:hint="eastAsia"/>
                      <w:b w:val="0"/>
                      <w:color w:val="auto"/>
                    </w:rPr>
                    <w:t>0.003375</w:t>
                  </w:r>
                </w:p>
              </w:tc>
              <w:tc>
                <w:tcPr>
                  <w:tcW w:w="637" w:type="pct"/>
                  <w:vAlign w:val="center"/>
                </w:tcPr>
                <w:p>
                  <w:pPr>
                    <w:pStyle w:val="47"/>
                    <w:rPr>
                      <w:b w:val="0"/>
                      <w:color w:val="auto"/>
                    </w:rPr>
                  </w:pPr>
                  <w:r>
                    <w:rPr>
                      <w:rFonts w:hint="eastAsia"/>
                      <w:b w:val="0"/>
                      <w:color w:val="auto"/>
                    </w:rPr>
                    <w:t>0.07</w:t>
                  </w:r>
                </w:p>
              </w:tc>
              <w:tc>
                <w:tcPr>
                  <w:tcW w:w="487" w:type="pct"/>
                  <w:vAlign w:val="center"/>
                </w:tcPr>
                <w:p>
                  <w:pPr>
                    <w:pStyle w:val="47"/>
                    <w:rPr>
                      <w:b w:val="0"/>
                      <w:color w:val="auto"/>
                    </w:rPr>
                  </w:pPr>
                  <w:r>
                    <w:rPr>
                      <w:rFonts w:hint="eastAsia"/>
                      <w:b w:val="0"/>
                      <w:color w:val="auto"/>
                    </w:rPr>
                    <w:t>0.00017</w:t>
                  </w:r>
                </w:p>
              </w:tc>
              <w:tc>
                <w:tcPr>
                  <w:tcW w:w="637" w:type="pct"/>
                  <w:vAlign w:val="center"/>
                </w:tcPr>
                <w:p>
                  <w:pPr>
                    <w:pStyle w:val="47"/>
                    <w:rPr>
                      <w:b w:val="0"/>
                      <w:color w:val="auto"/>
                    </w:rPr>
                  </w:pPr>
                  <w:r>
                    <w:rPr>
                      <w:rFonts w:hint="eastAsia"/>
                      <w:b w:val="0"/>
                      <w:color w:val="auto"/>
                    </w:rPr>
                    <w:t>0.003</w:t>
                  </w:r>
                </w:p>
              </w:tc>
              <w:tc>
                <w:tcPr>
                  <w:tcW w:w="1022" w:type="pct"/>
                  <w:vAlign w:val="center"/>
                </w:tcPr>
                <w:p>
                  <w:pPr>
                    <w:pStyle w:val="47"/>
                    <w:rPr>
                      <w:b w:val="0"/>
                      <w:color w:val="auto"/>
                    </w:rPr>
                  </w:pPr>
                  <w:r>
                    <w:rPr>
                      <w:b w:val="0"/>
                      <w:color w:val="auto"/>
                    </w:rPr>
                    <w:t>集气罩+袋式除尘，风机风量10000m</w:t>
                  </w:r>
                  <w:r>
                    <w:rPr>
                      <w:b w:val="0"/>
                      <w:color w:val="auto"/>
                      <w:vertAlign w:val="superscript"/>
                    </w:rPr>
                    <w:t>3</w:t>
                  </w:r>
                  <w:r>
                    <w:rPr>
                      <w:b w:val="0"/>
                      <w:color w:val="auto"/>
                    </w:rPr>
                    <w:t>/h</w:t>
                  </w:r>
                </w:p>
              </w:tc>
              <w:tc>
                <w:tcPr>
                  <w:tcW w:w="286" w:type="pct"/>
                  <w:vAlign w:val="center"/>
                </w:tcPr>
                <w:p>
                  <w:pPr>
                    <w:pStyle w:val="47"/>
                    <w:rPr>
                      <w:b w:val="0"/>
                      <w:color w:val="auto"/>
                    </w:rPr>
                  </w:pPr>
                  <w:r>
                    <w:rPr>
                      <w:b w:val="0"/>
                      <w:color w:val="auto"/>
                    </w:rPr>
                    <w:t>95%</w:t>
                  </w:r>
                </w:p>
              </w:tc>
              <w:tc>
                <w:tcPr>
                  <w:tcW w:w="396" w:type="pct"/>
                  <w:vAlign w:val="center"/>
                </w:tcPr>
                <w:p>
                  <w:pPr>
                    <w:pStyle w:val="47"/>
                    <w:rPr>
                      <w:b w:val="0"/>
                      <w:color w:val="auto"/>
                    </w:rPr>
                  </w:pPr>
                  <w:r>
                    <w:rPr>
                      <w:b w:val="0"/>
                      <w:color w:val="auto"/>
                    </w:rPr>
                    <w:t>DA003</w:t>
                  </w:r>
                </w:p>
              </w:tc>
              <w:tc>
                <w:tcPr>
                  <w:tcW w:w="238" w:type="pct"/>
                  <w:vAlign w:val="center"/>
                </w:tcPr>
                <w:p>
                  <w:pPr>
                    <w:pStyle w:val="47"/>
                    <w:rPr>
                      <w:b w:val="0"/>
                      <w:color w:val="auto"/>
                    </w:rPr>
                  </w:pPr>
                  <w:r>
                    <w:rPr>
                      <w:b w:val="0"/>
                      <w:color w:val="auto"/>
                    </w:rPr>
                    <w:t>0.</w:t>
                  </w:r>
                  <w:r>
                    <w:rPr>
                      <w:rFonts w:hint="eastAsia"/>
                      <w:b w:val="0"/>
                      <w:color w:val="auto"/>
                    </w:rPr>
                    <w:t>4</w:t>
                  </w:r>
                </w:p>
              </w:tc>
              <w:tc>
                <w:tcPr>
                  <w:tcW w:w="223" w:type="pct"/>
                  <w:vAlign w:val="center"/>
                </w:tcPr>
                <w:p>
                  <w:pPr>
                    <w:pStyle w:val="47"/>
                    <w:rPr>
                      <w:b w:val="0"/>
                      <w:color w:val="auto"/>
                    </w:rPr>
                  </w:pPr>
                  <w:r>
                    <w:rPr>
                      <w:b w:val="0"/>
                      <w:color w:val="auto"/>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10"/>
                  <w:vAlign w:val="center"/>
                </w:tcPr>
                <w:p>
                  <w:pPr>
                    <w:pStyle w:val="47"/>
                    <w:rPr>
                      <w:b w:val="0"/>
                      <w:color w:val="auto"/>
                    </w:rPr>
                  </w:pPr>
                  <w:r>
                    <w:rPr>
                      <w:b w:val="0"/>
                      <w:color w:val="auto"/>
                    </w:rPr>
                    <w:t>注：项目每年生产210天，每天生产24h。</w:t>
                  </w:r>
                </w:p>
              </w:tc>
            </w:tr>
          </w:tbl>
          <w:p>
            <w:pPr>
              <w:snapToGrid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⑤异味</w:t>
            </w:r>
          </w:p>
          <w:p>
            <w:pPr>
              <w:snapToGrid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本项目区生产车间</w:t>
            </w:r>
            <w:r>
              <w:rPr>
                <w:rFonts w:hint="eastAsia" w:ascii="Times New Roman" w:hAnsi="Times New Roman" w:cs="Times New Roman"/>
                <w:lang w:val="en-US"/>
              </w:rPr>
              <w:t>聚乙烯颗粒</w:t>
            </w:r>
            <w:r>
              <w:rPr>
                <w:rFonts w:ascii="Times New Roman" w:hAnsi="Times New Roman" w:cs="Times New Roman"/>
                <w:lang w:val="en-US"/>
              </w:rPr>
              <w:t>熔融过程中会有一定异味产生。车间设置排风扇，通过厂区绿化吸收，减小车间异味的产生；本项目区内生活垃圾在收集、运输过程中由于清洁、消毒、转运不及时、不到位而产生臭味，在垃圾外运装卸的时候会有臭味的逸散，局部空气臭气浓度增加。项目拟采用封闭式垃圾桶，垃圾处于封闭状态，且通过自然稀释扩散。</w:t>
            </w:r>
          </w:p>
          <w:p>
            <w:pPr>
              <w:snapToGrid w:val="0"/>
              <w:spacing w:line="360" w:lineRule="auto"/>
              <w:ind w:firstLine="480" w:firstLineChars="200"/>
              <w:rPr>
                <w:rFonts w:ascii="Times New Roman" w:hAnsi="Times New Roman" w:cs="Times New Roman"/>
              </w:rPr>
            </w:pPr>
            <w:r>
              <w:rPr>
                <w:rFonts w:ascii="Times New Roman" w:hAnsi="Times New Roman" w:cs="Times New Roman"/>
              </w:rPr>
              <w:t>有组织排放废气汇总见表4-</w:t>
            </w:r>
            <w:r>
              <w:rPr>
                <w:rFonts w:ascii="Times New Roman" w:hAnsi="Times New Roman" w:cs="Times New Roman"/>
                <w:lang w:val="en-US"/>
              </w:rPr>
              <w:t>4</w:t>
            </w:r>
            <w:r>
              <w:rPr>
                <w:rFonts w:ascii="Times New Roman" w:hAnsi="Times New Roman" w:cs="Times New Roman"/>
              </w:rPr>
              <w:t>。</w:t>
            </w:r>
          </w:p>
          <w:p>
            <w:pPr>
              <w:pStyle w:val="10"/>
            </w:pPr>
            <w:r>
              <w:t>表4-4</w:t>
            </w:r>
            <w:r>
              <w:tab/>
            </w:r>
            <w:r>
              <w:t>项目有组织废气产生及排放情况汇总</w:t>
            </w:r>
          </w:p>
          <w:tbl>
            <w:tblPr>
              <w:tblStyle w:val="26"/>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1"/>
              <w:gridCol w:w="16"/>
              <w:gridCol w:w="370"/>
              <w:gridCol w:w="198"/>
              <w:gridCol w:w="600"/>
              <w:gridCol w:w="347"/>
              <w:gridCol w:w="678"/>
              <w:gridCol w:w="798"/>
              <w:gridCol w:w="1038"/>
              <w:gridCol w:w="1612"/>
              <w:gridCol w:w="398"/>
              <w:gridCol w:w="642"/>
              <w:gridCol w:w="421"/>
              <w:gridCol w:w="4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6" w:type="pct"/>
                  <w:gridSpan w:val="3"/>
                  <w:vMerge w:val="restart"/>
                  <w:vAlign w:val="center"/>
                </w:tcPr>
                <w:p>
                  <w:pPr>
                    <w:pStyle w:val="47"/>
                    <w:rPr>
                      <w:b w:val="0"/>
                      <w:color w:val="auto"/>
                    </w:rPr>
                  </w:pPr>
                  <w:r>
                    <w:rPr>
                      <w:b w:val="0"/>
                      <w:color w:val="auto"/>
                    </w:rPr>
                    <w:t>污染源</w:t>
                  </w:r>
                </w:p>
              </w:tc>
              <w:tc>
                <w:tcPr>
                  <w:tcW w:w="435" w:type="pct"/>
                  <w:gridSpan w:val="2"/>
                  <w:vMerge w:val="restart"/>
                  <w:vAlign w:val="center"/>
                </w:tcPr>
                <w:p>
                  <w:pPr>
                    <w:pStyle w:val="47"/>
                    <w:rPr>
                      <w:b w:val="0"/>
                      <w:color w:val="auto"/>
                    </w:rPr>
                  </w:pPr>
                  <w:r>
                    <w:rPr>
                      <w:b w:val="0"/>
                      <w:color w:val="auto"/>
                    </w:rPr>
                    <w:t>产生量</w:t>
                  </w:r>
                </w:p>
                <w:p>
                  <w:pPr>
                    <w:pStyle w:val="47"/>
                    <w:rPr>
                      <w:b w:val="0"/>
                      <w:color w:val="auto"/>
                    </w:rPr>
                  </w:pPr>
                  <w:r>
                    <w:rPr>
                      <w:b w:val="0"/>
                      <w:color w:val="auto"/>
                    </w:rPr>
                    <w:t>（t/a）</w:t>
                  </w:r>
                </w:p>
              </w:tc>
              <w:tc>
                <w:tcPr>
                  <w:tcW w:w="637" w:type="pct"/>
                  <w:gridSpan w:val="2"/>
                  <w:vMerge w:val="restart"/>
                  <w:vAlign w:val="center"/>
                </w:tcPr>
                <w:p>
                  <w:pPr>
                    <w:pStyle w:val="47"/>
                    <w:rPr>
                      <w:b w:val="0"/>
                      <w:color w:val="auto"/>
                    </w:rPr>
                  </w:pPr>
                  <w:r>
                    <w:rPr>
                      <w:b w:val="0"/>
                      <w:color w:val="auto"/>
                    </w:rPr>
                    <w:t>产生浓度</w:t>
                  </w:r>
                </w:p>
                <w:p>
                  <w:pPr>
                    <w:pStyle w:val="47"/>
                    <w:rPr>
                      <w:b w:val="0"/>
                      <w:color w:val="auto"/>
                    </w:rPr>
                  </w:pPr>
                  <w:r>
                    <w:rPr>
                      <w:b w:val="0"/>
                      <w:color w:val="auto"/>
                    </w:rPr>
                    <w:t>（mg/m</w:t>
                  </w:r>
                  <w:r>
                    <w:rPr>
                      <w:b w:val="0"/>
                      <w:color w:val="auto"/>
                      <w:vertAlign w:val="superscript"/>
                    </w:rPr>
                    <w:t>3</w:t>
                  </w:r>
                  <w:r>
                    <w:rPr>
                      <w:b w:val="0"/>
                      <w:color w:val="auto"/>
                    </w:rPr>
                    <w:t>）</w:t>
                  </w:r>
                </w:p>
              </w:tc>
              <w:tc>
                <w:tcPr>
                  <w:tcW w:w="435" w:type="pct"/>
                  <w:vMerge w:val="restart"/>
                  <w:vAlign w:val="center"/>
                </w:tcPr>
                <w:p>
                  <w:pPr>
                    <w:pStyle w:val="47"/>
                    <w:rPr>
                      <w:b w:val="0"/>
                      <w:color w:val="auto"/>
                    </w:rPr>
                  </w:pPr>
                  <w:r>
                    <w:rPr>
                      <w:b w:val="0"/>
                      <w:color w:val="auto"/>
                    </w:rPr>
                    <w:t>排放量</w:t>
                  </w:r>
                </w:p>
                <w:p>
                  <w:pPr>
                    <w:pStyle w:val="47"/>
                    <w:rPr>
                      <w:b w:val="0"/>
                      <w:color w:val="auto"/>
                    </w:rPr>
                  </w:pPr>
                  <w:r>
                    <w:rPr>
                      <w:b w:val="0"/>
                      <w:color w:val="auto"/>
                    </w:rPr>
                    <w:t>（t/a）</w:t>
                  </w:r>
                </w:p>
              </w:tc>
              <w:tc>
                <w:tcPr>
                  <w:tcW w:w="637" w:type="pct"/>
                  <w:vMerge w:val="restart"/>
                  <w:vAlign w:val="center"/>
                </w:tcPr>
                <w:p>
                  <w:pPr>
                    <w:pStyle w:val="47"/>
                    <w:rPr>
                      <w:b w:val="0"/>
                      <w:color w:val="auto"/>
                    </w:rPr>
                  </w:pPr>
                  <w:r>
                    <w:rPr>
                      <w:b w:val="0"/>
                      <w:color w:val="auto"/>
                    </w:rPr>
                    <w:t>排放浓度</w:t>
                  </w:r>
                </w:p>
                <w:p>
                  <w:pPr>
                    <w:pStyle w:val="47"/>
                    <w:rPr>
                      <w:b w:val="0"/>
                      <w:color w:val="auto"/>
                    </w:rPr>
                  </w:pPr>
                  <w:r>
                    <w:rPr>
                      <w:b w:val="0"/>
                      <w:color w:val="auto"/>
                    </w:rPr>
                    <w:t>（mg/m</w:t>
                  </w:r>
                  <w:r>
                    <w:rPr>
                      <w:b w:val="0"/>
                      <w:color w:val="auto"/>
                      <w:vertAlign w:val="superscript"/>
                    </w:rPr>
                    <w:t>3</w:t>
                  </w:r>
                  <w:r>
                    <w:rPr>
                      <w:b w:val="0"/>
                      <w:color w:val="auto"/>
                    </w:rPr>
                    <w:t>）</w:t>
                  </w:r>
                </w:p>
              </w:tc>
              <w:tc>
                <w:tcPr>
                  <w:tcW w:w="984" w:type="pct"/>
                  <w:vMerge w:val="restart"/>
                  <w:vAlign w:val="center"/>
                </w:tcPr>
                <w:p>
                  <w:pPr>
                    <w:pStyle w:val="47"/>
                    <w:rPr>
                      <w:b w:val="0"/>
                      <w:color w:val="auto"/>
                    </w:rPr>
                  </w:pPr>
                  <w:r>
                    <w:rPr>
                      <w:b w:val="0"/>
                      <w:color w:val="auto"/>
                    </w:rPr>
                    <w:t>处理措施</w:t>
                  </w:r>
                </w:p>
              </w:tc>
              <w:tc>
                <w:tcPr>
                  <w:tcW w:w="249" w:type="pct"/>
                  <w:vMerge w:val="restart"/>
                  <w:vAlign w:val="center"/>
                </w:tcPr>
                <w:p>
                  <w:pPr>
                    <w:pStyle w:val="47"/>
                    <w:rPr>
                      <w:b w:val="0"/>
                      <w:color w:val="auto"/>
                    </w:rPr>
                  </w:pPr>
                  <w:r>
                    <w:rPr>
                      <w:b w:val="0"/>
                      <w:color w:val="auto"/>
                    </w:rPr>
                    <w:t>处理效率</w:t>
                  </w:r>
                </w:p>
              </w:tc>
              <w:tc>
                <w:tcPr>
                  <w:tcW w:w="952" w:type="pct"/>
                  <w:gridSpan w:val="3"/>
                  <w:vAlign w:val="center"/>
                </w:tcPr>
                <w:p>
                  <w:pPr>
                    <w:pStyle w:val="47"/>
                    <w:rPr>
                      <w:b w:val="0"/>
                      <w:color w:val="auto"/>
                    </w:rPr>
                  </w:pPr>
                  <w:r>
                    <w:rPr>
                      <w:b w:val="0"/>
                      <w:color w:val="auto"/>
                    </w:rPr>
                    <w:t>排气筒参数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666" w:type="pct"/>
                  <w:gridSpan w:val="3"/>
                  <w:vMerge w:val="continue"/>
                  <w:vAlign w:val="center"/>
                </w:tcPr>
                <w:p>
                  <w:pPr>
                    <w:pStyle w:val="47"/>
                    <w:rPr>
                      <w:b w:val="0"/>
                      <w:color w:val="auto"/>
                    </w:rPr>
                  </w:pPr>
                </w:p>
              </w:tc>
              <w:tc>
                <w:tcPr>
                  <w:tcW w:w="435" w:type="pct"/>
                  <w:gridSpan w:val="2"/>
                  <w:vMerge w:val="continue"/>
                  <w:tcBorders>
                    <w:top w:val="nil"/>
                  </w:tcBorders>
                  <w:vAlign w:val="center"/>
                </w:tcPr>
                <w:p>
                  <w:pPr>
                    <w:pStyle w:val="47"/>
                    <w:rPr>
                      <w:b w:val="0"/>
                      <w:color w:val="auto"/>
                    </w:rPr>
                  </w:pPr>
                </w:p>
              </w:tc>
              <w:tc>
                <w:tcPr>
                  <w:tcW w:w="637" w:type="pct"/>
                  <w:gridSpan w:val="2"/>
                  <w:vMerge w:val="continue"/>
                  <w:tcBorders>
                    <w:top w:val="nil"/>
                  </w:tcBorders>
                  <w:vAlign w:val="center"/>
                </w:tcPr>
                <w:p>
                  <w:pPr>
                    <w:pStyle w:val="47"/>
                    <w:rPr>
                      <w:b w:val="0"/>
                      <w:color w:val="auto"/>
                    </w:rPr>
                  </w:pPr>
                </w:p>
              </w:tc>
              <w:tc>
                <w:tcPr>
                  <w:tcW w:w="435" w:type="pct"/>
                  <w:vMerge w:val="continue"/>
                  <w:tcBorders>
                    <w:top w:val="nil"/>
                  </w:tcBorders>
                  <w:vAlign w:val="center"/>
                </w:tcPr>
                <w:p>
                  <w:pPr>
                    <w:pStyle w:val="47"/>
                    <w:rPr>
                      <w:b w:val="0"/>
                      <w:color w:val="auto"/>
                    </w:rPr>
                  </w:pPr>
                </w:p>
              </w:tc>
              <w:tc>
                <w:tcPr>
                  <w:tcW w:w="637" w:type="pct"/>
                  <w:vMerge w:val="continue"/>
                  <w:tcBorders>
                    <w:top w:val="nil"/>
                  </w:tcBorders>
                  <w:vAlign w:val="center"/>
                </w:tcPr>
                <w:p>
                  <w:pPr>
                    <w:pStyle w:val="47"/>
                    <w:rPr>
                      <w:b w:val="0"/>
                      <w:color w:val="auto"/>
                    </w:rPr>
                  </w:pPr>
                </w:p>
              </w:tc>
              <w:tc>
                <w:tcPr>
                  <w:tcW w:w="984" w:type="pct"/>
                  <w:vMerge w:val="continue"/>
                  <w:tcBorders>
                    <w:top w:val="nil"/>
                  </w:tcBorders>
                  <w:vAlign w:val="center"/>
                </w:tcPr>
                <w:p>
                  <w:pPr>
                    <w:pStyle w:val="47"/>
                    <w:rPr>
                      <w:b w:val="0"/>
                      <w:color w:val="auto"/>
                    </w:rPr>
                  </w:pPr>
                </w:p>
              </w:tc>
              <w:tc>
                <w:tcPr>
                  <w:tcW w:w="249" w:type="pct"/>
                  <w:vMerge w:val="continue"/>
                  <w:tcBorders>
                    <w:top w:val="nil"/>
                  </w:tcBorders>
                  <w:vAlign w:val="center"/>
                </w:tcPr>
                <w:p>
                  <w:pPr>
                    <w:pStyle w:val="47"/>
                    <w:rPr>
                      <w:b w:val="0"/>
                      <w:color w:val="auto"/>
                    </w:rPr>
                  </w:pPr>
                </w:p>
              </w:tc>
              <w:tc>
                <w:tcPr>
                  <w:tcW w:w="397" w:type="pct"/>
                  <w:vAlign w:val="center"/>
                </w:tcPr>
                <w:p>
                  <w:pPr>
                    <w:pStyle w:val="47"/>
                    <w:rPr>
                      <w:b w:val="0"/>
                      <w:color w:val="auto"/>
                    </w:rPr>
                  </w:pPr>
                  <w:r>
                    <w:rPr>
                      <w:b w:val="0"/>
                      <w:color w:val="auto"/>
                    </w:rPr>
                    <w:t>编号</w:t>
                  </w:r>
                </w:p>
              </w:tc>
              <w:tc>
                <w:tcPr>
                  <w:tcW w:w="259" w:type="pct"/>
                  <w:vAlign w:val="center"/>
                </w:tcPr>
                <w:p>
                  <w:pPr>
                    <w:pStyle w:val="47"/>
                    <w:rPr>
                      <w:b w:val="0"/>
                      <w:color w:val="auto"/>
                    </w:rPr>
                  </w:pPr>
                  <w:r>
                    <w:rPr>
                      <w:b w:val="0"/>
                      <w:color w:val="auto"/>
                    </w:rPr>
                    <w:t>内径</w:t>
                  </w:r>
                </w:p>
                <w:p>
                  <w:pPr>
                    <w:pStyle w:val="47"/>
                    <w:rPr>
                      <w:b w:val="0"/>
                      <w:color w:val="auto"/>
                    </w:rPr>
                  </w:pPr>
                  <w:r>
                    <w:rPr>
                      <w:b w:val="0"/>
                      <w:color w:val="auto"/>
                    </w:rPr>
                    <w:t>/m</w:t>
                  </w:r>
                </w:p>
              </w:tc>
              <w:tc>
                <w:tcPr>
                  <w:tcW w:w="295" w:type="pct"/>
                  <w:vAlign w:val="center"/>
                </w:tcPr>
                <w:p>
                  <w:pPr>
                    <w:pStyle w:val="47"/>
                    <w:rPr>
                      <w:b w:val="0"/>
                      <w:color w:val="auto"/>
                    </w:rPr>
                  </w:pPr>
                  <w:r>
                    <w:rPr>
                      <w:b w:val="0"/>
                      <w:color w:val="auto"/>
                    </w:rPr>
                    <w:t>高度</w:t>
                  </w:r>
                </w:p>
                <w:p>
                  <w:pPr>
                    <w:pStyle w:val="47"/>
                    <w:rPr>
                      <w:b w:val="0"/>
                      <w:color w:val="auto"/>
                    </w:rPr>
                  </w:pPr>
                  <w:r>
                    <w:rPr>
                      <w:b w:val="0"/>
                      <w:color w:val="auto"/>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15" w:type="pct"/>
                  <w:vAlign w:val="center"/>
                </w:tcPr>
                <w:p>
                  <w:pPr>
                    <w:pStyle w:val="47"/>
                    <w:rPr>
                      <w:b w:val="0"/>
                      <w:color w:val="auto"/>
                    </w:rPr>
                  </w:pPr>
                  <w:r>
                    <w:rPr>
                      <w:b w:val="0"/>
                      <w:bCs w:val="0"/>
                      <w:spacing w:val="-10"/>
                    </w:rPr>
                    <w:t>食品用塑料包装容器挤出生产</w:t>
                  </w:r>
                  <w:r>
                    <w:rPr>
                      <w:b w:val="0"/>
                      <w:color w:val="auto"/>
                    </w:rPr>
                    <w:t>线</w:t>
                  </w:r>
                </w:p>
              </w:tc>
              <w:tc>
                <w:tcPr>
                  <w:tcW w:w="251" w:type="pct"/>
                  <w:gridSpan w:val="2"/>
                  <w:vAlign w:val="center"/>
                </w:tcPr>
                <w:p>
                  <w:pPr>
                    <w:pStyle w:val="47"/>
                    <w:rPr>
                      <w:b w:val="0"/>
                      <w:color w:val="auto"/>
                    </w:rPr>
                  </w:pPr>
                  <w:r>
                    <w:rPr>
                      <w:b w:val="0"/>
                      <w:color w:val="auto"/>
                    </w:rPr>
                    <w:t>非甲烷总烃</w:t>
                  </w:r>
                </w:p>
              </w:tc>
              <w:tc>
                <w:tcPr>
                  <w:tcW w:w="435" w:type="pct"/>
                  <w:gridSpan w:val="2"/>
                  <w:vAlign w:val="center"/>
                </w:tcPr>
                <w:p>
                  <w:pPr>
                    <w:pStyle w:val="47"/>
                    <w:rPr>
                      <w:b w:val="0"/>
                      <w:color w:val="auto"/>
                    </w:rPr>
                  </w:pPr>
                  <w:r>
                    <w:rPr>
                      <w:b w:val="0"/>
                      <w:color w:val="auto"/>
                    </w:rPr>
                    <w:t>0.5589</w:t>
                  </w:r>
                </w:p>
              </w:tc>
              <w:tc>
                <w:tcPr>
                  <w:tcW w:w="637" w:type="pct"/>
                  <w:gridSpan w:val="2"/>
                  <w:vAlign w:val="center"/>
                </w:tcPr>
                <w:p>
                  <w:pPr>
                    <w:pStyle w:val="47"/>
                    <w:rPr>
                      <w:b w:val="0"/>
                      <w:color w:val="auto"/>
                    </w:rPr>
                  </w:pPr>
                  <w:r>
                    <w:rPr>
                      <w:b w:val="0"/>
                      <w:color w:val="auto"/>
                    </w:rPr>
                    <w:t>11</w:t>
                  </w:r>
                </w:p>
              </w:tc>
              <w:tc>
                <w:tcPr>
                  <w:tcW w:w="435" w:type="pct"/>
                  <w:vAlign w:val="center"/>
                </w:tcPr>
                <w:p>
                  <w:pPr>
                    <w:pStyle w:val="47"/>
                    <w:rPr>
                      <w:b w:val="0"/>
                      <w:color w:val="auto"/>
                    </w:rPr>
                  </w:pPr>
                  <w:r>
                    <w:rPr>
                      <w:b w:val="0"/>
                      <w:color w:val="auto"/>
                    </w:rPr>
                    <w:t>0.178848</w:t>
                  </w:r>
                </w:p>
              </w:tc>
              <w:tc>
                <w:tcPr>
                  <w:tcW w:w="637" w:type="pct"/>
                  <w:vAlign w:val="center"/>
                </w:tcPr>
                <w:p>
                  <w:pPr>
                    <w:pStyle w:val="47"/>
                    <w:rPr>
                      <w:b w:val="0"/>
                      <w:color w:val="auto"/>
                    </w:rPr>
                  </w:pPr>
                  <w:r>
                    <w:rPr>
                      <w:b w:val="0"/>
                      <w:color w:val="auto"/>
                    </w:rPr>
                    <w:t>3.5</w:t>
                  </w:r>
                </w:p>
              </w:tc>
              <w:tc>
                <w:tcPr>
                  <w:tcW w:w="984" w:type="pct"/>
                  <w:vAlign w:val="center"/>
                </w:tcPr>
                <w:p>
                  <w:pPr>
                    <w:pStyle w:val="47"/>
                    <w:rPr>
                      <w:b w:val="0"/>
                      <w:color w:val="auto"/>
                    </w:rPr>
                  </w:pPr>
                  <w:r>
                    <w:rPr>
                      <w:b w:val="0"/>
                      <w:color w:val="auto"/>
                    </w:rPr>
                    <w:t>集气罩+UV光氧</w:t>
                  </w:r>
                  <w:r>
                    <w:rPr>
                      <w:rFonts w:hint="eastAsia"/>
                      <w:b w:val="0"/>
                      <w:color w:val="auto"/>
                      <w:lang w:val="en-US" w:eastAsia="zh-CN"/>
                    </w:rPr>
                    <w:t>催化</w:t>
                  </w:r>
                  <w:r>
                    <w:rPr>
                      <w:b w:val="0"/>
                      <w:color w:val="auto"/>
                    </w:rPr>
                    <w:t>+活性炭吸附，风机风量10000m</w:t>
                  </w:r>
                  <w:r>
                    <w:rPr>
                      <w:b w:val="0"/>
                      <w:color w:val="auto"/>
                      <w:vertAlign w:val="superscript"/>
                    </w:rPr>
                    <w:t>3</w:t>
                  </w:r>
                  <w:r>
                    <w:rPr>
                      <w:b w:val="0"/>
                      <w:color w:val="auto"/>
                    </w:rPr>
                    <w:t>/h</w:t>
                  </w:r>
                </w:p>
              </w:tc>
              <w:tc>
                <w:tcPr>
                  <w:tcW w:w="249" w:type="pct"/>
                  <w:vAlign w:val="center"/>
                </w:tcPr>
                <w:p>
                  <w:pPr>
                    <w:pStyle w:val="47"/>
                    <w:rPr>
                      <w:b w:val="0"/>
                      <w:color w:val="auto"/>
                    </w:rPr>
                  </w:pPr>
                  <w:r>
                    <w:rPr>
                      <w:rFonts w:hint="eastAsia"/>
                      <w:b w:val="0"/>
                      <w:color w:val="auto"/>
                    </w:rPr>
                    <w:t>68</w:t>
                  </w:r>
                  <w:r>
                    <w:rPr>
                      <w:b w:val="0"/>
                      <w:color w:val="auto"/>
                    </w:rPr>
                    <w:t>%</w:t>
                  </w:r>
                </w:p>
              </w:tc>
              <w:tc>
                <w:tcPr>
                  <w:tcW w:w="397" w:type="pct"/>
                  <w:vAlign w:val="center"/>
                </w:tcPr>
                <w:p>
                  <w:pPr>
                    <w:pStyle w:val="47"/>
                    <w:rPr>
                      <w:b w:val="0"/>
                      <w:color w:val="auto"/>
                    </w:rPr>
                  </w:pPr>
                  <w:r>
                    <w:rPr>
                      <w:b w:val="0"/>
                      <w:color w:val="auto"/>
                    </w:rPr>
                    <w:t>DA001</w:t>
                  </w:r>
                </w:p>
              </w:tc>
              <w:tc>
                <w:tcPr>
                  <w:tcW w:w="259" w:type="pct"/>
                  <w:vAlign w:val="center"/>
                </w:tcPr>
                <w:p>
                  <w:pPr>
                    <w:pStyle w:val="47"/>
                    <w:rPr>
                      <w:b w:val="0"/>
                      <w:color w:val="auto"/>
                    </w:rPr>
                  </w:pPr>
                  <w:r>
                    <w:rPr>
                      <w:b w:val="0"/>
                      <w:color w:val="auto"/>
                    </w:rPr>
                    <w:t>0.</w:t>
                  </w:r>
                  <w:r>
                    <w:rPr>
                      <w:rFonts w:hint="eastAsia"/>
                      <w:b w:val="0"/>
                      <w:color w:val="auto"/>
                    </w:rPr>
                    <w:t>4</w:t>
                  </w:r>
                </w:p>
              </w:tc>
              <w:tc>
                <w:tcPr>
                  <w:tcW w:w="295" w:type="pct"/>
                  <w:vAlign w:val="center"/>
                </w:tcPr>
                <w:p>
                  <w:pPr>
                    <w:pStyle w:val="47"/>
                    <w:rPr>
                      <w:b w:val="0"/>
                      <w:color w:val="auto"/>
                    </w:rPr>
                  </w:pPr>
                  <w:r>
                    <w:rPr>
                      <w:b w:val="0"/>
                      <w:color w:val="auto"/>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15" w:type="pct"/>
                  <w:vAlign w:val="center"/>
                </w:tcPr>
                <w:p>
                  <w:pPr>
                    <w:pStyle w:val="47"/>
                    <w:rPr>
                      <w:b w:val="0"/>
                      <w:color w:val="auto"/>
                    </w:rPr>
                  </w:pPr>
                  <w:r>
                    <w:rPr>
                      <w:b w:val="0"/>
                      <w:bCs w:val="0"/>
                      <w:spacing w:val="-10"/>
                    </w:rPr>
                    <w:t>食品用塑料包装容器注塑生产</w:t>
                  </w:r>
                  <w:r>
                    <w:rPr>
                      <w:b w:val="0"/>
                      <w:color w:val="auto"/>
                    </w:rPr>
                    <w:t>线</w:t>
                  </w:r>
                </w:p>
              </w:tc>
              <w:tc>
                <w:tcPr>
                  <w:tcW w:w="251" w:type="pct"/>
                  <w:gridSpan w:val="2"/>
                  <w:vAlign w:val="center"/>
                </w:tcPr>
                <w:p>
                  <w:pPr>
                    <w:pStyle w:val="47"/>
                    <w:rPr>
                      <w:b w:val="0"/>
                      <w:color w:val="auto"/>
                    </w:rPr>
                  </w:pPr>
                  <w:r>
                    <w:rPr>
                      <w:b w:val="0"/>
                      <w:color w:val="auto"/>
                    </w:rPr>
                    <w:t>非甲烷总烃</w:t>
                  </w:r>
                </w:p>
              </w:tc>
              <w:tc>
                <w:tcPr>
                  <w:tcW w:w="710" w:type="dxa"/>
                  <w:gridSpan w:val="2"/>
                  <w:vAlign w:val="center"/>
                </w:tcPr>
                <w:p>
                  <w:pPr>
                    <w:pStyle w:val="47"/>
                    <w:rPr>
                      <w:b w:val="0"/>
                      <w:color w:val="auto"/>
                    </w:rPr>
                  </w:pPr>
                  <w:r>
                    <w:rPr>
                      <w:b w:val="0"/>
                      <w:color w:val="auto"/>
                    </w:rPr>
                    <w:t>0.0486</w:t>
                  </w:r>
                </w:p>
              </w:tc>
              <w:tc>
                <w:tcPr>
                  <w:tcW w:w="1039" w:type="dxa"/>
                  <w:gridSpan w:val="2"/>
                  <w:vAlign w:val="center"/>
                </w:tcPr>
                <w:p>
                  <w:pPr>
                    <w:pStyle w:val="47"/>
                    <w:rPr>
                      <w:b w:val="0"/>
                      <w:color w:val="auto"/>
                    </w:rPr>
                  </w:pPr>
                  <w:r>
                    <w:rPr>
                      <w:b w:val="0"/>
                      <w:color w:val="auto"/>
                    </w:rPr>
                    <w:t>1</w:t>
                  </w:r>
                </w:p>
              </w:tc>
              <w:tc>
                <w:tcPr>
                  <w:tcW w:w="710" w:type="dxa"/>
                  <w:vAlign w:val="center"/>
                </w:tcPr>
                <w:p>
                  <w:pPr>
                    <w:pStyle w:val="47"/>
                    <w:rPr>
                      <w:b w:val="0"/>
                      <w:color w:val="auto"/>
                    </w:rPr>
                  </w:pPr>
                  <w:r>
                    <w:rPr>
                      <w:b w:val="0"/>
                      <w:color w:val="auto"/>
                    </w:rPr>
                    <w:t>0.015552</w:t>
                  </w:r>
                </w:p>
              </w:tc>
              <w:tc>
                <w:tcPr>
                  <w:tcW w:w="1039" w:type="dxa"/>
                  <w:vAlign w:val="center"/>
                </w:tcPr>
                <w:p>
                  <w:pPr>
                    <w:pStyle w:val="47"/>
                    <w:rPr>
                      <w:b w:val="0"/>
                      <w:color w:val="auto"/>
                    </w:rPr>
                  </w:pPr>
                  <w:r>
                    <w:rPr>
                      <w:b w:val="0"/>
                      <w:bCs w:val="0"/>
                    </w:rPr>
                    <w:t>0.3</w:t>
                  </w:r>
                </w:p>
              </w:tc>
              <w:tc>
                <w:tcPr>
                  <w:tcW w:w="984" w:type="pct"/>
                  <w:vAlign w:val="center"/>
                </w:tcPr>
                <w:p>
                  <w:pPr>
                    <w:pStyle w:val="47"/>
                    <w:rPr>
                      <w:b w:val="0"/>
                      <w:color w:val="auto"/>
                    </w:rPr>
                  </w:pPr>
                  <w:r>
                    <w:rPr>
                      <w:b w:val="0"/>
                      <w:color w:val="auto"/>
                    </w:rPr>
                    <w:t>集气罩+UV光氧</w:t>
                  </w:r>
                  <w:r>
                    <w:rPr>
                      <w:rFonts w:hint="eastAsia"/>
                      <w:b w:val="0"/>
                      <w:color w:val="auto"/>
                      <w:lang w:val="en-US" w:eastAsia="zh-CN"/>
                    </w:rPr>
                    <w:t>催化</w:t>
                  </w:r>
                  <w:r>
                    <w:rPr>
                      <w:b w:val="0"/>
                      <w:color w:val="auto"/>
                    </w:rPr>
                    <w:t>+活性炭吸附，风机风量10000m</w:t>
                  </w:r>
                  <w:r>
                    <w:rPr>
                      <w:b w:val="0"/>
                      <w:color w:val="auto"/>
                      <w:vertAlign w:val="superscript"/>
                    </w:rPr>
                    <w:t>3</w:t>
                  </w:r>
                  <w:r>
                    <w:rPr>
                      <w:b w:val="0"/>
                      <w:color w:val="auto"/>
                    </w:rPr>
                    <w:t>/h</w:t>
                  </w:r>
                </w:p>
              </w:tc>
              <w:tc>
                <w:tcPr>
                  <w:tcW w:w="249" w:type="pct"/>
                  <w:vAlign w:val="center"/>
                </w:tcPr>
                <w:p>
                  <w:pPr>
                    <w:pStyle w:val="47"/>
                    <w:rPr>
                      <w:b w:val="0"/>
                      <w:color w:val="auto"/>
                    </w:rPr>
                  </w:pPr>
                  <w:r>
                    <w:rPr>
                      <w:rFonts w:hint="eastAsia"/>
                      <w:b w:val="0"/>
                      <w:color w:val="auto"/>
                    </w:rPr>
                    <w:t>68</w:t>
                  </w:r>
                  <w:r>
                    <w:rPr>
                      <w:b w:val="0"/>
                      <w:color w:val="auto"/>
                    </w:rPr>
                    <w:t>%</w:t>
                  </w:r>
                </w:p>
              </w:tc>
              <w:tc>
                <w:tcPr>
                  <w:tcW w:w="397" w:type="pct"/>
                  <w:vAlign w:val="center"/>
                </w:tcPr>
                <w:p>
                  <w:pPr>
                    <w:pStyle w:val="47"/>
                    <w:rPr>
                      <w:b w:val="0"/>
                      <w:color w:val="auto"/>
                    </w:rPr>
                  </w:pPr>
                  <w:r>
                    <w:rPr>
                      <w:b w:val="0"/>
                      <w:color w:val="auto"/>
                    </w:rPr>
                    <w:t>DA00</w:t>
                  </w:r>
                  <w:r>
                    <w:rPr>
                      <w:rFonts w:hint="eastAsia"/>
                      <w:b w:val="0"/>
                      <w:color w:val="auto"/>
                    </w:rPr>
                    <w:t>2</w:t>
                  </w:r>
                </w:p>
              </w:tc>
              <w:tc>
                <w:tcPr>
                  <w:tcW w:w="259" w:type="pct"/>
                  <w:vAlign w:val="center"/>
                </w:tcPr>
                <w:p>
                  <w:pPr>
                    <w:pStyle w:val="47"/>
                    <w:rPr>
                      <w:b w:val="0"/>
                      <w:color w:val="auto"/>
                    </w:rPr>
                  </w:pPr>
                  <w:r>
                    <w:rPr>
                      <w:b w:val="0"/>
                      <w:color w:val="auto"/>
                    </w:rPr>
                    <w:t>0.</w:t>
                  </w:r>
                  <w:r>
                    <w:rPr>
                      <w:rFonts w:hint="eastAsia"/>
                      <w:b w:val="0"/>
                      <w:color w:val="auto"/>
                    </w:rPr>
                    <w:t>4</w:t>
                  </w:r>
                </w:p>
              </w:tc>
              <w:tc>
                <w:tcPr>
                  <w:tcW w:w="295" w:type="pct"/>
                  <w:vAlign w:val="center"/>
                </w:tcPr>
                <w:p>
                  <w:pPr>
                    <w:pStyle w:val="47"/>
                    <w:rPr>
                      <w:b w:val="0"/>
                      <w:color w:val="auto"/>
                    </w:rPr>
                  </w:pPr>
                  <w:r>
                    <w:rPr>
                      <w:b w:val="0"/>
                      <w:color w:val="auto"/>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15" w:type="pct"/>
                  <w:vAlign w:val="center"/>
                </w:tcPr>
                <w:p>
                  <w:pPr>
                    <w:pStyle w:val="47"/>
                    <w:rPr>
                      <w:b w:val="0"/>
                      <w:bCs w:val="0"/>
                      <w:spacing w:val="-10"/>
                    </w:rPr>
                  </w:pPr>
                  <w:r>
                    <w:rPr>
                      <w:b w:val="0"/>
                      <w:bCs w:val="0"/>
                      <w:spacing w:val="-10"/>
                    </w:rPr>
                    <w:t>破碎工序</w:t>
                  </w:r>
                </w:p>
              </w:tc>
              <w:tc>
                <w:tcPr>
                  <w:tcW w:w="251" w:type="pct"/>
                  <w:gridSpan w:val="2"/>
                  <w:vAlign w:val="center"/>
                </w:tcPr>
                <w:p>
                  <w:pPr>
                    <w:pStyle w:val="47"/>
                    <w:rPr>
                      <w:b w:val="0"/>
                      <w:color w:val="auto"/>
                    </w:rPr>
                  </w:pPr>
                  <w:r>
                    <w:rPr>
                      <w:b w:val="0"/>
                      <w:color w:val="auto"/>
                    </w:rPr>
                    <w:t>颗粒物</w:t>
                  </w:r>
                </w:p>
              </w:tc>
              <w:tc>
                <w:tcPr>
                  <w:tcW w:w="710" w:type="dxa"/>
                  <w:gridSpan w:val="2"/>
                  <w:vAlign w:val="center"/>
                </w:tcPr>
                <w:p>
                  <w:pPr>
                    <w:pStyle w:val="47"/>
                    <w:rPr>
                      <w:b w:val="0"/>
                      <w:color w:val="auto"/>
                    </w:rPr>
                  </w:pPr>
                  <w:r>
                    <w:rPr>
                      <w:rFonts w:hint="eastAsia"/>
                      <w:b w:val="0"/>
                      <w:color w:val="auto"/>
                    </w:rPr>
                    <w:t>0.003375</w:t>
                  </w:r>
                </w:p>
              </w:tc>
              <w:tc>
                <w:tcPr>
                  <w:tcW w:w="1039" w:type="dxa"/>
                  <w:gridSpan w:val="2"/>
                  <w:vAlign w:val="center"/>
                </w:tcPr>
                <w:p>
                  <w:pPr>
                    <w:pStyle w:val="47"/>
                    <w:rPr>
                      <w:b w:val="0"/>
                      <w:color w:val="auto"/>
                    </w:rPr>
                  </w:pPr>
                  <w:r>
                    <w:rPr>
                      <w:rFonts w:hint="eastAsia"/>
                      <w:b w:val="0"/>
                      <w:color w:val="auto"/>
                    </w:rPr>
                    <w:t>0.07</w:t>
                  </w:r>
                </w:p>
              </w:tc>
              <w:tc>
                <w:tcPr>
                  <w:tcW w:w="710" w:type="dxa"/>
                  <w:vAlign w:val="center"/>
                </w:tcPr>
                <w:p>
                  <w:pPr>
                    <w:pStyle w:val="47"/>
                    <w:rPr>
                      <w:b w:val="0"/>
                      <w:color w:val="auto"/>
                    </w:rPr>
                  </w:pPr>
                  <w:r>
                    <w:rPr>
                      <w:rFonts w:hint="eastAsia"/>
                      <w:b w:val="0"/>
                      <w:color w:val="auto"/>
                    </w:rPr>
                    <w:t>0.00017</w:t>
                  </w:r>
                </w:p>
              </w:tc>
              <w:tc>
                <w:tcPr>
                  <w:tcW w:w="1039" w:type="dxa"/>
                  <w:vAlign w:val="center"/>
                </w:tcPr>
                <w:p>
                  <w:pPr>
                    <w:pStyle w:val="47"/>
                    <w:rPr>
                      <w:b w:val="0"/>
                      <w:color w:val="auto"/>
                    </w:rPr>
                  </w:pPr>
                  <w:r>
                    <w:rPr>
                      <w:rFonts w:hint="eastAsia"/>
                      <w:b w:val="0"/>
                      <w:color w:val="auto"/>
                    </w:rPr>
                    <w:t>0.003</w:t>
                  </w:r>
                </w:p>
              </w:tc>
              <w:tc>
                <w:tcPr>
                  <w:tcW w:w="1602" w:type="dxa"/>
                  <w:vAlign w:val="center"/>
                </w:tcPr>
                <w:p>
                  <w:pPr>
                    <w:pStyle w:val="47"/>
                    <w:rPr>
                      <w:b w:val="0"/>
                      <w:color w:val="auto"/>
                    </w:rPr>
                  </w:pPr>
                  <w:r>
                    <w:rPr>
                      <w:b w:val="0"/>
                      <w:color w:val="auto"/>
                    </w:rPr>
                    <w:t>集气罩+袋式除尘，风机风量10000m</w:t>
                  </w:r>
                  <w:r>
                    <w:rPr>
                      <w:b w:val="0"/>
                      <w:color w:val="auto"/>
                      <w:vertAlign w:val="superscript"/>
                    </w:rPr>
                    <w:t>3</w:t>
                  </w:r>
                  <w:r>
                    <w:rPr>
                      <w:b w:val="0"/>
                      <w:color w:val="auto"/>
                    </w:rPr>
                    <w:t>/h</w:t>
                  </w:r>
                </w:p>
              </w:tc>
              <w:tc>
                <w:tcPr>
                  <w:tcW w:w="405" w:type="dxa"/>
                  <w:vAlign w:val="center"/>
                </w:tcPr>
                <w:p>
                  <w:pPr>
                    <w:pStyle w:val="47"/>
                    <w:rPr>
                      <w:b w:val="0"/>
                      <w:color w:val="auto"/>
                    </w:rPr>
                  </w:pPr>
                  <w:r>
                    <w:rPr>
                      <w:b w:val="0"/>
                      <w:color w:val="auto"/>
                    </w:rPr>
                    <w:t>95%</w:t>
                  </w:r>
                </w:p>
              </w:tc>
              <w:tc>
                <w:tcPr>
                  <w:tcW w:w="646" w:type="dxa"/>
                  <w:vAlign w:val="center"/>
                </w:tcPr>
                <w:p>
                  <w:pPr>
                    <w:pStyle w:val="47"/>
                    <w:rPr>
                      <w:b w:val="0"/>
                      <w:color w:val="auto"/>
                    </w:rPr>
                  </w:pPr>
                  <w:r>
                    <w:rPr>
                      <w:b w:val="0"/>
                      <w:color w:val="auto"/>
                    </w:rPr>
                    <w:t>DA003</w:t>
                  </w:r>
                </w:p>
              </w:tc>
              <w:tc>
                <w:tcPr>
                  <w:tcW w:w="428" w:type="dxa"/>
                  <w:vAlign w:val="center"/>
                </w:tcPr>
                <w:p>
                  <w:pPr>
                    <w:pStyle w:val="47"/>
                    <w:rPr>
                      <w:b w:val="0"/>
                      <w:color w:val="auto"/>
                    </w:rPr>
                  </w:pPr>
                  <w:r>
                    <w:rPr>
                      <w:b w:val="0"/>
                      <w:color w:val="auto"/>
                    </w:rPr>
                    <w:t>0.</w:t>
                  </w:r>
                  <w:r>
                    <w:rPr>
                      <w:rFonts w:hint="eastAsia"/>
                      <w:b w:val="0"/>
                      <w:color w:val="auto"/>
                    </w:rPr>
                    <w:t>4</w:t>
                  </w:r>
                </w:p>
              </w:tc>
              <w:tc>
                <w:tcPr>
                  <w:tcW w:w="480" w:type="dxa"/>
                  <w:vAlign w:val="center"/>
                </w:tcPr>
                <w:p>
                  <w:pPr>
                    <w:pStyle w:val="47"/>
                    <w:rPr>
                      <w:b w:val="0"/>
                      <w:color w:val="auto"/>
                    </w:rPr>
                  </w:pPr>
                  <w:r>
                    <w:rPr>
                      <w:b w:val="0"/>
                      <w:color w:val="auto"/>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04" w:type="pct"/>
                  <w:gridSpan w:val="13"/>
                  <w:vAlign w:val="center"/>
                </w:tcPr>
                <w:p>
                  <w:pPr>
                    <w:pStyle w:val="47"/>
                    <w:rPr>
                      <w:b w:val="0"/>
                      <w:color w:val="auto"/>
                    </w:rPr>
                  </w:pPr>
                  <w:r>
                    <w:rPr>
                      <w:b w:val="0"/>
                      <w:color w:val="auto"/>
                    </w:rPr>
                    <w:t>注：项目每年生产300天，每天生产16h。</w:t>
                  </w:r>
                </w:p>
              </w:tc>
              <w:tc>
                <w:tcPr>
                  <w:tcW w:w="295" w:type="pct"/>
                  <w:vAlign w:val="center"/>
                </w:tcPr>
                <w:p>
                  <w:pPr>
                    <w:pStyle w:val="47"/>
                    <w:rPr>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20" w:type="pct"/>
                  <w:gridSpan w:val="6"/>
                  <w:vAlign w:val="center"/>
                </w:tcPr>
                <w:p>
                  <w:pPr>
                    <w:pStyle w:val="47"/>
                    <w:rPr>
                      <w:b w:val="0"/>
                      <w:color w:val="auto"/>
                    </w:rPr>
                  </w:pPr>
                  <w:r>
                    <w:rPr>
                      <w:b w:val="0"/>
                    </w:rPr>
                    <w:t>排放标准</w:t>
                  </w:r>
                </w:p>
              </w:tc>
              <w:tc>
                <w:tcPr>
                  <w:tcW w:w="419" w:type="pct"/>
                </w:tcPr>
                <w:p>
                  <w:pPr>
                    <w:pStyle w:val="47"/>
                    <w:rPr>
                      <w:b w:val="0"/>
                    </w:rPr>
                  </w:pPr>
                </w:p>
              </w:tc>
              <w:tc>
                <w:tcPr>
                  <w:tcW w:w="3259" w:type="pct"/>
                  <w:gridSpan w:val="7"/>
                </w:tcPr>
                <w:p>
                  <w:pPr>
                    <w:pStyle w:val="47"/>
                    <w:rPr>
                      <w:b w:val="0"/>
                    </w:rPr>
                  </w:pPr>
                  <w:r>
                    <w:rPr>
                      <w:b w:val="0"/>
                      <w:bCs w:val="0"/>
                    </w:rPr>
                    <w:t>GB31572-2015《合成树脂工业污染物排放标准》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3" w:type="pct"/>
                  <w:gridSpan w:val="2"/>
                  <w:vMerge w:val="restart"/>
                  <w:vAlign w:val="center"/>
                </w:tcPr>
                <w:p>
                  <w:pPr>
                    <w:pStyle w:val="47"/>
                    <w:rPr>
                      <w:b w:val="0"/>
                      <w:color w:val="auto"/>
                    </w:rPr>
                  </w:pPr>
                  <w:r>
                    <w:rPr>
                      <w:b w:val="0"/>
                    </w:rPr>
                    <w:t>监测要求</w:t>
                  </w:r>
                </w:p>
              </w:tc>
              <w:tc>
                <w:tcPr>
                  <w:tcW w:w="341" w:type="pct"/>
                  <w:gridSpan w:val="2"/>
                </w:tcPr>
                <w:p>
                  <w:pPr>
                    <w:pStyle w:val="47"/>
                    <w:rPr>
                      <w:b w:val="0"/>
                    </w:rPr>
                  </w:pPr>
                </w:p>
              </w:tc>
              <w:tc>
                <w:tcPr>
                  <w:tcW w:w="965" w:type="pct"/>
                  <w:gridSpan w:val="3"/>
                </w:tcPr>
                <w:p>
                  <w:pPr>
                    <w:pStyle w:val="47"/>
                    <w:rPr>
                      <w:b w:val="0"/>
                    </w:rPr>
                  </w:pPr>
                  <w:r>
                    <w:rPr>
                      <w:b w:val="0"/>
                    </w:rPr>
                    <w:t>监测点位</w:t>
                  </w:r>
                </w:p>
              </w:tc>
              <w:tc>
                <w:tcPr>
                  <w:tcW w:w="3259" w:type="pct"/>
                  <w:gridSpan w:val="7"/>
                </w:tcPr>
                <w:p>
                  <w:pPr>
                    <w:pStyle w:val="47"/>
                    <w:rPr>
                      <w:b w:val="0"/>
                    </w:rPr>
                  </w:pPr>
                  <w:r>
                    <w:rPr>
                      <w:b w:val="0"/>
                    </w:rPr>
                    <w:t>排气筒出口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3" w:type="pct"/>
                  <w:gridSpan w:val="2"/>
                  <w:vMerge w:val="continue"/>
                  <w:vAlign w:val="center"/>
                </w:tcPr>
                <w:p>
                  <w:pPr>
                    <w:pStyle w:val="47"/>
                    <w:rPr>
                      <w:b w:val="0"/>
                      <w:color w:val="auto"/>
                    </w:rPr>
                  </w:pPr>
                </w:p>
              </w:tc>
              <w:tc>
                <w:tcPr>
                  <w:tcW w:w="341" w:type="pct"/>
                  <w:gridSpan w:val="2"/>
                </w:tcPr>
                <w:p>
                  <w:pPr>
                    <w:pStyle w:val="47"/>
                    <w:rPr>
                      <w:b w:val="0"/>
                      <w:color w:val="auto"/>
                    </w:rPr>
                  </w:pPr>
                </w:p>
              </w:tc>
              <w:tc>
                <w:tcPr>
                  <w:tcW w:w="965" w:type="pct"/>
                  <w:gridSpan w:val="3"/>
                </w:tcPr>
                <w:p>
                  <w:pPr>
                    <w:pStyle w:val="47"/>
                    <w:rPr>
                      <w:b w:val="0"/>
                    </w:rPr>
                  </w:pPr>
                  <w:r>
                    <w:rPr>
                      <w:b w:val="0"/>
                    </w:rPr>
                    <w:t>监测因子</w:t>
                  </w:r>
                </w:p>
              </w:tc>
              <w:tc>
                <w:tcPr>
                  <w:tcW w:w="3259" w:type="pct"/>
                  <w:gridSpan w:val="7"/>
                </w:tcPr>
                <w:p>
                  <w:pPr>
                    <w:pStyle w:val="47"/>
                    <w:rPr>
                      <w:b w:val="0"/>
                    </w:rPr>
                  </w:pPr>
                  <w:r>
                    <w:rPr>
                      <w:b w:val="0"/>
                    </w:rPr>
                    <w:t>颗粒物、非甲烷总烃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3" w:type="pct"/>
                  <w:gridSpan w:val="2"/>
                  <w:vMerge w:val="continue"/>
                  <w:vAlign w:val="center"/>
                </w:tcPr>
                <w:p>
                  <w:pPr>
                    <w:pStyle w:val="47"/>
                    <w:rPr>
                      <w:b w:val="0"/>
                      <w:color w:val="auto"/>
                    </w:rPr>
                  </w:pPr>
                </w:p>
              </w:tc>
              <w:tc>
                <w:tcPr>
                  <w:tcW w:w="341" w:type="pct"/>
                  <w:gridSpan w:val="2"/>
                </w:tcPr>
                <w:p>
                  <w:pPr>
                    <w:pStyle w:val="47"/>
                    <w:rPr>
                      <w:b w:val="0"/>
                      <w:color w:val="auto"/>
                    </w:rPr>
                  </w:pPr>
                </w:p>
              </w:tc>
              <w:tc>
                <w:tcPr>
                  <w:tcW w:w="965" w:type="pct"/>
                  <w:gridSpan w:val="3"/>
                </w:tcPr>
                <w:p>
                  <w:pPr>
                    <w:pStyle w:val="47"/>
                    <w:rPr>
                      <w:b w:val="0"/>
                    </w:rPr>
                  </w:pPr>
                  <w:r>
                    <w:rPr>
                      <w:b w:val="0"/>
                    </w:rPr>
                    <w:t>监测频次</w:t>
                  </w:r>
                </w:p>
              </w:tc>
              <w:tc>
                <w:tcPr>
                  <w:tcW w:w="3259" w:type="pct"/>
                  <w:gridSpan w:val="7"/>
                </w:tcPr>
                <w:p>
                  <w:pPr>
                    <w:pStyle w:val="47"/>
                    <w:rPr>
                      <w:b w:val="0"/>
                    </w:rPr>
                  </w:pPr>
                  <w:r>
                    <w:rPr>
                      <w:b w:val="0"/>
                    </w:rPr>
                    <w:t>每年一次</w:t>
                  </w:r>
                </w:p>
              </w:tc>
            </w:tr>
          </w:tbl>
          <w:p>
            <w:pPr>
              <w:pStyle w:val="14"/>
              <w:widowControl/>
              <w:numPr>
                <w:ilvl w:val="0"/>
                <w:numId w:val="7"/>
              </w:numPr>
              <w:autoSpaceDE/>
              <w:autoSpaceDN/>
              <w:snapToGrid w:val="0"/>
              <w:spacing w:line="360" w:lineRule="auto"/>
              <w:ind w:left="420"/>
              <w:rPr>
                <w:rFonts w:ascii="Times New Roman" w:hAnsi="Times New Roman" w:eastAsia="宋体" w:cs="Times New Roman"/>
                <w:b/>
                <w:bCs/>
                <w:sz w:val="24"/>
                <w:szCs w:val="24"/>
                <w:lang w:val="en-US"/>
              </w:rPr>
            </w:pPr>
            <w:r>
              <w:rPr>
                <w:rFonts w:ascii="Times New Roman" w:hAnsi="Times New Roman" w:eastAsia="宋体" w:cs="Times New Roman"/>
                <w:b/>
                <w:bCs/>
                <w:sz w:val="24"/>
                <w:szCs w:val="24"/>
                <w:lang w:val="en-US"/>
              </w:rPr>
              <w:t>达标分析</w:t>
            </w:r>
          </w:p>
          <w:p>
            <w:pPr>
              <w:pStyle w:val="14"/>
              <w:widowControl/>
              <w:autoSpaceDE/>
              <w:autoSpaceDN/>
              <w:snapToGrid w:val="0"/>
              <w:spacing w:line="360" w:lineRule="auto"/>
              <w:ind w:firstLine="482" w:firstLineChars="200"/>
              <w:rPr>
                <w:rFonts w:ascii="Times New Roman" w:hAnsi="Times New Roman" w:eastAsia="宋体" w:cs="Times New Roman"/>
                <w:b/>
                <w:bCs/>
                <w:sz w:val="24"/>
                <w:szCs w:val="24"/>
                <w:lang w:val="en-US"/>
              </w:rPr>
            </w:pPr>
            <w:r>
              <w:rPr>
                <w:rFonts w:ascii="Times New Roman" w:hAnsi="Times New Roman" w:eastAsia="宋体" w:cs="Times New Roman"/>
                <w:b/>
                <w:bCs/>
                <w:sz w:val="24"/>
                <w:szCs w:val="24"/>
                <w:lang w:val="en-US"/>
              </w:rPr>
              <w:t>①有组织废气达标情况分析</w:t>
            </w:r>
          </w:p>
          <w:p>
            <w:pPr>
              <w:pStyle w:val="20"/>
              <w:autoSpaceDE/>
              <w:autoSpaceDN/>
              <w:adjustRightInd w:val="0"/>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Cs/>
                <w:color w:val="000000" w:themeColor="text1"/>
                <w:sz w:val="24"/>
                <w:lang w:val="en-US"/>
                <w14:textFill>
                  <w14:solidFill>
                    <w14:schemeClr w14:val="tx1"/>
                  </w14:solidFill>
                </w14:textFill>
              </w:rPr>
              <w:t>本</w:t>
            </w:r>
            <w:r>
              <w:rPr>
                <w:rFonts w:ascii="Times New Roman" w:hAnsi="Times New Roman" w:cs="Times New Roman"/>
                <w:bCs/>
                <w:color w:val="000000" w:themeColor="text1"/>
                <w:sz w:val="24"/>
                <w14:textFill>
                  <w14:solidFill>
                    <w14:schemeClr w14:val="tx1"/>
                  </w14:solidFill>
                </w14:textFill>
              </w:rPr>
              <w:t>项目有组织废气为</w:t>
            </w:r>
            <w:r>
              <w:rPr>
                <w:rFonts w:ascii="Times New Roman" w:hAnsi="Times New Roman" w:cs="Times New Roman"/>
                <w:bCs/>
                <w:color w:val="000000" w:themeColor="text1"/>
                <w:sz w:val="24"/>
                <w:lang w:val="en-US"/>
                <w14:textFill>
                  <w14:solidFill>
                    <w14:schemeClr w14:val="tx1"/>
                  </w14:solidFill>
                </w14:textFill>
              </w:rPr>
              <w:t>有机废气（按非甲烷总烃计）、破碎工序产生的</w:t>
            </w:r>
            <w:r>
              <w:rPr>
                <w:rFonts w:ascii="Times New Roman" w:hAnsi="Times New Roman" w:cs="Times New Roman"/>
                <w:color w:val="000000" w:themeColor="text1"/>
                <w:sz w:val="24"/>
                <w:lang w:val="en-US"/>
                <w14:textFill>
                  <w14:solidFill>
                    <w14:schemeClr w14:val="tx1"/>
                  </w14:solidFill>
                </w14:textFill>
              </w:rPr>
              <w:t>颗粒物等</w:t>
            </w:r>
            <w:r>
              <w:rPr>
                <w:rFonts w:ascii="Times New Roman" w:hAnsi="Times New Roman" w:cs="Times New Roman"/>
                <w:bCs/>
                <w:color w:val="000000" w:themeColor="text1"/>
                <w:sz w:val="24"/>
                <w14:textFill>
                  <w14:solidFill>
                    <w14:schemeClr w14:val="tx1"/>
                  </w14:solidFill>
                </w14:textFill>
              </w:rPr>
              <w:t>，</w:t>
            </w:r>
            <w:r>
              <w:rPr>
                <w:rFonts w:ascii="Times New Roman" w:hAnsi="Times New Roman" w:cs="Times New Roman"/>
                <w:bCs/>
                <w:color w:val="000000" w:themeColor="text1"/>
                <w:sz w:val="24"/>
                <w:lang w:val="en-US"/>
                <w14:textFill>
                  <w14:solidFill>
                    <w14:schemeClr w14:val="tx1"/>
                  </w14:solidFill>
                </w14:textFill>
              </w:rPr>
              <w:t>破碎工序产生的</w:t>
            </w:r>
            <w:r>
              <w:rPr>
                <w:rFonts w:ascii="Times New Roman" w:hAnsi="Times New Roman" w:cs="Times New Roman"/>
                <w:color w:val="000000" w:themeColor="text1"/>
                <w:sz w:val="24"/>
                <w:lang w:val="en-US"/>
                <w14:textFill>
                  <w14:solidFill>
                    <w14:schemeClr w14:val="tx1"/>
                  </w14:solidFill>
                </w14:textFill>
              </w:rPr>
              <w:t>颗粒物</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bCs/>
                <w:color w:val="000000" w:themeColor="text1"/>
                <w:sz w:val="24"/>
                <w:lang w:val="en-US"/>
                <w14:textFill>
                  <w14:solidFill>
                    <w14:schemeClr w14:val="tx1"/>
                  </w14:solidFill>
                </w14:textFill>
              </w:rPr>
              <w:t>有机废气（按非甲烷总烃计）</w:t>
            </w:r>
            <w:r>
              <w:rPr>
                <w:rFonts w:ascii="Times New Roman" w:hAnsi="Times New Roman" w:cs="Times New Roman"/>
                <w:color w:val="000000" w:themeColor="text1"/>
                <w:sz w:val="24"/>
                <w14:textFill>
                  <w14:solidFill>
                    <w14:schemeClr w14:val="tx1"/>
                  </w14:solidFill>
                </w14:textFill>
              </w:rPr>
              <w:t>污染物排放执行GB31572-2015《合成树脂工业污染物排放标准》表</w:t>
            </w:r>
            <w:r>
              <w:rPr>
                <w:rFonts w:ascii="Times New Roman" w:hAnsi="Times New Roman" w:cs="Times New Roman"/>
                <w:color w:val="000000" w:themeColor="text1"/>
                <w:sz w:val="24"/>
                <w:lang w:val="en-US"/>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规定的大气污染物排放限值。</w:t>
            </w:r>
          </w:p>
          <w:p>
            <w:pPr>
              <w:pStyle w:val="45"/>
              <w:tabs>
                <w:tab w:val="left" w:pos="1321"/>
              </w:tabs>
              <w:snapToGrid w:val="0"/>
              <w:spacing w:line="360" w:lineRule="auto"/>
              <w:ind w:firstLine="480" w:firstLineChars="200"/>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项目</w:t>
            </w:r>
            <w:r>
              <w:rPr>
                <w:rFonts w:ascii="Times New Roman" w:hAnsi="Times New Roman" w:cs="Times New Roman"/>
                <w:color w:val="000000" w:themeColor="text1"/>
                <w:spacing w:val="-10"/>
                <w:lang w:val="en-US"/>
                <w14:textFill>
                  <w14:solidFill>
                    <w14:schemeClr w14:val="tx1"/>
                  </w14:solidFill>
                </w14:textFill>
              </w:rPr>
              <w:t>食品用塑料包装容器挤出废气</w:t>
            </w:r>
            <w:r>
              <w:rPr>
                <w:rFonts w:ascii="Times New Roman" w:hAnsi="Times New Roman" w:cs="Times New Roman"/>
                <w:color w:val="000000" w:themeColor="text1"/>
                <w:lang w:val="en-US"/>
                <w14:textFill>
                  <w14:solidFill>
                    <w14:schemeClr w14:val="tx1"/>
                  </w14:solidFill>
                </w14:textFill>
              </w:rPr>
              <w:t>经集气罩+</w:t>
            </w:r>
            <w:r>
              <w:rPr>
                <w:rFonts w:ascii="Times New Roman" w:hAnsi="Times New Roman" w:cs="Times New Roman"/>
                <w:color w:val="000000" w:themeColor="text1"/>
                <w:spacing w:val="-11"/>
                <w:lang w:val="en-US" w:bidi="ar"/>
                <w14:textFill>
                  <w14:solidFill>
                    <w14:schemeClr w14:val="tx1"/>
                  </w14:solidFill>
                </w14:textFill>
              </w:rPr>
              <w:t>UV光氧</w:t>
            </w:r>
            <w:r>
              <w:rPr>
                <w:rFonts w:hint="eastAsia" w:ascii="Times New Roman" w:hAnsi="Times New Roman" w:cs="Times New Roman"/>
                <w:color w:val="000000" w:themeColor="text1"/>
                <w:spacing w:val="-11"/>
                <w:lang w:val="en-US" w:eastAsia="zh-CN" w:bidi="ar"/>
                <w14:textFill>
                  <w14:solidFill>
                    <w14:schemeClr w14:val="tx1"/>
                  </w14:solidFill>
                </w14:textFill>
              </w:rPr>
              <w:t>催化</w:t>
            </w:r>
            <w:r>
              <w:rPr>
                <w:rFonts w:ascii="Times New Roman" w:hAnsi="Times New Roman" w:cs="Times New Roman"/>
                <w:color w:val="000000" w:themeColor="text1"/>
                <w:spacing w:val="-11"/>
                <w:lang w:bidi="ar"/>
                <w14:textFill>
                  <w14:solidFill>
                    <w14:schemeClr w14:val="tx1"/>
                  </w14:solidFill>
                </w14:textFill>
              </w:rPr>
              <w:t>+</w:t>
            </w:r>
            <w:r>
              <w:rPr>
                <w:rFonts w:ascii="Times New Roman" w:hAnsi="Times New Roman" w:cs="Times New Roman"/>
                <w:color w:val="000000" w:themeColor="text1"/>
                <w:spacing w:val="-11"/>
                <w:lang w:val="en-US" w:bidi="ar"/>
                <w14:textFill>
                  <w14:solidFill>
                    <w14:schemeClr w14:val="tx1"/>
                  </w14:solidFill>
                </w14:textFill>
              </w:rPr>
              <w:t>活性炭吸附装置+30m高1#排气筒处理后非甲烷总烃排放速率0.035kg/h，排放浓度3.5mg/m</w:t>
            </w:r>
            <w:r>
              <w:rPr>
                <w:rFonts w:ascii="Times New Roman" w:hAnsi="Times New Roman" w:cs="Times New Roman"/>
                <w:color w:val="000000" w:themeColor="text1"/>
                <w:spacing w:val="-11"/>
                <w:vertAlign w:val="superscript"/>
                <w:lang w:val="en-US" w:bidi="ar"/>
                <w14:textFill>
                  <w14:solidFill>
                    <w14:schemeClr w14:val="tx1"/>
                  </w14:solidFill>
                </w14:textFill>
              </w:rPr>
              <w:t>3</w:t>
            </w:r>
            <w:r>
              <w:rPr>
                <w:rFonts w:ascii="Times New Roman" w:hAnsi="Times New Roman" w:cs="Times New Roman"/>
                <w:color w:val="000000" w:themeColor="text1"/>
                <w:spacing w:val="-11"/>
                <w:lang w:val="en-US" w:bidi="ar"/>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项目</w:t>
            </w:r>
            <w:r>
              <w:rPr>
                <w:rFonts w:ascii="Times New Roman" w:hAnsi="Times New Roman" w:cs="Times New Roman"/>
                <w:color w:val="000000" w:themeColor="text1"/>
                <w:spacing w:val="-10"/>
                <w:lang w:val="en-US"/>
                <w14:textFill>
                  <w14:solidFill>
                    <w14:schemeClr w14:val="tx1"/>
                  </w14:solidFill>
                </w14:textFill>
              </w:rPr>
              <w:t>食品用塑料包装容器注塑废气</w:t>
            </w:r>
            <w:r>
              <w:rPr>
                <w:rFonts w:ascii="Times New Roman" w:hAnsi="Times New Roman" w:cs="Times New Roman"/>
                <w:color w:val="000000" w:themeColor="text1"/>
                <w:lang w:val="en-US"/>
                <w14:textFill>
                  <w14:solidFill>
                    <w14:schemeClr w14:val="tx1"/>
                  </w14:solidFill>
                </w14:textFill>
              </w:rPr>
              <w:t>经集气罩+</w:t>
            </w:r>
            <w:r>
              <w:rPr>
                <w:rFonts w:ascii="Times New Roman" w:hAnsi="Times New Roman" w:cs="Times New Roman"/>
                <w:color w:val="000000" w:themeColor="text1"/>
                <w:spacing w:val="-11"/>
                <w:lang w:val="en-US" w:bidi="ar"/>
                <w14:textFill>
                  <w14:solidFill>
                    <w14:schemeClr w14:val="tx1"/>
                  </w14:solidFill>
                </w14:textFill>
              </w:rPr>
              <w:t>UV光氧</w:t>
            </w:r>
            <w:r>
              <w:rPr>
                <w:rFonts w:hint="eastAsia" w:ascii="Times New Roman" w:hAnsi="Times New Roman" w:cs="Times New Roman"/>
                <w:color w:val="000000" w:themeColor="text1"/>
                <w:spacing w:val="-11"/>
                <w:lang w:val="en-US" w:eastAsia="zh-CN" w:bidi="ar"/>
                <w14:textFill>
                  <w14:solidFill>
                    <w14:schemeClr w14:val="tx1"/>
                  </w14:solidFill>
                </w14:textFill>
              </w:rPr>
              <w:t>催化</w:t>
            </w:r>
            <w:r>
              <w:rPr>
                <w:rFonts w:ascii="Times New Roman" w:hAnsi="Times New Roman" w:cs="Times New Roman"/>
                <w:color w:val="000000" w:themeColor="text1"/>
                <w:spacing w:val="-11"/>
                <w:lang w:bidi="ar"/>
                <w14:textFill>
                  <w14:solidFill>
                    <w14:schemeClr w14:val="tx1"/>
                  </w14:solidFill>
                </w14:textFill>
              </w:rPr>
              <w:t>+</w:t>
            </w:r>
            <w:r>
              <w:rPr>
                <w:rFonts w:ascii="Times New Roman" w:hAnsi="Times New Roman" w:cs="Times New Roman"/>
                <w:color w:val="000000" w:themeColor="text1"/>
                <w:spacing w:val="-11"/>
                <w:lang w:val="en-US" w:bidi="ar"/>
                <w14:textFill>
                  <w14:solidFill>
                    <w14:schemeClr w14:val="tx1"/>
                  </w14:solidFill>
                </w14:textFill>
              </w:rPr>
              <w:t>活性炭吸附装置+30m高2#排气筒处理后非甲烷总烃排放速率0.003kg/h，排放浓度0.3mg/m</w:t>
            </w:r>
            <w:r>
              <w:rPr>
                <w:rFonts w:ascii="Times New Roman" w:hAnsi="Times New Roman" w:cs="Times New Roman"/>
                <w:color w:val="000000" w:themeColor="text1"/>
                <w:spacing w:val="-11"/>
                <w:vertAlign w:val="superscript"/>
                <w:lang w:val="en-US" w:bidi="ar"/>
                <w14:textFill>
                  <w14:solidFill>
                    <w14:schemeClr w14:val="tx1"/>
                  </w14:solidFill>
                </w14:textFill>
              </w:rPr>
              <w:t>3</w:t>
            </w:r>
            <w:r>
              <w:rPr>
                <w:rFonts w:ascii="Times New Roman" w:hAnsi="Times New Roman" w:cs="Times New Roman"/>
                <w:color w:val="000000" w:themeColor="text1"/>
                <w:spacing w:val="-11"/>
                <w:lang w:val="en-US" w:bidi="ar"/>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项目破碎粉尘经集气罩+</w:t>
            </w:r>
            <w:r>
              <w:rPr>
                <w:rFonts w:ascii="Times New Roman" w:hAnsi="Times New Roman" w:cs="Times New Roman"/>
                <w:color w:val="000000" w:themeColor="text1"/>
                <w:spacing w:val="-11"/>
                <w:lang w:val="en-US" w:bidi="ar"/>
                <w14:textFill>
                  <w14:solidFill>
                    <w14:schemeClr w14:val="tx1"/>
                  </w14:solidFill>
                </w14:textFill>
              </w:rPr>
              <w:t>布袋除尘+30m高3#排气筒处理后颗粒物排放速率0.03kg/h，排放浓度3mg/m</w:t>
            </w:r>
            <w:r>
              <w:rPr>
                <w:rFonts w:ascii="Times New Roman" w:hAnsi="Times New Roman" w:cs="Times New Roman"/>
                <w:color w:val="000000" w:themeColor="text1"/>
                <w:spacing w:val="-11"/>
                <w:vertAlign w:val="superscript"/>
                <w:lang w:val="en-US" w:bidi="ar"/>
                <w14:textFill>
                  <w14:solidFill>
                    <w14:schemeClr w14:val="tx1"/>
                  </w14:solidFill>
                </w14:textFill>
              </w:rPr>
              <w:t>3</w:t>
            </w:r>
            <w:r>
              <w:rPr>
                <w:rFonts w:ascii="Times New Roman" w:hAnsi="Times New Roman" w:cs="Times New Roman"/>
                <w:color w:val="000000" w:themeColor="text1"/>
                <w:spacing w:val="-11"/>
                <w:lang w:val="en-US" w:bidi="ar"/>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无组织废气排放速率颗粒物0.0</w:t>
            </w:r>
            <w:r>
              <w:rPr>
                <w:rFonts w:hint="eastAsia" w:ascii="Times New Roman" w:hAnsi="Times New Roman" w:cs="Times New Roman"/>
                <w:color w:val="000000" w:themeColor="text1"/>
                <w:lang w:val="en-US"/>
                <w14:textFill>
                  <w14:solidFill>
                    <w14:schemeClr w14:val="tx1"/>
                  </w14:solidFill>
                </w14:textFill>
              </w:rPr>
              <w:t>000</w:t>
            </w:r>
            <w:r>
              <w:rPr>
                <w:rFonts w:ascii="Times New Roman" w:hAnsi="Times New Roman" w:cs="Times New Roman"/>
                <w:color w:val="000000" w:themeColor="text1"/>
                <w:lang w:val="en-US"/>
                <w14:textFill>
                  <w14:solidFill>
                    <w14:schemeClr w14:val="tx1"/>
                  </w14:solidFill>
                </w14:textFill>
              </w:rPr>
              <w:t>7kg/h、非甲烷总烃0.013kg/h。</w:t>
            </w:r>
          </w:p>
          <w:p>
            <w:pPr>
              <w:autoSpaceDE/>
              <w:autoSpaceDN/>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综上所述，项目经以上措施处理后，颗粒物</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bCs/>
                <w:color w:val="000000" w:themeColor="text1"/>
                <w:lang w:val="en-US"/>
                <w14:textFill>
                  <w14:solidFill>
                    <w14:schemeClr w14:val="tx1"/>
                  </w14:solidFill>
                </w14:textFill>
              </w:rPr>
              <w:t>有机废气（按非甲烷总烃计）</w:t>
            </w:r>
            <w:r>
              <w:rPr>
                <w:rFonts w:ascii="Times New Roman" w:hAnsi="Times New Roman" w:cs="Times New Roman"/>
                <w:color w:val="000000" w:themeColor="text1"/>
                <w:lang w:val="en-US"/>
                <w14:textFill>
                  <w14:solidFill>
                    <w14:schemeClr w14:val="tx1"/>
                  </w14:solidFill>
                </w14:textFill>
              </w:rPr>
              <w:t>可以达到</w:t>
            </w:r>
            <w:r>
              <w:rPr>
                <w:rFonts w:ascii="Times New Roman" w:hAnsi="Times New Roman" w:cs="Times New Roman"/>
                <w:color w:val="000000" w:themeColor="text1"/>
                <w14:textFill>
                  <w14:solidFill>
                    <w14:schemeClr w14:val="tx1"/>
                  </w14:solidFill>
                </w14:textFill>
              </w:rPr>
              <w:t>GB31572-2015《合成树脂工业污染物排放标准》表</w:t>
            </w:r>
            <w:r>
              <w:rPr>
                <w:rFonts w:ascii="Times New Roman" w:hAnsi="Times New Roman" w:cs="Times New Roman"/>
                <w:color w:val="000000" w:themeColor="text1"/>
                <w:lang w:val="en-US"/>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规定的大气污染物排放限值</w:t>
            </w:r>
            <w:r>
              <w:rPr>
                <w:rFonts w:ascii="Times New Roman" w:hAnsi="Times New Roman" w:cs="Times New Roman"/>
                <w:color w:val="000000" w:themeColor="text1"/>
                <w:lang w:val="en-US"/>
                <w14:textFill>
                  <w14:solidFill>
                    <w14:schemeClr w14:val="tx1"/>
                  </w14:solidFill>
                </w14:textFill>
              </w:rPr>
              <w:t>要求</w:t>
            </w:r>
            <w:r>
              <w:rPr>
                <w:rFonts w:ascii="Times New Roman" w:hAnsi="Times New Roman" w:cs="Times New Roman"/>
                <w:color w:val="000000" w:themeColor="text1"/>
                <w14:textFill>
                  <w14:solidFill>
                    <w14:schemeClr w14:val="tx1"/>
                  </w14:solidFill>
                </w14:textFill>
              </w:rPr>
              <w:t>。</w:t>
            </w:r>
          </w:p>
          <w:p>
            <w:pPr>
              <w:autoSpaceDE/>
              <w:autoSpaceDN/>
              <w:snapToGrid w:val="0"/>
              <w:spacing w:line="360" w:lineRule="auto"/>
              <w:ind w:firstLine="482" w:firstLineChars="200"/>
              <w:rPr>
                <w:rFonts w:ascii="Times New Roman" w:hAnsi="Times New Roman" w:cs="Times New Roman"/>
                <w:b/>
                <w:bCs/>
                <w:color w:val="000000" w:themeColor="text1"/>
                <w:lang w:val="en-US"/>
                <w14:textFill>
                  <w14:solidFill>
                    <w14:schemeClr w14:val="tx1"/>
                  </w14:solidFill>
                </w14:textFill>
              </w:rPr>
            </w:pPr>
            <w:r>
              <w:rPr>
                <w:rFonts w:hint="eastAsia" w:ascii="Times New Roman" w:hAnsi="Times New Roman" w:cs="Times New Roman"/>
                <w:b/>
                <w:bCs/>
                <w:color w:val="000000" w:themeColor="text1"/>
                <w:lang w:val="en-US"/>
                <w14:textFill>
                  <w14:solidFill>
                    <w14:schemeClr w14:val="tx1"/>
                  </w14:solidFill>
                </w14:textFill>
              </w:rPr>
              <w:t>②无组织废气达标情况分析</w:t>
            </w:r>
          </w:p>
          <w:p>
            <w:pPr>
              <w:pStyle w:val="10"/>
              <w:spacing w:line="360" w:lineRule="auto"/>
              <w:ind w:firstLine="422"/>
              <w:jc w:val="left"/>
              <w:rPr>
                <w:b w:val="0"/>
                <w:bCs w:val="0"/>
                <w:color w:val="000000" w:themeColor="text1"/>
                <w:sz w:val="24"/>
                <w:lang w:bidi="zh-CN"/>
                <w14:textFill>
                  <w14:solidFill>
                    <w14:schemeClr w14:val="tx1"/>
                  </w14:solidFill>
                </w14:textFill>
              </w:rPr>
            </w:pPr>
            <w:r>
              <w:rPr>
                <w:b w:val="0"/>
                <w:bCs w:val="0"/>
                <w:color w:val="000000" w:themeColor="text1"/>
                <w:sz w:val="24"/>
                <w:lang w:bidi="zh-CN"/>
                <w14:textFill>
                  <w14:solidFill>
                    <w14:schemeClr w14:val="tx1"/>
                  </w14:solidFill>
                </w14:textFill>
              </w:rPr>
              <w:t>为评价厂界</w:t>
            </w:r>
            <w:r>
              <w:rPr>
                <w:rFonts w:hint="eastAsia"/>
                <w:b w:val="0"/>
                <w:bCs w:val="0"/>
                <w:color w:val="000000" w:themeColor="text1"/>
                <w:sz w:val="24"/>
                <w:lang w:bidi="zh-CN"/>
                <w14:textFill>
                  <w14:solidFill>
                    <w14:schemeClr w14:val="tx1"/>
                  </w14:solidFill>
                </w14:textFill>
              </w:rPr>
              <w:t>无</w:t>
            </w:r>
            <w:r>
              <w:rPr>
                <w:b w:val="0"/>
                <w:bCs w:val="0"/>
                <w:color w:val="000000" w:themeColor="text1"/>
                <w:sz w:val="24"/>
                <w:lang w:bidi="zh-CN"/>
                <w14:textFill>
                  <w14:solidFill>
                    <w14:schemeClr w14:val="tx1"/>
                  </w14:solidFill>
                </w14:textFill>
              </w:rPr>
              <w:t>组织非甲烷总烃、</w:t>
            </w:r>
            <w:r>
              <w:rPr>
                <w:rFonts w:hint="eastAsia"/>
                <w:b w:val="0"/>
                <w:bCs w:val="0"/>
                <w:color w:val="000000" w:themeColor="text1"/>
                <w:sz w:val="24"/>
                <w:lang w:bidi="zh-CN"/>
                <w14:textFill>
                  <w14:solidFill>
                    <w14:schemeClr w14:val="tx1"/>
                  </w14:solidFill>
                </w14:textFill>
              </w:rPr>
              <w:t>颗粒物</w:t>
            </w:r>
            <w:r>
              <w:rPr>
                <w:b w:val="0"/>
                <w:bCs w:val="0"/>
                <w:color w:val="000000" w:themeColor="text1"/>
                <w:sz w:val="24"/>
                <w:lang w:bidi="zh-CN"/>
                <w14:textFill>
                  <w14:solidFill>
                    <w14:schemeClr w14:val="tx1"/>
                  </w14:solidFill>
                </w14:textFill>
              </w:rPr>
              <w:t>达标排放情况，本环评选用估算模式</w:t>
            </w:r>
            <w:r>
              <w:fldChar w:fldCharType="begin"/>
            </w:r>
            <w:r>
              <w:instrText xml:space="preserve"> HYPERLINK "http://www.ihamodel.com/?page_id=13649" </w:instrText>
            </w:r>
            <w:r>
              <w:fldChar w:fldCharType="separate"/>
            </w:r>
            <w:r>
              <w:rPr>
                <w:b w:val="0"/>
                <w:bCs w:val="0"/>
                <w:color w:val="000000" w:themeColor="text1"/>
                <w:sz w:val="24"/>
                <w:lang w:bidi="zh-CN"/>
                <w14:textFill>
                  <w14:solidFill>
                    <w14:schemeClr w14:val="tx1"/>
                  </w14:solidFill>
                </w14:textFill>
              </w:rPr>
              <w:t>AERSCREEN</w:t>
            </w:r>
            <w:r>
              <w:rPr>
                <w:b w:val="0"/>
                <w:bCs w:val="0"/>
                <w:color w:val="000000" w:themeColor="text1"/>
                <w:sz w:val="24"/>
                <w:lang w:bidi="zh-CN"/>
                <w14:textFill>
                  <w14:solidFill>
                    <w14:schemeClr w14:val="tx1"/>
                  </w14:solidFill>
                </w14:textFill>
              </w:rPr>
              <w:fldChar w:fldCharType="end"/>
            </w:r>
            <w:r>
              <w:rPr>
                <w:b w:val="0"/>
                <w:bCs w:val="0"/>
                <w:color w:val="000000" w:themeColor="text1"/>
                <w:sz w:val="24"/>
                <w:lang w:bidi="zh-CN"/>
                <w14:textFill>
                  <w14:solidFill>
                    <w14:schemeClr w14:val="tx1"/>
                  </w14:solidFill>
                </w14:textFill>
              </w:rPr>
              <w:t>进行估算。</w:t>
            </w:r>
          </w:p>
          <w:p>
            <w:pPr>
              <w:spacing w:line="360" w:lineRule="auto"/>
              <w:ind w:firstLine="480"/>
              <w:rPr>
                <w:rFonts w:ascii="Times New Roman" w:hAnsi="Times New Roman" w:cs="Times New Roman"/>
              </w:rPr>
            </w:pPr>
            <w:r>
              <w:rPr>
                <w:rFonts w:ascii="Times New Roman" w:hAnsi="Times New Roman" w:cs="Times New Roman"/>
              </w:rPr>
              <w:t>根据预测结果，</w:t>
            </w:r>
            <w:r>
              <w:rPr>
                <w:rFonts w:hint="eastAsia" w:ascii="Times New Roman" w:hAnsi="Times New Roman" w:cs="Times New Roman"/>
                <w:lang w:val="en-US"/>
              </w:rPr>
              <w:t>PM</w:t>
            </w:r>
            <w:r>
              <w:rPr>
                <w:rFonts w:hint="eastAsia" w:ascii="Times New Roman" w:hAnsi="Times New Roman" w:cs="Times New Roman"/>
                <w:vertAlign w:val="subscript"/>
                <w:lang w:val="en-US"/>
              </w:rPr>
              <w:t>10</w:t>
            </w:r>
            <w:r>
              <w:rPr>
                <w:rFonts w:ascii="Times New Roman" w:hAnsi="Times New Roman" w:cs="Times New Roman"/>
              </w:rPr>
              <w:t>落地最大质量浓度出现在</w:t>
            </w:r>
            <w:r>
              <w:rPr>
                <w:rFonts w:hint="eastAsia" w:ascii="Times New Roman" w:hAnsi="Times New Roman" w:cs="Times New Roman"/>
                <w:lang w:val="en-US"/>
              </w:rPr>
              <w:t>24</w:t>
            </w:r>
            <w:r>
              <w:rPr>
                <w:rFonts w:ascii="Times New Roman" w:hAnsi="Times New Roman" w:cs="Times New Roman"/>
              </w:rPr>
              <w:t>m处，</w:t>
            </w:r>
            <w:r>
              <w:rPr>
                <w:rFonts w:hint="eastAsia" w:ascii="Times New Roman" w:hAnsi="Times New Roman" w:cs="Times New Roman"/>
                <w:lang w:val="en-US"/>
              </w:rPr>
              <w:t>PM</w:t>
            </w:r>
            <w:r>
              <w:rPr>
                <w:rFonts w:hint="eastAsia" w:ascii="Times New Roman" w:hAnsi="Times New Roman" w:cs="Times New Roman"/>
                <w:vertAlign w:val="subscript"/>
                <w:lang w:val="en-US"/>
              </w:rPr>
              <w:t>10</w:t>
            </w:r>
            <w:r>
              <w:rPr>
                <w:rFonts w:ascii="Times New Roman" w:hAnsi="Times New Roman" w:cs="Times New Roman"/>
              </w:rPr>
              <w:t>的最大质量浓度为</w:t>
            </w:r>
            <w:r>
              <w:rPr>
                <w:rFonts w:hint="eastAsia" w:ascii="Times New Roman" w:hAnsi="Times New Roman" w:cs="Times New Roman"/>
                <w:lang w:val="en-US"/>
              </w:rPr>
              <w:t>0.073</w:t>
            </w:r>
            <w:r>
              <w:rPr>
                <w:rFonts w:ascii="Times New Roman" w:hAnsi="Times New Roman" w:cs="Times New Roman"/>
              </w:rPr>
              <w:t>ug/m</w:t>
            </w:r>
            <w:r>
              <w:rPr>
                <w:rFonts w:ascii="Times New Roman" w:hAnsi="Times New Roman" w:cs="Times New Roman"/>
                <w:vertAlign w:val="superscript"/>
              </w:rPr>
              <w:t>3</w:t>
            </w:r>
            <w:r>
              <w:rPr>
                <w:rFonts w:ascii="Times New Roman" w:hAnsi="Times New Roman" w:cs="Times New Roman"/>
              </w:rPr>
              <w:t>，能满足《</w:t>
            </w:r>
            <w:r>
              <w:rPr>
                <w:rFonts w:ascii="Times New Roman" w:hAnsi="Times New Roman" w:cs="Times New Roman"/>
                <w:color w:val="000000" w:themeColor="text1"/>
                <w14:textFill>
                  <w14:solidFill>
                    <w14:schemeClr w14:val="tx1"/>
                  </w14:solidFill>
                </w14:textFill>
              </w:rPr>
              <w:t>合成树脂工业污染物排放标准</w:t>
            </w:r>
            <w:r>
              <w:rPr>
                <w:rFonts w:ascii="Times New Roman" w:hAnsi="Times New Roman" w:cs="Times New Roman"/>
              </w:rPr>
              <w:t>》（GB3095-2012）二级标准；非甲烷总烃的落地最大质量浓度出现在</w:t>
            </w:r>
            <w:r>
              <w:rPr>
                <w:rFonts w:hint="eastAsia" w:ascii="Times New Roman" w:hAnsi="Times New Roman" w:cs="Times New Roman"/>
                <w:lang w:val="en-US"/>
              </w:rPr>
              <w:t>24</w:t>
            </w:r>
            <w:r>
              <w:rPr>
                <w:rFonts w:ascii="Times New Roman" w:hAnsi="Times New Roman" w:cs="Times New Roman"/>
              </w:rPr>
              <w:t>m处，非甲烷总烃的最大质量浓度为</w:t>
            </w:r>
            <w:r>
              <w:rPr>
                <w:rFonts w:hint="eastAsia" w:ascii="Times New Roman" w:hAnsi="Times New Roman" w:cs="Times New Roman"/>
                <w:lang w:val="en-US"/>
              </w:rPr>
              <w:t>13.5584</w:t>
            </w:r>
            <w:r>
              <w:rPr>
                <w:rFonts w:ascii="Times New Roman" w:hAnsi="Times New Roman" w:cs="Times New Roman"/>
              </w:rPr>
              <w:t>ug/m</w:t>
            </w:r>
            <w:r>
              <w:rPr>
                <w:rFonts w:ascii="Times New Roman" w:hAnsi="Times New Roman" w:cs="Times New Roman"/>
                <w:vertAlign w:val="superscript"/>
              </w:rPr>
              <w:t>3</w:t>
            </w:r>
            <w:r>
              <w:rPr>
                <w:rFonts w:ascii="Times New Roman" w:hAnsi="Times New Roman" w:cs="Times New Roman"/>
              </w:rPr>
              <w:t>，能够满足</w:t>
            </w:r>
            <w:r>
              <w:rPr>
                <w:rFonts w:hint="eastAsia" w:ascii="Times New Roman" w:hAnsi="Times New Roman" w:cs="Times New Roman"/>
              </w:rPr>
              <w:t>《</w:t>
            </w:r>
            <w:r>
              <w:rPr>
                <w:rFonts w:ascii="Times New Roman" w:hAnsi="Times New Roman" w:cs="Times New Roman"/>
                <w:color w:val="000000" w:themeColor="text1"/>
                <w14:textFill>
                  <w14:solidFill>
                    <w14:schemeClr w14:val="tx1"/>
                  </w14:solidFill>
                </w14:textFill>
              </w:rPr>
              <w:t>合成树脂工业污染物排放</w:t>
            </w:r>
            <w:r>
              <w:rPr>
                <w:rFonts w:ascii="Times New Roman" w:hAnsi="Times New Roman" w:cs="Times New Roman"/>
              </w:rPr>
              <w:t>标准</w:t>
            </w:r>
            <w:r>
              <w:rPr>
                <w:rFonts w:hint="eastAsia" w:ascii="Times New Roman" w:hAnsi="Times New Roman" w:cs="Times New Roman"/>
              </w:rPr>
              <w:t>》中相关标准限值及</w:t>
            </w:r>
            <w:r>
              <w:rPr>
                <w:rFonts w:ascii="Times New Roman" w:hAnsi="Times New Roman" w:cs="Times New Roman"/>
              </w:rPr>
              <w:t>《挥发性有机物无组织排放控制标准》（GB37822-2019）</w:t>
            </w:r>
            <w:r>
              <w:rPr>
                <w:rFonts w:hint="eastAsia" w:ascii="Times New Roman" w:hAnsi="Times New Roman" w:cs="Times New Roman"/>
              </w:rPr>
              <w:t>要求。</w:t>
            </w:r>
          </w:p>
          <w:p>
            <w:pPr>
              <w:snapToGrid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本项目区生产车间</w:t>
            </w:r>
            <w:r>
              <w:rPr>
                <w:rFonts w:hint="eastAsia" w:ascii="Times New Roman" w:hAnsi="Times New Roman" w:cs="Times New Roman"/>
                <w:lang w:val="en-US"/>
              </w:rPr>
              <w:t>聚乙烯颗粒</w:t>
            </w:r>
            <w:r>
              <w:rPr>
                <w:rFonts w:ascii="Times New Roman" w:hAnsi="Times New Roman" w:cs="Times New Roman"/>
                <w:lang w:val="en-US"/>
              </w:rPr>
              <w:t>熔融过程中会有一定异味产生。车间设置排风扇，通过厂区绿化吸收，减小车间异味的产生；本项目区内生活垃圾在收集、运输过程中由于清洁、消毒、转运不及时、不到位而产生臭味，在垃圾外运装卸的时候会有臭味的逸散，局部空气臭气浓度增加。项目拟采用封闭式垃圾桶，垃圾处于封闭状态，且通过自然稀释扩散。</w:t>
            </w:r>
            <w:r>
              <w:rPr>
                <w:rFonts w:hint="eastAsia" w:ascii="Times New Roman" w:hAnsi="Times New Roman" w:cs="Times New Roman"/>
                <w:lang w:val="en-US"/>
              </w:rPr>
              <w:t>异味执行</w:t>
            </w:r>
            <w:r>
              <w:rPr>
                <w:rFonts w:ascii="Times New Roman" w:hAnsi="Times New Roman" w:cs="Times New Roman"/>
                <w:lang w:val="en-US"/>
              </w:rPr>
              <w:t>《恶臭污染物排放标准》（GB14554-93）表1中恶臭污染物厂界排放标准限值要求。</w:t>
            </w:r>
          </w:p>
          <w:p>
            <w:pPr>
              <w:autoSpaceDE/>
              <w:autoSpaceDN/>
              <w:snapToGrid w:val="0"/>
              <w:spacing w:line="360" w:lineRule="auto"/>
              <w:ind w:firstLine="482" w:firstLineChars="200"/>
              <w:rPr>
                <w:rFonts w:ascii="Times New Roman" w:hAnsi="Times New Roman" w:cs="Times New Roman"/>
                <w:b/>
                <w:bCs/>
              </w:rPr>
            </w:pPr>
            <w:r>
              <w:rPr>
                <w:rFonts w:hint="eastAsia" w:ascii="Times New Roman" w:hAnsi="Times New Roman" w:cs="Times New Roman"/>
                <w:b/>
                <w:bCs/>
                <w:lang w:val="en-US"/>
              </w:rPr>
              <w:t>③</w:t>
            </w:r>
            <w:r>
              <w:rPr>
                <w:rFonts w:ascii="Times New Roman" w:hAnsi="Times New Roman" w:cs="Times New Roman"/>
                <w:b/>
                <w:bCs/>
              </w:rPr>
              <w:t>治理措施可行性分析</w:t>
            </w:r>
          </w:p>
          <w:p>
            <w:pPr>
              <w:autoSpaceDE/>
              <w:autoSpaceDN/>
              <w:snapToGrid w:val="0"/>
              <w:spacing w:line="360" w:lineRule="auto"/>
              <w:ind w:firstLine="480" w:firstLineChars="200"/>
              <w:rPr>
                <w:rFonts w:ascii="Times New Roman" w:hAnsi="Times New Roman" w:cs="Times New Roman"/>
              </w:rPr>
            </w:pPr>
            <w:r>
              <w:rPr>
                <w:rFonts w:ascii="Times New Roman" w:hAnsi="Times New Roman" w:cs="Times New Roman"/>
              </w:rPr>
              <w:t>由于项目所属行业</w:t>
            </w:r>
            <w:r>
              <w:rPr>
                <w:rFonts w:ascii="Times New Roman" w:hAnsi="Times New Roman" w:cs="Times New Roman"/>
                <w:lang w:val="en-US"/>
              </w:rPr>
              <w:t>为塑料制品行业，在</w:t>
            </w:r>
            <w:r>
              <w:rPr>
                <w:rFonts w:ascii="Times New Roman" w:hAnsi="Times New Roman" w:cs="Times New Roman"/>
              </w:rPr>
              <w:t>《排污许可申请与核发技术规范》</w:t>
            </w:r>
            <w:r>
              <w:rPr>
                <w:rFonts w:ascii="Times New Roman" w:hAnsi="Times New Roman" w:cs="Times New Roman"/>
                <w:lang w:val="en-US"/>
              </w:rPr>
              <w:t>中属于</w:t>
            </w:r>
            <w:r>
              <w:rPr>
                <w:rFonts w:ascii="Times New Roman" w:hAnsi="Times New Roman" w:cs="Times New Roman"/>
              </w:rPr>
              <w:t>“</w:t>
            </w:r>
            <w:r>
              <w:rPr>
                <w:rFonts w:ascii="Times New Roman" w:hAnsi="Times New Roman" w:cs="Times New Roman"/>
                <w:lang w:val="en-US"/>
              </w:rPr>
              <w:t>橡胶及塑料制品工业</w:t>
            </w:r>
            <w:r>
              <w:rPr>
                <w:rFonts w:ascii="Times New Roman" w:hAnsi="Times New Roman" w:cs="Times New Roman"/>
              </w:rPr>
              <w:t xml:space="preserve">”，因此，项目废气治理措施可行性分析参照《排污许可申请与核发技术规范  </w:t>
            </w:r>
            <w:r>
              <w:rPr>
                <w:rFonts w:ascii="Times New Roman" w:hAnsi="Times New Roman" w:cs="Times New Roman"/>
                <w:lang w:val="en-US"/>
              </w:rPr>
              <w:t>橡胶及塑料制品工业</w:t>
            </w:r>
            <w:r>
              <w:rPr>
                <w:rFonts w:ascii="Times New Roman" w:hAnsi="Times New Roman" w:cs="Times New Roman"/>
              </w:rPr>
              <w:t>》分析。</w:t>
            </w:r>
          </w:p>
          <w:p>
            <w:pPr>
              <w:autoSpaceDE/>
              <w:autoSpaceDN/>
              <w:snapToGrid w:val="0"/>
              <w:spacing w:line="360" w:lineRule="auto"/>
              <w:ind w:firstLine="480" w:firstLineChars="200"/>
              <w:rPr>
                <w:rFonts w:ascii="Times New Roman" w:hAnsi="Times New Roman" w:cs="Times New Roman"/>
                <w:lang w:val="en-US"/>
              </w:rPr>
            </w:pPr>
            <w:r>
              <w:rPr>
                <w:rFonts w:ascii="Times New Roman" w:hAnsi="Times New Roman" w:cs="Times New Roman"/>
              </w:rPr>
              <w:t xml:space="preserve">根据《排污许可申请与核发技术规范  </w:t>
            </w:r>
            <w:r>
              <w:rPr>
                <w:rFonts w:ascii="Times New Roman" w:hAnsi="Times New Roman" w:cs="Times New Roman"/>
                <w:lang w:val="en-US"/>
              </w:rPr>
              <w:t>橡胶及塑料制品工业</w:t>
            </w:r>
            <w:r>
              <w:rPr>
                <w:rFonts w:ascii="Times New Roman" w:hAnsi="Times New Roman" w:cs="Times New Roman"/>
              </w:rPr>
              <w:t>》，</w:t>
            </w:r>
            <w:r>
              <w:rPr>
                <w:rFonts w:ascii="Times New Roman" w:hAnsi="Times New Roman" w:cs="Times New Roman"/>
                <w:lang w:val="en-US"/>
              </w:rPr>
              <w:t>挤出吹膜</w:t>
            </w:r>
            <w:r>
              <w:rPr>
                <w:rFonts w:ascii="Times New Roman" w:hAnsi="Times New Roman" w:cs="Times New Roman"/>
              </w:rPr>
              <w:t>等工序产生的</w:t>
            </w:r>
            <w:r>
              <w:rPr>
                <w:rFonts w:ascii="Times New Roman" w:hAnsi="Times New Roman" w:cs="Times New Roman"/>
                <w:lang w:val="en-US"/>
              </w:rPr>
              <w:t>非甲烷总烃</w:t>
            </w:r>
            <w:r>
              <w:rPr>
                <w:rFonts w:ascii="Times New Roman" w:hAnsi="Times New Roman" w:cs="Times New Roman"/>
              </w:rPr>
              <w:t>污染防治可行技术主要有除尘、喷淋、吸附、热力燃烧、催化燃烧、低温等离子体、 UV 光氧化/光催化、生物法、以上组合技术，项目采用的为</w:t>
            </w:r>
            <w:r>
              <w:rPr>
                <w:rFonts w:ascii="Times New Roman" w:hAnsi="Times New Roman" w:cs="Times New Roman"/>
                <w:lang w:val="en-US"/>
              </w:rPr>
              <w:t>UV光氧</w:t>
            </w:r>
            <w:r>
              <w:rPr>
                <w:rFonts w:hint="eastAsia" w:ascii="Times New Roman" w:hAnsi="Times New Roman" w:cs="Times New Roman"/>
                <w:lang w:val="en-US" w:eastAsia="zh-CN"/>
              </w:rPr>
              <w:t>催化</w:t>
            </w:r>
            <w:r>
              <w:rPr>
                <w:rFonts w:ascii="Times New Roman" w:hAnsi="Times New Roman" w:cs="Times New Roman"/>
                <w:lang w:val="en-US"/>
              </w:rPr>
              <w:t>+活性炭吸附</w:t>
            </w:r>
            <w:r>
              <w:rPr>
                <w:rFonts w:hint="eastAsia" w:ascii="Times New Roman" w:hAnsi="Times New Roman" w:cs="Times New Roman"/>
                <w:lang w:val="en-US"/>
              </w:rPr>
              <w:t>及布袋除尘</w:t>
            </w:r>
            <w:r>
              <w:rPr>
                <w:rFonts w:ascii="Times New Roman" w:hAnsi="Times New Roman" w:cs="Times New Roman"/>
              </w:rPr>
              <w:t>，为推荐可行技术之一；综上，本项目废气治理措施均为推荐技术，是可行的。</w:t>
            </w:r>
          </w:p>
          <w:p>
            <w:pPr>
              <w:pStyle w:val="14"/>
              <w:widowControl/>
              <w:autoSpaceDE/>
              <w:autoSpaceDN/>
              <w:snapToGrid w:val="0"/>
              <w:spacing w:line="360" w:lineRule="auto"/>
              <w:ind w:firstLine="482" w:firstLineChars="200"/>
              <w:rPr>
                <w:rFonts w:ascii="Times New Roman" w:hAnsi="Times New Roman" w:eastAsia="宋体" w:cs="Times New Roman"/>
                <w:b/>
                <w:bCs/>
                <w:kern w:val="28"/>
                <w:sz w:val="24"/>
                <w:szCs w:val="24"/>
                <w:lang w:val="en-US" w:bidi="ar-SA"/>
              </w:rPr>
            </w:pPr>
            <w:r>
              <w:rPr>
                <w:rFonts w:ascii="Times New Roman" w:hAnsi="Times New Roman" w:eastAsia="宋体" w:cs="Times New Roman"/>
                <w:b/>
                <w:bCs/>
                <w:sz w:val="24"/>
                <w:szCs w:val="24"/>
                <w:lang w:val="en-US"/>
              </w:rPr>
              <w:t>（3）排放口基本情况</w:t>
            </w:r>
          </w:p>
          <w:p>
            <w:pPr>
              <w:pStyle w:val="10"/>
            </w:pPr>
            <w:r>
              <w:t>表4-5排放口基本情况表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292"/>
              <w:gridCol w:w="1323"/>
              <w:gridCol w:w="834"/>
              <w:gridCol w:w="1143"/>
              <w:gridCol w:w="1183"/>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vMerge w:val="restart"/>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排气筒编号及名称</w:t>
                  </w:r>
                </w:p>
              </w:tc>
              <w:tc>
                <w:tcPr>
                  <w:tcW w:w="1581" w:type="pct"/>
                  <w:gridSpan w:val="2"/>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地理坐标</w:t>
                  </w:r>
                </w:p>
              </w:tc>
              <w:tc>
                <w:tcPr>
                  <w:tcW w:w="504" w:type="pct"/>
                  <w:vMerge w:val="restar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高度（m）</w:t>
                  </w:r>
                </w:p>
              </w:tc>
              <w:tc>
                <w:tcPr>
                  <w:tcW w:w="691" w:type="pct"/>
                  <w:vMerge w:val="restart"/>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排气筒内径（m）</w:t>
                  </w:r>
                </w:p>
              </w:tc>
              <w:tc>
                <w:tcPr>
                  <w:tcW w:w="715" w:type="pct"/>
                  <w:vMerge w:val="restar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温度（℃）</w:t>
                  </w:r>
                </w:p>
              </w:tc>
              <w:tc>
                <w:tcPr>
                  <w:tcW w:w="797" w:type="pct"/>
                  <w:vMerge w:val="restar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vMerge w:val="continue"/>
                </w:tcPr>
                <w:p>
                  <w:pPr>
                    <w:pStyle w:val="43"/>
                    <w:tabs>
                      <w:tab w:val="left" w:pos="5530"/>
                    </w:tabs>
                    <w:rPr>
                      <w:rFonts w:cs="Times New Roman"/>
                      <w:color w:val="000000" w:themeColor="text1"/>
                      <w:kern w:val="2"/>
                      <w:szCs w:val="21"/>
                      <w:lang w:val="en-US"/>
                      <w14:textFill>
                        <w14:solidFill>
                          <w14:schemeClr w14:val="tx1"/>
                        </w14:solidFill>
                      </w14:textFill>
                    </w:rPr>
                  </w:pPr>
                </w:p>
              </w:tc>
              <w:tc>
                <w:tcPr>
                  <w:tcW w:w="781" w:type="pct"/>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经度（度）</w:t>
                  </w:r>
                </w:p>
              </w:tc>
              <w:tc>
                <w:tcPr>
                  <w:tcW w:w="800" w:type="pct"/>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纬度（度）</w:t>
                  </w:r>
                </w:p>
              </w:tc>
              <w:tc>
                <w:tcPr>
                  <w:tcW w:w="504" w:type="pct"/>
                  <w:vMerge w:val="continue"/>
                </w:tcPr>
                <w:p>
                  <w:pPr>
                    <w:pStyle w:val="43"/>
                    <w:tabs>
                      <w:tab w:val="left" w:pos="5530"/>
                    </w:tabs>
                    <w:rPr>
                      <w:rFonts w:cs="Times New Roman"/>
                      <w:color w:val="000000" w:themeColor="text1"/>
                      <w:kern w:val="2"/>
                      <w:szCs w:val="21"/>
                      <w:lang w:val="en-US"/>
                      <w14:textFill>
                        <w14:solidFill>
                          <w14:schemeClr w14:val="tx1"/>
                        </w14:solidFill>
                      </w14:textFill>
                    </w:rPr>
                  </w:pPr>
                </w:p>
              </w:tc>
              <w:tc>
                <w:tcPr>
                  <w:tcW w:w="691" w:type="pct"/>
                  <w:vMerge w:val="continue"/>
                </w:tcPr>
                <w:p>
                  <w:pPr>
                    <w:pStyle w:val="43"/>
                    <w:tabs>
                      <w:tab w:val="left" w:pos="5530"/>
                    </w:tabs>
                    <w:rPr>
                      <w:rFonts w:cs="Times New Roman"/>
                      <w:color w:val="000000" w:themeColor="text1"/>
                      <w:kern w:val="2"/>
                      <w:szCs w:val="21"/>
                      <w:lang w:val="en-US"/>
                      <w14:textFill>
                        <w14:solidFill>
                          <w14:schemeClr w14:val="tx1"/>
                        </w14:solidFill>
                      </w14:textFill>
                    </w:rPr>
                  </w:pPr>
                </w:p>
              </w:tc>
              <w:tc>
                <w:tcPr>
                  <w:tcW w:w="715" w:type="pct"/>
                  <w:vMerge w:val="continue"/>
                </w:tcPr>
                <w:p>
                  <w:pPr>
                    <w:pStyle w:val="43"/>
                    <w:tabs>
                      <w:tab w:val="left" w:pos="5530"/>
                    </w:tabs>
                    <w:rPr>
                      <w:rFonts w:cs="Times New Roman"/>
                      <w:color w:val="000000" w:themeColor="text1"/>
                      <w:kern w:val="2"/>
                      <w:szCs w:val="21"/>
                      <w:lang w:val="en-US"/>
                      <w14:textFill>
                        <w14:solidFill>
                          <w14:schemeClr w14:val="tx1"/>
                        </w14:solidFill>
                      </w14:textFill>
                    </w:rPr>
                  </w:pPr>
                </w:p>
              </w:tc>
              <w:tc>
                <w:tcPr>
                  <w:tcW w:w="797" w:type="pct"/>
                  <w:vMerge w:val="continue"/>
                </w:tcPr>
                <w:p>
                  <w:pPr>
                    <w:pStyle w:val="43"/>
                    <w:tabs>
                      <w:tab w:val="left" w:pos="5530"/>
                    </w:tabs>
                    <w:rPr>
                      <w:rFonts w:cs="Times New Roman"/>
                      <w:color w:val="000000" w:themeColor="text1"/>
                      <w:kern w:val="2"/>
                      <w:szCs w:val="21"/>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DA001</w:t>
                  </w:r>
                </w:p>
              </w:tc>
              <w:tc>
                <w:tcPr>
                  <w:tcW w:w="781"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102.76304</w:t>
                  </w:r>
                </w:p>
              </w:tc>
              <w:tc>
                <w:tcPr>
                  <w:tcW w:w="800"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24.6648</w:t>
                  </w:r>
                </w:p>
              </w:tc>
              <w:tc>
                <w:tcPr>
                  <w:tcW w:w="504"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30</w:t>
                  </w:r>
                </w:p>
              </w:tc>
              <w:tc>
                <w:tcPr>
                  <w:tcW w:w="691"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0.</w:t>
                  </w:r>
                  <w:r>
                    <w:rPr>
                      <w:rFonts w:hint="eastAsia" w:cs="Times New Roman"/>
                      <w:color w:val="000000" w:themeColor="text1"/>
                      <w:kern w:val="2"/>
                      <w:szCs w:val="21"/>
                      <w:lang w:val="en-US"/>
                      <w14:textFill>
                        <w14:solidFill>
                          <w14:schemeClr w14:val="tx1"/>
                        </w14:solidFill>
                      </w14:textFill>
                    </w:rPr>
                    <w:t>4</w:t>
                  </w:r>
                </w:p>
              </w:tc>
              <w:tc>
                <w:tcPr>
                  <w:tcW w:w="715"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常温</w:t>
                  </w:r>
                </w:p>
              </w:tc>
              <w:tc>
                <w:tcPr>
                  <w:tcW w:w="797"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DA00</w:t>
                  </w:r>
                  <w:r>
                    <w:rPr>
                      <w:rFonts w:cs="Times New Roman"/>
                      <w:color w:val="000000" w:themeColor="text1"/>
                      <w:kern w:val="2"/>
                      <w:szCs w:val="21"/>
                      <w:lang w:val="en-US"/>
                      <w14:textFill>
                        <w14:solidFill>
                          <w14:schemeClr w14:val="tx1"/>
                        </w14:solidFill>
                      </w14:textFill>
                    </w:rPr>
                    <w:t>2</w:t>
                  </w:r>
                </w:p>
              </w:tc>
              <w:tc>
                <w:tcPr>
                  <w:tcW w:w="781"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102.76102</w:t>
                  </w:r>
                </w:p>
              </w:tc>
              <w:tc>
                <w:tcPr>
                  <w:tcW w:w="800"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24.6321</w:t>
                  </w:r>
                </w:p>
              </w:tc>
              <w:tc>
                <w:tcPr>
                  <w:tcW w:w="504"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30</w:t>
                  </w:r>
                </w:p>
              </w:tc>
              <w:tc>
                <w:tcPr>
                  <w:tcW w:w="691"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0.</w:t>
                  </w:r>
                  <w:r>
                    <w:rPr>
                      <w:rFonts w:hint="eastAsia" w:cs="Times New Roman"/>
                      <w:color w:val="000000" w:themeColor="text1"/>
                      <w:kern w:val="2"/>
                      <w:szCs w:val="21"/>
                      <w:lang w:val="en-US"/>
                      <w14:textFill>
                        <w14:solidFill>
                          <w14:schemeClr w14:val="tx1"/>
                        </w14:solidFill>
                      </w14:textFill>
                    </w:rPr>
                    <w:t>4</w:t>
                  </w:r>
                </w:p>
              </w:tc>
              <w:tc>
                <w:tcPr>
                  <w:tcW w:w="715"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常温</w:t>
                  </w:r>
                </w:p>
              </w:tc>
              <w:tc>
                <w:tcPr>
                  <w:tcW w:w="797"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14:textFill>
                        <w14:solidFill>
                          <w14:schemeClr w14:val="tx1"/>
                        </w14:solidFill>
                      </w14:textFill>
                    </w:rPr>
                    <w:t>DA00</w:t>
                  </w:r>
                  <w:r>
                    <w:rPr>
                      <w:rFonts w:cs="Times New Roman"/>
                      <w:color w:val="000000" w:themeColor="text1"/>
                      <w:kern w:val="2"/>
                      <w:szCs w:val="21"/>
                      <w:lang w:val="en-US"/>
                      <w14:textFill>
                        <w14:solidFill>
                          <w14:schemeClr w14:val="tx1"/>
                        </w14:solidFill>
                      </w14:textFill>
                    </w:rPr>
                    <w:t>3</w:t>
                  </w:r>
                </w:p>
              </w:tc>
              <w:tc>
                <w:tcPr>
                  <w:tcW w:w="781"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102.75556</w:t>
                  </w:r>
                </w:p>
              </w:tc>
              <w:tc>
                <w:tcPr>
                  <w:tcW w:w="800"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24.6432</w:t>
                  </w:r>
                </w:p>
              </w:tc>
              <w:tc>
                <w:tcPr>
                  <w:tcW w:w="504"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30</w:t>
                  </w:r>
                </w:p>
              </w:tc>
              <w:tc>
                <w:tcPr>
                  <w:tcW w:w="691"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0.</w:t>
                  </w:r>
                  <w:r>
                    <w:rPr>
                      <w:rFonts w:hint="eastAsia" w:cs="Times New Roman"/>
                      <w:color w:val="000000" w:themeColor="text1"/>
                      <w:kern w:val="2"/>
                      <w:szCs w:val="21"/>
                      <w:lang w:val="en-US"/>
                      <w14:textFill>
                        <w14:solidFill>
                          <w14:schemeClr w14:val="tx1"/>
                        </w14:solidFill>
                      </w14:textFill>
                    </w:rPr>
                    <w:t>4</w:t>
                  </w:r>
                </w:p>
              </w:tc>
              <w:tc>
                <w:tcPr>
                  <w:tcW w:w="715" w:type="pct"/>
                  <w:vAlign w:val="center"/>
                </w:tcPr>
                <w:p>
                  <w:pPr>
                    <w:pStyle w:val="43"/>
                    <w:tabs>
                      <w:tab w:val="left" w:pos="5530"/>
                    </w:tabs>
                    <w:rPr>
                      <w:rFonts w:cs="Times New Roman"/>
                      <w:color w:val="000000" w:themeColor="text1"/>
                      <w:kern w:val="2"/>
                      <w:szCs w:val="21"/>
                      <w:lang w:val="en-US"/>
                      <w14:textFill>
                        <w14:solidFill>
                          <w14:schemeClr w14:val="tx1"/>
                        </w14:solidFill>
                      </w14:textFill>
                    </w:rPr>
                  </w:pPr>
                  <w:r>
                    <w:rPr>
                      <w:rFonts w:cs="Times New Roman"/>
                      <w:color w:val="000000" w:themeColor="text1"/>
                      <w:kern w:val="2"/>
                      <w:szCs w:val="21"/>
                      <w:lang w:val="en-US"/>
                      <w14:textFill>
                        <w14:solidFill>
                          <w14:schemeClr w14:val="tx1"/>
                        </w14:solidFill>
                      </w14:textFill>
                    </w:rPr>
                    <w:t>常温</w:t>
                  </w:r>
                </w:p>
              </w:tc>
              <w:tc>
                <w:tcPr>
                  <w:tcW w:w="797" w:type="pct"/>
                  <w:vAlign w:val="center"/>
                </w:tcPr>
                <w:p>
                  <w:pPr>
                    <w:pStyle w:val="43"/>
                    <w:tabs>
                      <w:tab w:val="left" w:pos="5530"/>
                    </w:tabs>
                    <w:rPr>
                      <w:rFonts w:cs="Times New Roman"/>
                      <w:color w:val="000000" w:themeColor="text1"/>
                      <w:kern w:val="2"/>
                      <w:szCs w:val="21"/>
                      <w:lang w:val="en-US" w:bidi="ar-SA"/>
                      <w14:textFill>
                        <w14:solidFill>
                          <w14:schemeClr w14:val="tx1"/>
                        </w14:solidFill>
                      </w14:textFill>
                    </w:rPr>
                  </w:pPr>
                  <w:r>
                    <w:rPr>
                      <w:rFonts w:cs="Times New Roman"/>
                      <w:color w:val="000000" w:themeColor="text1"/>
                      <w:kern w:val="2"/>
                      <w:szCs w:val="21"/>
                      <w:lang w:val="en-US"/>
                      <w14:textFill>
                        <w14:solidFill>
                          <w14:schemeClr w14:val="tx1"/>
                        </w14:solidFill>
                      </w14:textFill>
                    </w:rPr>
                    <w:t>一般排放口</w:t>
                  </w:r>
                </w:p>
              </w:tc>
            </w:tr>
          </w:tbl>
          <w:p>
            <w:pPr>
              <w:pStyle w:val="14"/>
              <w:widowControl/>
              <w:autoSpaceDE/>
              <w:autoSpaceDN/>
              <w:snapToGrid w:val="0"/>
              <w:spacing w:line="360" w:lineRule="auto"/>
              <w:ind w:firstLine="482" w:firstLineChars="200"/>
              <w:rPr>
                <w:rFonts w:ascii="Times New Roman" w:hAnsi="Times New Roman" w:eastAsia="宋体" w:cs="Times New Roman"/>
                <w:b/>
                <w:bCs/>
                <w:sz w:val="24"/>
                <w:szCs w:val="24"/>
                <w:lang w:val="en-US"/>
              </w:rPr>
            </w:pPr>
            <w:r>
              <w:rPr>
                <w:rFonts w:ascii="Times New Roman" w:hAnsi="Times New Roman" w:eastAsia="宋体" w:cs="Times New Roman"/>
                <w:b/>
                <w:bCs/>
                <w:sz w:val="24"/>
                <w:szCs w:val="24"/>
                <w:lang w:val="en-US"/>
              </w:rPr>
              <w:t>（4）监测要求</w:t>
            </w:r>
          </w:p>
          <w:p>
            <w:pPr>
              <w:autoSpaceDE/>
              <w:autoSpaceDN/>
              <w:snapToGrid w:val="0"/>
              <w:spacing w:line="360" w:lineRule="auto"/>
              <w:ind w:firstLine="480" w:firstLineChars="200"/>
              <w:rPr>
                <w:rFonts w:ascii="Times New Roman" w:hAnsi="Times New Roman" w:cs="Times New Roman"/>
                <w:snapToGrid w:val="0"/>
                <w:color w:val="000000"/>
                <w:kern w:val="2"/>
                <w:lang w:val="en-US" w:bidi="ar"/>
              </w:rPr>
            </w:pPr>
            <w:r>
              <w:rPr>
                <w:rFonts w:ascii="Times New Roman" w:hAnsi="Times New Roman" w:cs="Times New Roman"/>
              </w:rPr>
              <w:t>根据</w:t>
            </w:r>
            <w:r>
              <w:rPr>
                <w:rFonts w:hint="eastAsia" w:ascii="Times New Roman" w:hAnsi="Times New Roman" w:cs="Times New Roman"/>
              </w:rPr>
              <w:t>《排污许可申请与核发技术规范  橡胶及塑料制品工业》</w:t>
            </w:r>
            <w:r>
              <w:rPr>
                <w:rFonts w:ascii="Times New Roman" w:hAnsi="Times New Roman" w:cs="Times New Roman"/>
              </w:rPr>
              <w:t>制定本次监测计划，</w:t>
            </w:r>
            <w:r>
              <w:rPr>
                <w:rFonts w:ascii="Times New Roman" w:hAnsi="Times New Roman" w:cs="Times New Roman"/>
                <w:snapToGrid w:val="0"/>
                <w:color w:val="000000"/>
                <w:kern w:val="2"/>
                <w:lang w:val="en-US" w:bidi="ar"/>
              </w:rPr>
              <w:t>运营期大气监测计划表见4-6。</w:t>
            </w:r>
          </w:p>
          <w:p>
            <w:pPr>
              <w:pStyle w:val="10"/>
            </w:pPr>
            <w:r>
              <w:t>表4-6运营期大气监测计划表</w:t>
            </w:r>
          </w:p>
          <w:tbl>
            <w:tblPr>
              <w:tblStyle w:val="26"/>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177"/>
              <w:gridCol w:w="942"/>
              <w:gridCol w:w="965"/>
              <w:gridCol w:w="2074"/>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tcPr>
                <w:p>
                  <w:pPr>
                    <w:pStyle w:val="43"/>
                    <w:tabs>
                      <w:tab w:val="left" w:pos="5530"/>
                    </w:tabs>
                    <w:rPr>
                      <w:rFonts w:cs="Times New Roman"/>
                      <w:color w:val="000000"/>
                      <w:kern w:val="2"/>
                      <w:szCs w:val="21"/>
                    </w:rPr>
                  </w:pPr>
                  <w:r>
                    <w:rPr>
                      <w:rFonts w:cs="Times New Roman"/>
                      <w:color w:val="000000"/>
                      <w:kern w:val="2"/>
                      <w:szCs w:val="21"/>
                    </w:rPr>
                    <w:t>项目</w:t>
                  </w:r>
                </w:p>
              </w:tc>
              <w:tc>
                <w:tcPr>
                  <w:tcW w:w="712" w:type="pct"/>
                </w:tcPr>
                <w:p>
                  <w:pPr>
                    <w:pStyle w:val="43"/>
                    <w:tabs>
                      <w:tab w:val="left" w:pos="5530"/>
                    </w:tabs>
                    <w:rPr>
                      <w:rFonts w:cs="Times New Roman"/>
                      <w:color w:val="000000"/>
                      <w:kern w:val="2"/>
                      <w:szCs w:val="21"/>
                    </w:rPr>
                  </w:pPr>
                  <w:r>
                    <w:rPr>
                      <w:rFonts w:cs="Times New Roman"/>
                      <w:color w:val="000000"/>
                      <w:kern w:val="2"/>
                      <w:szCs w:val="21"/>
                    </w:rPr>
                    <w:t>监测点位</w:t>
                  </w:r>
                </w:p>
              </w:tc>
              <w:tc>
                <w:tcPr>
                  <w:tcW w:w="570" w:type="pct"/>
                </w:tcPr>
                <w:p>
                  <w:pPr>
                    <w:pStyle w:val="43"/>
                    <w:tabs>
                      <w:tab w:val="left" w:pos="5530"/>
                    </w:tabs>
                    <w:rPr>
                      <w:rFonts w:cs="Times New Roman"/>
                      <w:color w:val="000000"/>
                      <w:kern w:val="2"/>
                      <w:szCs w:val="21"/>
                    </w:rPr>
                  </w:pPr>
                  <w:r>
                    <w:rPr>
                      <w:rFonts w:cs="Times New Roman"/>
                      <w:color w:val="000000"/>
                      <w:kern w:val="2"/>
                      <w:szCs w:val="21"/>
                    </w:rPr>
                    <w:t>监测项目</w:t>
                  </w:r>
                </w:p>
              </w:tc>
              <w:tc>
                <w:tcPr>
                  <w:tcW w:w="584" w:type="pct"/>
                </w:tcPr>
                <w:p>
                  <w:pPr>
                    <w:pStyle w:val="43"/>
                    <w:tabs>
                      <w:tab w:val="left" w:pos="5530"/>
                    </w:tabs>
                    <w:rPr>
                      <w:rFonts w:cs="Times New Roman"/>
                      <w:color w:val="000000"/>
                      <w:kern w:val="2"/>
                      <w:szCs w:val="21"/>
                    </w:rPr>
                  </w:pPr>
                  <w:r>
                    <w:rPr>
                      <w:rFonts w:cs="Times New Roman"/>
                      <w:color w:val="000000"/>
                      <w:kern w:val="2"/>
                      <w:szCs w:val="21"/>
                    </w:rPr>
                    <w:t>监测频次</w:t>
                  </w:r>
                </w:p>
              </w:tc>
              <w:tc>
                <w:tcPr>
                  <w:tcW w:w="1255" w:type="pct"/>
                </w:tcPr>
                <w:p>
                  <w:pPr>
                    <w:pStyle w:val="43"/>
                    <w:tabs>
                      <w:tab w:val="left" w:pos="5530"/>
                    </w:tabs>
                    <w:rPr>
                      <w:rFonts w:cs="Times New Roman"/>
                      <w:color w:val="000000"/>
                      <w:kern w:val="2"/>
                      <w:szCs w:val="21"/>
                    </w:rPr>
                  </w:pPr>
                  <w:r>
                    <w:rPr>
                      <w:rFonts w:cs="Times New Roman"/>
                      <w:color w:val="000000"/>
                      <w:kern w:val="2"/>
                      <w:szCs w:val="21"/>
                    </w:rPr>
                    <w:t>执行标准</w:t>
                  </w:r>
                </w:p>
              </w:tc>
              <w:tc>
                <w:tcPr>
                  <w:tcW w:w="1359" w:type="pct"/>
                </w:tcPr>
                <w:p>
                  <w:pPr>
                    <w:pStyle w:val="43"/>
                    <w:tabs>
                      <w:tab w:val="left" w:pos="5530"/>
                    </w:tabs>
                    <w:rPr>
                      <w:rFonts w:cs="Times New Roman"/>
                      <w:color w:val="000000"/>
                      <w:kern w:val="2"/>
                      <w:szCs w:val="21"/>
                    </w:rPr>
                  </w:pPr>
                  <w:r>
                    <w:rPr>
                      <w:rFonts w:cs="Times New Roman"/>
                      <w:color w:val="000000"/>
                      <w:kern w:val="2"/>
                      <w:szCs w:val="21"/>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pPr>
                    <w:pStyle w:val="43"/>
                    <w:tabs>
                      <w:tab w:val="left" w:pos="5530"/>
                    </w:tabs>
                    <w:rPr>
                      <w:rFonts w:cs="Times New Roman"/>
                      <w:color w:val="000000"/>
                      <w:kern w:val="2"/>
                      <w:szCs w:val="21"/>
                    </w:rPr>
                  </w:pPr>
                  <w:r>
                    <w:rPr>
                      <w:rFonts w:cs="Times New Roman"/>
                      <w:color w:val="000000"/>
                      <w:kern w:val="2"/>
                      <w:szCs w:val="21"/>
                    </w:rPr>
                    <w:t>厂界无组织废气</w:t>
                  </w:r>
                </w:p>
              </w:tc>
              <w:tc>
                <w:tcPr>
                  <w:tcW w:w="712" w:type="pct"/>
                  <w:vAlign w:val="center"/>
                </w:tcPr>
                <w:p>
                  <w:pPr>
                    <w:pStyle w:val="43"/>
                    <w:tabs>
                      <w:tab w:val="left" w:pos="5530"/>
                    </w:tabs>
                    <w:rPr>
                      <w:rFonts w:cs="Times New Roman"/>
                      <w:color w:val="000000"/>
                      <w:kern w:val="2"/>
                      <w:szCs w:val="21"/>
                    </w:rPr>
                  </w:pPr>
                  <w:r>
                    <w:rPr>
                      <w:rFonts w:cs="Times New Roman"/>
                      <w:color w:val="000000"/>
                      <w:kern w:val="2"/>
                      <w:szCs w:val="21"/>
                    </w:rPr>
                    <w:t>在厂界上风向20m处设1个参照点，厂界下风向设3个监测点</w:t>
                  </w:r>
                </w:p>
              </w:tc>
              <w:tc>
                <w:tcPr>
                  <w:tcW w:w="570" w:type="pct"/>
                </w:tcPr>
                <w:p>
                  <w:pPr>
                    <w:pStyle w:val="43"/>
                    <w:tabs>
                      <w:tab w:val="left" w:pos="5530"/>
                    </w:tabs>
                    <w:rPr>
                      <w:rFonts w:cs="Times New Roman"/>
                      <w:color w:val="000000"/>
                      <w:kern w:val="2"/>
                      <w:szCs w:val="21"/>
                      <w:lang w:val="en-US"/>
                    </w:rPr>
                  </w:pPr>
                  <w:r>
                    <w:rPr>
                      <w:rFonts w:hint="eastAsia" w:cs="Times New Roman"/>
                      <w:color w:val="000000"/>
                      <w:kern w:val="2"/>
                      <w:szCs w:val="21"/>
                      <w:lang w:val="en-US"/>
                    </w:rPr>
                    <w:t>颗粒物、非甲烷总烃、臭气浓度</w:t>
                  </w:r>
                </w:p>
              </w:tc>
              <w:tc>
                <w:tcPr>
                  <w:tcW w:w="584" w:type="pct"/>
                  <w:vAlign w:val="center"/>
                </w:tcPr>
                <w:p>
                  <w:pPr>
                    <w:pStyle w:val="43"/>
                    <w:tabs>
                      <w:tab w:val="left" w:pos="5530"/>
                    </w:tabs>
                    <w:rPr>
                      <w:rFonts w:cs="Times New Roman"/>
                      <w:color w:val="000000"/>
                      <w:kern w:val="2"/>
                      <w:szCs w:val="21"/>
                      <w:lang w:val="en-US"/>
                    </w:rPr>
                  </w:pPr>
                  <w:r>
                    <w:rPr>
                      <w:rFonts w:hint="eastAsia" w:cs="Times New Roman"/>
                      <w:color w:val="000000"/>
                      <w:kern w:val="2"/>
                      <w:szCs w:val="21"/>
                      <w:lang w:val="en-US"/>
                    </w:rPr>
                    <w:t>半年</w:t>
                  </w:r>
                  <w:r>
                    <w:rPr>
                      <w:rFonts w:cs="Times New Roman"/>
                      <w:color w:val="000000"/>
                      <w:kern w:val="2"/>
                      <w:szCs w:val="21"/>
                    </w:rPr>
                    <w:t>监测一次，</w:t>
                  </w:r>
                  <w:r>
                    <w:rPr>
                      <w:rFonts w:hint="eastAsia" w:cs="Times New Roman"/>
                      <w:color w:val="000000"/>
                      <w:kern w:val="2"/>
                      <w:szCs w:val="21"/>
                      <w:lang w:val="en-US"/>
                    </w:rPr>
                    <w:t>颗粒物及非甲烷总烃</w:t>
                  </w:r>
                  <w:r>
                    <w:rPr>
                      <w:rFonts w:cs="Times New Roman"/>
                      <w:color w:val="000000"/>
                      <w:kern w:val="2"/>
                      <w:szCs w:val="21"/>
                    </w:rPr>
                    <w:t>连续监测2天，每天监测3次</w:t>
                  </w:r>
                  <w:r>
                    <w:rPr>
                      <w:rFonts w:hint="eastAsia" w:cs="Times New Roman"/>
                      <w:color w:val="000000"/>
                      <w:kern w:val="2"/>
                      <w:szCs w:val="21"/>
                    </w:rPr>
                    <w:t>，</w:t>
                  </w:r>
                  <w:r>
                    <w:rPr>
                      <w:rFonts w:hint="eastAsia" w:cs="Times New Roman"/>
                      <w:color w:val="000000"/>
                      <w:kern w:val="2"/>
                      <w:szCs w:val="21"/>
                      <w:lang w:val="en-US"/>
                    </w:rPr>
                    <w:t>臭气浓度</w:t>
                  </w:r>
                  <w:r>
                    <w:rPr>
                      <w:rFonts w:cs="Times New Roman"/>
                      <w:color w:val="000000"/>
                      <w:kern w:val="2"/>
                      <w:szCs w:val="21"/>
                    </w:rPr>
                    <w:t>连续监测2天，每天监测</w:t>
                  </w:r>
                  <w:r>
                    <w:rPr>
                      <w:rFonts w:hint="eastAsia" w:cs="Times New Roman"/>
                      <w:color w:val="000000"/>
                      <w:kern w:val="2"/>
                      <w:szCs w:val="21"/>
                      <w:lang w:val="en-US"/>
                    </w:rPr>
                    <w:t>4</w:t>
                  </w:r>
                  <w:r>
                    <w:rPr>
                      <w:rFonts w:cs="Times New Roman"/>
                      <w:color w:val="000000"/>
                      <w:kern w:val="2"/>
                      <w:szCs w:val="21"/>
                    </w:rPr>
                    <w:t>次</w:t>
                  </w:r>
                </w:p>
              </w:tc>
              <w:tc>
                <w:tcPr>
                  <w:tcW w:w="1255" w:type="pct"/>
                  <w:vAlign w:val="center"/>
                </w:tcPr>
                <w:p>
                  <w:pPr>
                    <w:pStyle w:val="43"/>
                    <w:tabs>
                      <w:tab w:val="left" w:pos="5530"/>
                    </w:tabs>
                    <w:rPr>
                      <w:rFonts w:cs="Times New Roman"/>
                      <w:color w:val="000000"/>
                      <w:kern w:val="2"/>
                      <w:szCs w:val="21"/>
                    </w:rPr>
                  </w:pPr>
                  <w:r>
                    <w:rPr>
                      <w:rFonts w:cs="Times New Roman"/>
                      <w:color w:val="000000"/>
                      <w:kern w:val="2"/>
                      <w:szCs w:val="21"/>
                    </w:rPr>
                    <w:t>GB31572-2015《合成树脂工业污染物排放标准》表</w:t>
                  </w:r>
                  <w:r>
                    <w:rPr>
                      <w:rFonts w:cs="Times New Roman"/>
                      <w:color w:val="000000"/>
                      <w:kern w:val="2"/>
                      <w:szCs w:val="21"/>
                      <w:lang w:val="en-US"/>
                    </w:rPr>
                    <w:t>4排放标准</w:t>
                  </w:r>
                  <w:r>
                    <w:rPr>
                      <w:rFonts w:hint="eastAsia" w:cs="Times New Roman"/>
                      <w:color w:val="000000"/>
                      <w:kern w:val="2"/>
                      <w:szCs w:val="21"/>
                      <w:lang w:val="en-US"/>
                    </w:rPr>
                    <w:t>、</w:t>
                  </w:r>
                  <w:r>
                    <w:rPr>
                      <w:rFonts w:hint="eastAsia" w:cs="Times New Roman"/>
                    </w:rPr>
                    <w:t>《恶臭污染物排放标准》（GB14544-93）</w:t>
                  </w:r>
                </w:p>
              </w:tc>
              <w:tc>
                <w:tcPr>
                  <w:tcW w:w="1359" w:type="pct"/>
                  <w:vAlign w:val="center"/>
                </w:tcPr>
                <w:p>
                  <w:pPr>
                    <w:pStyle w:val="43"/>
                    <w:tabs>
                      <w:tab w:val="left" w:pos="5530"/>
                    </w:tabs>
                    <w:rPr>
                      <w:rFonts w:cs="Times New Roman"/>
                      <w:color w:val="000000"/>
                      <w:kern w:val="2"/>
                      <w:szCs w:val="21"/>
                    </w:rPr>
                  </w:pPr>
                  <w:r>
                    <w:rPr>
                      <w:rFonts w:cs="Times New Roman"/>
                      <w:color w:val="000000"/>
                      <w:kern w:val="2"/>
                      <w:szCs w:val="21"/>
                    </w:rPr>
                    <w:t>（HJ-T55-2000）《大气污染物无组织排放检测技术导则》</w:t>
                  </w:r>
                  <w:r>
                    <w:rPr>
                      <w:rFonts w:hint="eastAsia" w:cs="Times New Roman"/>
                      <w:color w:val="000000"/>
                      <w:kern w:val="2"/>
                      <w:szCs w:val="21"/>
                    </w:rPr>
                    <w:t>《GB/T 14675-1993 空气质量 恶臭的测定》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pPr>
                    <w:pStyle w:val="43"/>
                    <w:tabs>
                      <w:tab w:val="left" w:pos="5530"/>
                    </w:tabs>
                    <w:rPr>
                      <w:rFonts w:cs="Times New Roman"/>
                      <w:color w:val="000000"/>
                      <w:kern w:val="2"/>
                      <w:szCs w:val="21"/>
                    </w:rPr>
                  </w:pPr>
                  <w:r>
                    <w:rPr>
                      <w:rFonts w:cs="Times New Roman"/>
                      <w:color w:val="000000"/>
                      <w:kern w:val="2"/>
                      <w:szCs w:val="21"/>
                    </w:rPr>
                    <w:t>厂</w:t>
                  </w:r>
                  <w:r>
                    <w:rPr>
                      <w:rFonts w:cs="Times New Roman"/>
                      <w:color w:val="000000"/>
                      <w:kern w:val="2"/>
                      <w:szCs w:val="21"/>
                      <w:lang w:val="en-US"/>
                    </w:rPr>
                    <w:t>区</w:t>
                  </w:r>
                  <w:r>
                    <w:rPr>
                      <w:rFonts w:cs="Times New Roman"/>
                      <w:color w:val="000000"/>
                      <w:kern w:val="2"/>
                      <w:szCs w:val="21"/>
                    </w:rPr>
                    <w:t>内无组织非甲烷总烃</w:t>
                  </w:r>
                </w:p>
              </w:tc>
              <w:tc>
                <w:tcPr>
                  <w:tcW w:w="712" w:type="pct"/>
                  <w:vAlign w:val="center"/>
                </w:tcPr>
                <w:p>
                  <w:pPr>
                    <w:pStyle w:val="43"/>
                    <w:tabs>
                      <w:tab w:val="left" w:pos="5530"/>
                    </w:tabs>
                    <w:rPr>
                      <w:rFonts w:cs="Times New Roman"/>
                      <w:color w:val="000000"/>
                      <w:kern w:val="2"/>
                      <w:szCs w:val="21"/>
                    </w:rPr>
                  </w:pPr>
                  <w:r>
                    <w:rPr>
                      <w:rFonts w:cs="Times New Roman"/>
                      <w:color w:val="000000"/>
                      <w:kern w:val="2"/>
                      <w:szCs w:val="21"/>
                    </w:rPr>
                    <w:t>厂房门窗距离地面1.5m以上位置处进行监测1个点，共1个监测点位</w:t>
                  </w:r>
                </w:p>
              </w:tc>
              <w:tc>
                <w:tcPr>
                  <w:tcW w:w="570" w:type="pct"/>
                  <w:vAlign w:val="center"/>
                </w:tcPr>
                <w:p>
                  <w:pPr>
                    <w:pStyle w:val="43"/>
                    <w:tabs>
                      <w:tab w:val="left" w:pos="5530"/>
                    </w:tabs>
                    <w:rPr>
                      <w:rFonts w:cs="Times New Roman"/>
                      <w:color w:val="000000"/>
                      <w:kern w:val="2"/>
                      <w:szCs w:val="21"/>
                    </w:rPr>
                  </w:pPr>
                  <w:r>
                    <w:rPr>
                      <w:rFonts w:cs="Times New Roman"/>
                      <w:color w:val="000000"/>
                      <w:kern w:val="2"/>
                      <w:szCs w:val="21"/>
                    </w:rPr>
                    <w:t>非甲烷总烃</w:t>
                  </w:r>
                </w:p>
              </w:tc>
              <w:tc>
                <w:tcPr>
                  <w:tcW w:w="584" w:type="pct"/>
                </w:tcPr>
                <w:p>
                  <w:pPr>
                    <w:pStyle w:val="43"/>
                    <w:tabs>
                      <w:tab w:val="left" w:pos="5530"/>
                    </w:tabs>
                    <w:rPr>
                      <w:rFonts w:cs="Times New Roman"/>
                      <w:color w:val="000000"/>
                      <w:kern w:val="2"/>
                      <w:szCs w:val="21"/>
                    </w:rPr>
                  </w:pPr>
                  <w:r>
                    <w:rPr>
                      <w:rFonts w:hint="eastAsia" w:cs="Times New Roman"/>
                      <w:color w:val="000000"/>
                      <w:kern w:val="2"/>
                      <w:szCs w:val="21"/>
                      <w:lang w:val="en-US"/>
                    </w:rPr>
                    <w:t>半年</w:t>
                  </w:r>
                  <w:r>
                    <w:rPr>
                      <w:rFonts w:cs="Times New Roman"/>
                      <w:color w:val="000000"/>
                      <w:kern w:val="2"/>
                      <w:szCs w:val="21"/>
                    </w:rPr>
                    <w:t>监测一次，连续监测2天，每天监测1h平均浓度值，其中1h监测采样在1h内以等时间间隔采集3个样品</w:t>
                  </w:r>
                </w:p>
              </w:tc>
              <w:tc>
                <w:tcPr>
                  <w:tcW w:w="1255" w:type="pct"/>
                  <w:vAlign w:val="center"/>
                </w:tcPr>
                <w:p>
                  <w:pPr>
                    <w:pStyle w:val="43"/>
                    <w:tabs>
                      <w:tab w:val="left" w:pos="5530"/>
                    </w:tabs>
                    <w:rPr>
                      <w:rFonts w:cs="Times New Roman"/>
                      <w:color w:val="000000"/>
                      <w:kern w:val="2"/>
                      <w:szCs w:val="21"/>
                    </w:rPr>
                  </w:pPr>
                  <w:r>
                    <w:rPr>
                      <w:rFonts w:cs="Times New Roman"/>
                      <w:szCs w:val="21"/>
                    </w:rPr>
                    <w:t>《挥发性有机物无组织排放控制标准》（</w:t>
                  </w:r>
                  <w:r>
                    <w:rPr>
                      <w:rFonts w:eastAsia="Times New Roman" w:cs="Times New Roman"/>
                      <w:szCs w:val="21"/>
                    </w:rPr>
                    <w:t>GB37822-2019</w:t>
                  </w:r>
                  <w:r>
                    <w:rPr>
                      <w:rFonts w:cs="Times New Roman"/>
                      <w:szCs w:val="21"/>
                    </w:rPr>
                    <w:t>）</w:t>
                  </w:r>
                </w:p>
              </w:tc>
              <w:tc>
                <w:tcPr>
                  <w:tcW w:w="1359" w:type="pct"/>
                </w:tcPr>
                <w:p>
                  <w:pPr>
                    <w:pStyle w:val="43"/>
                    <w:tabs>
                      <w:tab w:val="left" w:pos="5530"/>
                    </w:tabs>
                    <w:rPr>
                      <w:rFonts w:cs="Times New Roman"/>
                      <w:color w:val="000000"/>
                      <w:kern w:val="2"/>
                      <w:szCs w:val="21"/>
                    </w:rPr>
                  </w:pPr>
                  <w:r>
                    <w:rPr>
                      <w:rFonts w:cs="Times New Roman"/>
                      <w:color w:val="000000"/>
                      <w:kern w:val="2"/>
                      <w:szCs w:val="21"/>
                    </w:rPr>
                    <w:t>（HJ604-2017）《环境空气总烃、甲烷和非甲烷总烃的测定直接进样-气相色谱法》以及（HJ1012-2018）《环境空气和废气总烃、甲烷和非甲烷总烃便携式监测仪技术要求及检测方法》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517" w:type="pct"/>
                  <w:vAlign w:val="center"/>
                </w:tcPr>
                <w:p>
                  <w:pPr>
                    <w:pStyle w:val="43"/>
                    <w:tabs>
                      <w:tab w:val="left" w:pos="5530"/>
                    </w:tabs>
                    <w:rPr>
                      <w:rFonts w:cs="Times New Roman"/>
                      <w:color w:val="000000"/>
                      <w:kern w:val="2"/>
                      <w:szCs w:val="21"/>
                    </w:rPr>
                  </w:pPr>
                  <w:r>
                    <w:rPr>
                      <w:rFonts w:cs="Times New Roman"/>
                      <w:color w:val="000000"/>
                      <w:kern w:val="2"/>
                      <w:szCs w:val="21"/>
                    </w:rPr>
                    <w:t>有组织废气</w:t>
                  </w:r>
                </w:p>
              </w:tc>
              <w:tc>
                <w:tcPr>
                  <w:tcW w:w="712" w:type="pct"/>
                  <w:vAlign w:val="center"/>
                </w:tcPr>
                <w:p>
                  <w:pPr>
                    <w:pStyle w:val="43"/>
                    <w:tabs>
                      <w:tab w:val="left" w:pos="5530"/>
                    </w:tabs>
                    <w:rPr>
                      <w:rFonts w:cs="Times New Roman"/>
                      <w:color w:val="000000"/>
                      <w:kern w:val="2"/>
                      <w:szCs w:val="21"/>
                    </w:rPr>
                  </w:pPr>
                  <w:r>
                    <w:rPr>
                      <w:rFonts w:cs="Times New Roman"/>
                      <w:color w:val="000000"/>
                      <w:kern w:val="2"/>
                      <w:szCs w:val="21"/>
                    </w:rPr>
                    <w:t>DA00</w:t>
                  </w:r>
                  <w:r>
                    <w:rPr>
                      <w:rFonts w:cs="Times New Roman"/>
                      <w:color w:val="000000"/>
                      <w:kern w:val="2"/>
                      <w:szCs w:val="21"/>
                      <w:lang w:val="en-US"/>
                    </w:rPr>
                    <w:t>3</w:t>
                  </w:r>
                  <w:r>
                    <w:rPr>
                      <w:rFonts w:cs="Times New Roman"/>
                      <w:color w:val="000000"/>
                      <w:kern w:val="2"/>
                      <w:szCs w:val="21"/>
                    </w:rPr>
                    <w:t>排气筒排出口</w:t>
                  </w:r>
                </w:p>
              </w:tc>
              <w:tc>
                <w:tcPr>
                  <w:tcW w:w="570" w:type="pct"/>
                  <w:vAlign w:val="center"/>
                </w:tcPr>
                <w:p>
                  <w:pPr>
                    <w:pStyle w:val="43"/>
                    <w:tabs>
                      <w:tab w:val="left" w:pos="5530"/>
                    </w:tabs>
                    <w:rPr>
                      <w:rFonts w:cs="Times New Roman"/>
                      <w:color w:val="000000"/>
                      <w:kern w:val="2"/>
                      <w:szCs w:val="21"/>
                    </w:rPr>
                  </w:pPr>
                  <w:r>
                    <w:rPr>
                      <w:rFonts w:cs="Times New Roman"/>
                      <w:color w:val="000000"/>
                      <w:kern w:val="2"/>
                      <w:szCs w:val="21"/>
                    </w:rPr>
                    <w:t>颗粒物</w:t>
                  </w:r>
                </w:p>
              </w:tc>
              <w:tc>
                <w:tcPr>
                  <w:tcW w:w="584" w:type="pct"/>
                  <w:vAlign w:val="center"/>
                </w:tcPr>
                <w:p>
                  <w:pPr>
                    <w:pStyle w:val="43"/>
                    <w:tabs>
                      <w:tab w:val="left" w:pos="5530"/>
                    </w:tabs>
                    <w:rPr>
                      <w:rFonts w:cs="Times New Roman"/>
                      <w:color w:val="000000"/>
                      <w:kern w:val="2"/>
                      <w:szCs w:val="21"/>
                    </w:rPr>
                  </w:pPr>
                  <w:r>
                    <w:rPr>
                      <w:rFonts w:hint="eastAsia" w:cs="Times New Roman"/>
                      <w:color w:val="000000"/>
                      <w:kern w:val="2"/>
                      <w:szCs w:val="21"/>
                      <w:lang w:val="en-US"/>
                    </w:rPr>
                    <w:t>半年</w:t>
                  </w:r>
                  <w:r>
                    <w:rPr>
                      <w:rFonts w:cs="Times New Roman"/>
                      <w:color w:val="000000"/>
                      <w:kern w:val="2"/>
                      <w:szCs w:val="21"/>
                    </w:rPr>
                    <w:t>监测一次，连续监测2天，每天监测3次</w:t>
                  </w:r>
                </w:p>
              </w:tc>
              <w:tc>
                <w:tcPr>
                  <w:tcW w:w="1255" w:type="pct"/>
                  <w:vAlign w:val="center"/>
                </w:tcPr>
                <w:p>
                  <w:pPr>
                    <w:pStyle w:val="43"/>
                    <w:tabs>
                      <w:tab w:val="left" w:pos="5530"/>
                    </w:tabs>
                    <w:rPr>
                      <w:rFonts w:cs="Times New Roman"/>
                      <w:color w:val="000000"/>
                      <w:kern w:val="2"/>
                      <w:szCs w:val="21"/>
                    </w:rPr>
                  </w:pPr>
                  <w:r>
                    <w:rPr>
                      <w:rFonts w:cs="Times New Roman"/>
                      <w:color w:val="000000"/>
                      <w:kern w:val="2"/>
                      <w:szCs w:val="21"/>
                    </w:rPr>
                    <w:t>GB31572-2015《合成树脂工业污染物排放标准》表</w:t>
                  </w:r>
                  <w:r>
                    <w:rPr>
                      <w:rFonts w:cs="Times New Roman"/>
                      <w:color w:val="000000"/>
                      <w:kern w:val="2"/>
                      <w:szCs w:val="21"/>
                      <w:lang w:val="en-US"/>
                    </w:rPr>
                    <w:t>4排放标准</w:t>
                  </w:r>
                </w:p>
              </w:tc>
              <w:tc>
                <w:tcPr>
                  <w:tcW w:w="1359" w:type="pct"/>
                </w:tcPr>
                <w:p>
                  <w:pPr>
                    <w:pStyle w:val="43"/>
                    <w:tabs>
                      <w:tab w:val="left" w:pos="5530"/>
                    </w:tabs>
                    <w:rPr>
                      <w:rFonts w:cs="Times New Roman"/>
                      <w:color w:val="000000"/>
                      <w:kern w:val="2"/>
                      <w:szCs w:val="21"/>
                    </w:rPr>
                  </w:pPr>
                  <w:r>
                    <w:rPr>
                      <w:rFonts w:cs="Times New Roman"/>
                      <w:color w:val="000000"/>
                      <w:kern w:val="2"/>
                      <w:szCs w:val="21"/>
                    </w:rPr>
                    <w:t>《固定污染源排气中非甲烷总烃的测定气相色谱法》（HJ/T38）《固定污染源排气中颗粒物测定与气态污染物采样方法》（HJ/T16157）、《</w:t>
                  </w:r>
                  <w:r>
                    <w:rPr>
                      <w:rFonts w:cs="Times New Roman"/>
                      <w:color w:val="000000"/>
                      <w:kern w:val="2"/>
                      <w:szCs w:val="21"/>
                      <w:lang w:val="en-US"/>
                    </w:rPr>
                    <w:t>固定污染源废气 二氧化硫的测定 定电位电解法 HJ 57-2017</w:t>
                  </w:r>
                  <w:r>
                    <w:rPr>
                      <w:rFonts w:cs="Times New Roman"/>
                      <w:color w:val="000000"/>
                      <w:kern w:val="2"/>
                      <w:szCs w:val="21"/>
                    </w:rPr>
                    <w:t>》、《固定污染源废气氮氧化物的测定定电位电解法HJ 693-2014》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517" w:type="pct"/>
                  <w:vAlign w:val="center"/>
                </w:tcPr>
                <w:p>
                  <w:pPr>
                    <w:pStyle w:val="43"/>
                    <w:tabs>
                      <w:tab w:val="left" w:pos="5530"/>
                    </w:tabs>
                    <w:rPr>
                      <w:rFonts w:cs="Times New Roman"/>
                      <w:color w:val="000000"/>
                      <w:kern w:val="2"/>
                      <w:szCs w:val="21"/>
                      <w:lang w:val="en-US"/>
                    </w:rPr>
                  </w:pPr>
                  <w:r>
                    <w:rPr>
                      <w:rFonts w:cs="Times New Roman"/>
                      <w:color w:val="000000"/>
                      <w:kern w:val="2"/>
                      <w:szCs w:val="21"/>
                      <w:lang w:val="en-US"/>
                    </w:rPr>
                    <w:t>有组织废气</w:t>
                  </w:r>
                </w:p>
              </w:tc>
              <w:tc>
                <w:tcPr>
                  <w:tcW w:w="712" w:type="pct"/>
                  <w:vAlign w:val="center"/>
                </w:tcPr>
                <w:p>
                  <w:pPr>
                    <w:pStyle w:val="43"/>
                    <w:tabs>
                      <w:tab w:val="left" w:pos="5530"/>
                    </w:tabs>
                    <w:rPr>
                      <w:rFonts w:cs="Times New Roman"/>
                      <w:color w:val="000000"/>
                      <w:kern w:val="2"/>
                      <w:szCs w:val="21"/>
                      <w:lang w:val="en-US"/>
                    </w:rPr>
                  </w:pPr>
                  <w:r>
                    <w:rPr>
                      <w:rFonts w:cs="Times New Roman"/>
                      <w:color w:val="000000"/>
                      <w:kern w:val="2"/>
                      <w:szCs w:val="21"/>
                      <w:lang w:val="en-US"/>
                    </w:rPr>
                    <w:t>DA001</w:t>
                  </w:r>
                  <w:r>
                    <w:rPr>
                      <w:rFonts w:cs="Times New Roman"/>
                      <w:color w:val="000000"/>
                      <w:kern w:val="2"/>
                      <w:szCs w:val="21"/>
                    </w:rPr>
                    <w:t>排气筒排出口、</w:t>
                  </w:r>
                  <w:r>
                    <w:rPr>
                      <w:rFonts w:cs="Times New Roman"/>
                      <w:color w:val="000000"/>
                      <w:kern w:val="2"/>
                      <w:szCs w:val="21"/>
                      <w:lang w:val="en-US"/>
                    </w:rPr>
                    <w:t>DA002</w:t>
                  </w:r>
                  <w:r>
                    <w:rPr>
                      <w:rFonts w:cs="Times New Roman"/>
                      <w:color w:val="000000"/>
                      <w:kern w:val="2"/>
                      <w:szCs w:val="21"/>
                    </w:rPr>
                    <w:t>排气筒排出口、</w:t>
                  </w:r>
                </w:p>
              </w:tc>
              <w:tc>
                <w:tcPr>
                  <w:tcW w:w="570" w:type="pct"/>
                  <w:vAlign w:val="center"/>
                </w:tcPr>
                <w:p>
                  <w:pPr>
                    <w:pStyle w:val="43"/>
                    <w:tabs>
                      <w:tab w:val="left" w:pos="5530"/>
                    </w:tabs>
                    <w:rPr>
                      <w:rFonts w:cs="Times New Roman"/>
                      <w:color w:val="000000"/>
                      <w:kern w:val="2"/>
                      <w:szCs w:val="21"/>
                    </w:rPr>
                  </w:pPr>
                  <w:r>
                    <w:rPr>
                      <w:rFonts w:cs="Times New Roman"/>
                      <w:color w:val="000000"/>
                      <w:kern w:val="2"/>
                      <w:szCs w:val="21"/>
                    </w:rPr>
                    <w:t>非甲烷总烃</w:t>
                  </w:r>
                </w:p>
              </w:tc>
              <w:tc>
                <w:tcPr>
                  <w:tcW w:w="584" w:type="pct"/>
                  <w:vAlign w:val="center"/>
                </w:tcPr>
                <w:p>
                  <w:pPr>
                    <w:pStyle w:val="43"/>
                    <w:tabs>
                      <w:tab w:val="left" w:pos="5530"/>
                    </w:tabs>
                    <w:rPr>
                      <w:rFonts w:cs="Times New Roman"/>
                      <w:color w:val="000000"/>
                      <w:kern w:val="2"/>
                      <w:szCs w:val="21"/>
                    </w:rPr>
                  </w:pPr>
                  <w:r>
                    <w:rPr>
                      <w:rFonts w:hint="eastAsia" w:cs="Times New Roman"/>
                      <w:color w:val="000000"/>
                      <w:kern w:val="2"/>
                      <w:szCs w:val="21"/>
                      <w:lang w:val="en-US"/>
                    </w:rPr>
                    <w:t>半年</w:t>
                  </w:r>
                  <w:r>
                    <w:rPr>
                      <w:rFonts w:cs="Times New Roman"/>
                      <w:color w:val="000000"/>
                      <w:kern w:val="2"/>
                      <w:szCs w:val="21"/>
                    </w:rPr>
                    <w:t>监测一次，连续监测2天，每天监测3次</w:t>
                  </w:r>
                </w:p>
              </w:tc>
              <w:tc>
                <w:tcPr>
                  <w:tcW w:w="1255" w:type="pct"/>
                  <w:vAlign w:val="center"/>
                </w:tcPr>
                <w:p>
                  <w:pPr>
                    <w:pStyle w:val="43"/>
                    <w:tabs>
                      <w:tab w:val="left" w:pos="5530"/>
                    </w:tabs>
                    <w:rPr>
                      <w:rFonts w:cs="Times New Roman"/>
                      <w:color w:val="000000"/>
                      <w:kern w:val="2"/>
                      <w:szCs w:val="21"/>
                      <w:lang w:val="en-US"/>
                    </w:rPr>
                  </w:pPr>
                  <w:r>
                    <w:rPr>
                      <w:rFonts w:cs="Times New Roman"/>
                      <w:color w:val="000000"/>
                      <w:kern w:val="2"/>
                      <w:szCs w:val="21"/>
                    </w:rPr>
                    <w:t>GB31572-2015《合成树脂工业污染物排放标准》表</w:t>
                  </w:r>
                  <w:r>
                    <w:rPr>
                      <w:rFonts w:cs="Times New Roman"/>
                      <w:color w:val="000000"/>
                      <w:kern w:val="2"/>
                      <w:szCs w:val="21"/>
                      <w:lang w:val="en-US"/>
                    </w:rPr>
                    <w:t>4排放标准</w:t>
                  </w:r>
                </w:p>
              </w:tc>
              <w:tc>
                <w:tcPr>
                  <w:tcW w:w="1359" w:type="pct"/>
                </w:tcPr>
                <w:p>
                  <w:pPr>
                    <w:pStyle w:val="43"/>
                    <w:tabs>
                      <w:tab w:val="left" w:pos="5530"/>
                    </w:tabs>
                    <w:rPr>
                      <w:rFonts w:cs="Times New Roman"/>
                      <w:color w:val="000000"/>
                      <w:kern w:val="2"/>
                      <w:szCs w:val="21"/>
                    </w:rPr>
                  </w:pPr>
                  <w:r>
                    <w:rPr>
                      <w:rFonts w:cs="Times New Roman"/>
                      <w:color w:val="000000"/>
                      <w:kern w:val="2"/>
                      <w:szCs w:val="21"/>
                    </w:rPr>
                    <w:t>《固定污染源排气中非甲烷总烃的测定气相色谱法》（HJ/T38）《固定污染源排气中颗粒物测定与气态污染物采样方法》（HJ/T16157）、《</w:t>
                  </w:r>
                  <w:r>
                    <w:rPr>
                      <w:rFonts w:cs="Times New Roman"/>
                      <w:color w:val="000000"/>
                      <w:kern w:val="2"/>
                      <w:szCs w:val="21"/>
                      <w:lang w:val="en-US"/>
                    </w:rPr>
                    <w:t>固定污染源废气 二氧化硫的测定 定电位电解法 HJ 57-2017</w:t>
                  </w:r>
                  <w:r>
                    <w:rPr>
                      <w:rFonts w:cs="Times New Roman"/>
                      <w:color w:val="000000"/>
                      <w:kern w:val="2"/>
                      <w:szCs w:val="21"/>
                    </w:rPr>
                    <w:t>》、《固定污染源废气氮氧化物的测定定电位电解法HJ 693-2014》</w:t>
                  </w:r>
                </w:p>
              </w:tc>
            </w:tr>
          </w:tbl>
          <w:p>
            <w:pPr>
              <w:pStyle w:val="7"/>
              <w:snapToGrid w:val="0"/>
              <w:spacing w:line="360" w:lineRule="auto"/>
              <w:ind w:left="0" w:firstLine="482" w:firstLineChars="200"/>
              <w:rPr>
                <w:rFonts w:ascii="Times New Roman" w:hAnsi="Times New Roman" w:cs="Times New Roman"/>
              </w:rPr>
            </w:pPr>
            <w:r>
              <w:rPr>
                <w:rFonts w:ascii="Times New Roman" w:hAnsi="Times New Roman" w:cs="Times New Roman"/>
              </w:rPr>
              <w:t>二、运营期废水环境影响及保护措施</w:t>
            </w:r>
          </w:p>
          <w:p>
            <w:pPr>
              <w:snapToGrid w:val="0"/>
              <w:spacing w:line="360" w:lineRule="auto"/>
              <w:ind w:firstLine="482" w:firstLineChars="200"/>
              <w:rPr>
                <w:rFonts w:ascii="Times New Roman" w:hAnsi="Times New Roman" w:cs="Times New Roman"/>
                <w:b/>
                <w:bCs/>
                <w:lang w:val="en-US"/>
              </w:rPr>
            </w:pPr>
            <w:r>
              <w:rPr>
                <w:rFonts w:ascii="Times New Roman" w:hAnsi="Times New Roman" w:cs="Times New Roman"/>
                <w:b/>
                <w:bCs/>
                <w:lang w:val="en-US"/>
              </w:rPr>
              <w:t>1、项目用水情况</w:t>
            </w:r>
          </w:p>
          <w:p>
            <w:pPr>
              <w:pStyle w:val="14"/>
              <w:snapToGrid w:val="0"/>
              <w:spacing w:line="360" w:lineRule="auto"/>
              <w:ind w:right="257"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（1）生产用水</w:t>
            </w:r>
          </w:p>
          <w:p>
            <w:pPr>
              <w:pStyle w:val="14"/>
              <w:snapToGrid w:val="0"/>
              <w:spacing w:line="360" w:lineRule="auto"/>
              <w:ind w:right="257"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①智能冷水机冷却用水</w:t>
            </w:r>
          </w:p>
          <w:p>
            <w:pPr>
              <w:pStyle w:val="14"/>
              <w:snapToGrid w:val="0"/>
              <w:spacing w:line="360" w:lineRule="auto"/>
              <w:ind w:right="257" w:firstLine="456" w:firstLineChars="200"/>
              <w:jc w:val="both"/>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项目食品用塑料包装容器挤出生产线挤压工段</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及半成品食品用包装塑料冷却定型工序</w:t>
            </w:r>
            <w:r>
              <w:rPr>
                <w:rFonts w:ascii="Times New Roman" w:hAnsi="Times New Roman" w:eastAsia="宋体" w:cs="Times New Roman"/>
                <w:color w:val="000000" w:themeColor="text1"/>
                <w:spacing w:val="-6"/>
                <w:sz w:val="24"/>
                <w:szCs w:val="24"/>
                <w:lang w:val="en-US"/>
                <w14:textFill>
                  <w14:solidFill>
                    <w14:schemeClr w14:val="tx1"/>
                  </w14:solidFill>
                </w14:textFill>
              </w:rPr>
              <w:t>需用冷却水进行冷却，项目设置7条食品用塑料包装容器挤出生产线，设</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7</w:t>
            </w:r>
            <w:r>
              <w:rPr>
                <w:rFonts w:ascii="Times New Roman" w:hAnsi="Times New Roman" w:eastAsia="宋体" w:cs="Times New Roman"/>
                <w:color w:val="000000" w:themeColor="text1"/>
                <w:spacing w:val="-6"/>
                <w:sz w:val="24"/>
                <w:szCs w:val="24"/>
                <w:lang w:val="en-US"/>
                <w14:textFill>
                  <w14:solidFill>
                    <w14:schemeClr w14:val="tx1"/>
                  </w14:solidFill>
                </w14:textFill>
              </w:rPr>
              <w:t>套智能冷水机用于</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食品用塑料包装容器</w:t>
            </w:r>
            <w:r>
              <w:rPr>
                <w:rFonts w:ascii="Times New Roman" w:hAnsi="Times New Roman" w:eastAsia="宋体" w:cs="Times New Roman"/>
                <w:color w:val="000000" w:themeColor="text1"/>
                <w:spacing w:val="-6"/>
                <w:sz w:val="24"/>
                <w:szCs w:val="24"/>
                <w:lang w:val="en-US"/>
                <w14:textFill>
                  <w14:solidFill>
                    <w14:schemeClr w14:val="tx1"/>
                  </w14:solidFill>
                </w14:textFill>
              </w:rPr>
              <w:t>挤压工段</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及注塑工段半成品冷却定型工序</w:t>
            </w:r>
            <w:r>
              <w:rPr>
                <w:rFonts w:ascii="Times New Roman" w:hAnsi="Times New Roman" w:eastAsia="宋体" w:cs="Times New Roman"/>
                <w:color w:val="000000" w:themeColor="text1"/>
                <w:spacing w:val="-6"/>
                <w:sz w:val="24"/>
                <w:szCs w:val="24"/>
                <w:lang w:val="en-US"/>
                <w14:textFill>
                  <w14:solidFill>
                    <w14:schemeClr w14:val="tx1"/>
                  </w14:solidFill>
                </w14:textFill>
              </w:rPr>
              <w:t>进行冷却，智能冷水机设有冷却水槽，位于智能冷水机设备内。因冷却水槽容积为0.13m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（则7个智能冷水机为0.91m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），根据业主提供资料</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w:t>
            </w:r>
            <w:r>
              <w:rPr>
                <w:rFonts w:ascii="Times New Roman" w:hAnsi="Times New Roman" w:eastAsia="宋体" w:cs="Times New Roman"/>
                <w:color w:val="000000" w:themeColor="text1"/>
                <w:spacing w:val="-6"/>
                <w:sz w:val="24"/>
                <w:szCs w:val="24"/>
                <w:lang w:val="en-US"/>
                <w14:textFill>
                  <w14:solidFill>
                    <w14:schemeClr w14:val="tx1"/>
                  </w14:solidFill>
                </w14:textFill>
              </w:rPr>
              <w:t>循环冷却水的补充</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需求</w:t>
            </w:r>
            <w:r>
              <w:rPr>
                <w:rFonts w:ascii="Times New Roman" w:hAnsi="Times New Roman" w:eastAsia="宋体" w:cs="Times New Roman"/>
                <w:color w:val="000000" w:themeColor="text1"/>
                <w:spacing w:val="-6"/>
                <w:sz w:val="24"/>
                <w:szCs w:val="24"/>
                <w:lang w:val="en-US"/>
                <w14:textFill>
                  <w14:solidFill>
                    <w14:schemeClr w14:val="tx1"/>
                  </w14:solidFill>
                </w14:textFill>
              </w:rPr>
              <w:t>量为</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0.082</w:t>
            </w:r>
            <w:r>
              <w:rPr>
                <w:rFonts w:ascii="Times New Roman" w:hAnsi="Times New Roman" w:eastAsia="宋体" w:cs="Times New Roman"/>
                <w:color w:val="000000" w:themeColor="text1"/>
                <w:spacing w:val="-6"/>
                <w:sz w:val="24"/>
                <w:szCs w:val="24"/>
                <w:lang w:val="en-US"/>
                <w14:textFill>
                  <w14:solidFill>
                    <w14:schemeClr w14:val="tx1"/>
                  </w14:solidFill>
                </w14:textFill>
              </w:rPr>
              <w:t>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/d(</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17.22</w:t>
            </w:r>
            <w:r>
              <w:rPr>
                <w:rFonts w:ascii="Times New Roman" w:hAnsi="Times New Roman" w:eastAsia="宋体" w:cs="Times New Roman"/>
                <w:color w:val="000000" w:themeColor="text1"/>
                <w:spacing w:val="-6"/>
                <w:sz w:val="24"/>
                <w:szCs w:val="24"/>
                <w:lang w:val="en-US"/>
                <w14:textFill>
                  <w14:solidFill>
                    <w14:schemeClr w14:val="tx1"/>
                  </w14:solidFill>
                </w14:textFill>
              </w:rPr>
              <w:t>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/a)，而冷却水循环使用</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的量为</w:t>
            </w:r>
            <w:r>
              <w:rPr>
                <w:rFonts w:ascii="Times New Roman" w:hAnsi="Times New Roman" w:eastAsia="宋体" w:cs="Times New Roman"/>
                <w:color w:val="000000" w:themeColor="text1"/>
                <w:spacing w:val="-6"/>
                <w:sz w:val="24"/>
                <w:szCs w:val="24"/>
                <w:lang w:val="en-US"/>
                <w14:textFill>
                  <w14:solidFill>
                    <w14:schemeClr w14:val="tx1"/>
                  </w14:solidFill>
                </w14:textFill>
              </w:rPr>
              <w:t>0.8287m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/d(</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174.03</w:t>
            </w:r>
            <w:r>
              <w:rPr>
                <w:rFonts w:ascii="Times New Roman" w:hAnsi="Times New Roman" w:eastAsia="宋体" w:cs="Times New Roman"/>
                <w:color w:val="000000" w:themeColor="text1"/>
                <w:spacing w:val="-6"/>
                <w:sz w:val="24"/>
                <w:szCs w:val="24"/>
                <w:lang w:val="en-US"/>
                <w14:textFill>
                  <w14:solidFill>
                    <w14:schemeClr w14:val="tx1"/>
                  </w14:solidFill>
                </w14:textFill>
              </w:rPr>
              <w:t>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则本项目冷却水量为174.94</w:t>
            </w:r>
            <w:r>
              <w:rPr>
                <w:rFonts w:ascii="Times New Roman" w:hAnsi="Times New Roman" w:eastAsia="宋体" w:cs="Times New Roman"/>
                <w:color w:val="000000" w:themeColor="text1"/>
                <w:spacing w:val="-6"/>
                <w:sz w:val="24"/>
                <w:szCs w:val="24"/>
                <w:lang w:val="en-US"/>
                <w14:textFill>
                  <w14:solidFill>
                    <w14:schemeClr w14:val="tx1"/>
                  </w14:solidFill>
                </w14:textFill>
              </w:rPr>
              <w:t>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w:t>
            </w:r>
            <w:r>
              <w:rPr>
                <w:rFonts w:ascii="Times New Roman" w:hAnsi="Times New Roman" w:eastAsia="宋体" w:cs="Times New Roman"/>
                <w:color w:val="000000" w:themeColor="text1"/>
                <w:spacing w:val="-6"/>
                <w:sz w:val="24"/>
                <w:szCs w:val="24"/>
                <w:lang w:val="en-US"/>
                <w14:textFill>
                  <w14:solidFill>
                    <w14:schemeClr w14:val="tx1"/>
                  </w14:solidFill>
                </w14:textFill>
              </w:rPr>
              <w:t>项目循环水系统水质不受污染，仅水温升高，故循环水经冷却降温后循环使用，没有生产废水产生。</w:t>
            </w:r>
          </w:p>
          <w:p>
            <w:pPr>
              <w:pStyle w:val="14"/>
              <w:snapToGrid w:val="0"/>
              <w:spacing w:line="360" w:lineRule="auto"/>
              <w:ind w:right="257"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②</w:t>
            </w:r>
            <w:r>
              <w:rPr>
                <w:rFonts w:hint="eastAsia" w:ascii="Times New Roman" w:hAnsi="Times New Roman" w:eastAsia="宋体" w:cs="Times New Roman"/>
                <w:color w:val="000000" w:themeColor="text1"/>
                <w:spacing w:val="-6"/>
                <w:sz w:val="24"/>
                <w:szCs w:val="24"/>
                <w:lang w:val="en-US"/>
                <w14:textFill>
                  <w14:solidFill>
                    <w14:schemeClr w14:val="tx1"/>
                  </w14:solidFill>
                </w14:textFill>
              </w:rPr>
              <w:t>注塑机及挤出机</w:t>
            </w:r>
            <w:r>
              <w:rPr>
                <w:rFonts w:ascii="Times New Roman" w:hAnsi="Times New Roman" w:eastAsia="宋体" w:cs="Times New Roman"/>
                <w:color w:val="000000" w:themeColor="text1"/>
                <w:spacing w:val="-6"/>
                <w:sz w:val="24"/>
                <w:szCs w:val="24"/>
                <w:lang w:val="en-US"/>
                <w14:textFill>
                  <w14:solidFill>
                    <w14:schemeClr w14:val="tx1"/>
                  </w14:solidFill>
                </w14:textFill>
              </w:rPr>
              <w:t>冷却用水</w:t>
            </w:r>
          </w:p>
          <w:p>
            <w:pPr>
              <w:pStyle w:val="24"/>
              <w:autoSpaceDE/>
              <w:autoSpaceDN/>
              <w:snapToGrid w:val="0"/>
              <w:spacing w:line="360" w:lineRule="auto"/>
              <w:ind w:firstLine="456" w:firstLineChars="200"/>
              <w:jc w:val="left"/>
              <w:rPr>
                <w:rFonts w:ascii="Times New Roman" w:hAnsi="Times New Roman" w:eastAsia="宋体" w:cs="Times New Roman"/>
                <w:color w:val="000000" w:themeColor="text1"/>
                <w:spacing w:val="-6"/>
                <w:szCs w:val="24"/>
                <w:lang w:val="en-US"/>
                <w14:textFill>
                  <w14:solidFill>
                    <w14:schemeClr w14:val="tx1"/>
                  </w14:solidFill>
                </w14:textFill>
              </w:rPr>
            </w:pPr>
            <w:r>
              <w:rPr>
                <w:rFonts w:ascii="Times New Roman" w:hAnsi="Times New Roman" w:eastAsia="宋体" w:cs="Times New Roman"/>
                <w:color w:val="000000" w:themeColor="text1"/>
                <w:spacing w:val="-6"/>
                <w:szCs w:val="24"/>
                <w:lang w:val="en-US"/>
                <w14:textFill>
                  <w14:solidFill>
                    <w14:schemeClr w14:val="tx1"/>
                  </w14:solidFill>
                </w14:textFill>
              </w:rPr>
              <w:t>项目食品用塑料包装容器挤出生产线</w:t>
            </w:r>
            <w:r>
              <w:rPr>
                <w:rFonts w:hint="eastAsia" w:ascii="Times New Roman" w:hAnsi="Times New Roman" w:eastAsia="宋体" w:cs="Times New Roman"/>
                <w:color w:val="000000" w:themeColor="text1"/>
                <w:spacing w:val="-6"/>
                <w:szCs w:val="24"/>
                <w:lang w:val="en-US"/>
                <w14:textFill>
                  <w14:solidFill>
                    <w14:schemeClr w14:val="tx1"/>
                  </w14:solidFill>
                </w14:textFill>
              </w:rPr>
              <w:t>的</w:t>
            </w:r>
            <w:r>
              <w:rPr>
                <w:rFonts w:ascii="Times New Roman" w:hAnsi="Times New Roman" w:eastAsia="宋体" w:cs="Times New Roman"/>
                <w:color w:val="000000" w:themeColor="text1"/>
                <w:spacing w:val="-6"/>
                <w:szCs w:val="24"/>
                <w:lang w:val="en-US"/>
                <w14:textFill>
                  <w14:solidFill>
                    <w14:schemeClr w14:val="tx1"/>
                  </w14:solidFill>
                </w14:textFill>
              </w:rPr>
              <w:t>挤压工段</w:t>
            </w:r>
            <w:r>
              <w:rPr>
                <w:rFonts w:hint="eastAsia" w:ascii="Times New Roman" w:hAnsi="Times New Roman" w:eastAsia="宋体" w:cs="Times New Roman"/>
                <w:color w:val="000000" w:themeColor="text1"/>
                <w:spacing w:val="-6"/>
                <w:szCs w:val="24"/>
                <w:lang w:val="en-US"/>
                <w14:textFill>
                  <w14:solidFill>
                    <w14:schemeClr w14:val="tx1"/>
                  </w14:solidFill>
                </w14:textFill>
              </w:rPr>
              <w:t>及</w:t>
            </w:r>
            <w:r>
              <w:rPr>
                <w:rFonts w:hint="eastAsia" w:ascii="Times New Roman" w:hAnsi="Times New Roman" w:eastAsia="宋体" w:cs="Times New Roman"/>
                <w:color w:val="000000" w:themeColor="text1"/>
                <w:spacing w:val="-6"/>
                <w:szCs w:val="24"/>
                <w:lang w:val="en-US" w:eastAsia="zh-CN"/>
                <w14:textFill>
                  <w14:solidFill>
                    <w14:schemeClr w14:val="tx1"/>
                  </w14:solidFill>
                </w14:textFill>
              </w:rPr>
              <w:t>注塑生产线的注塑工段</w:t>
            </w:r>
            <w:r>
              <w:rPr>
                <w:rFonts w:hint="eastAsia" w:ascii="Times New Roman" w:hAnsi="Times New Roman" w:eastAsia="宋体" w:cs="Times New Roman"/>
                <w:color w:val="000000" w:themeColor="text1"/>
                <w:spacing w:val="-6"/>
                <w:szCs w:val="24"/>
                <w:lang w:val="en-US"/>
                <w14:textFill>
                  <w14:solidFill>
                    <w14:schemeClr w14:val="tx1"/>
                  </w14:solidFill>
                </w14:textFill>
              </w:rPr>
              <w:t>需用冷却水对</w:t>
            </w:r>
            <w:r>
              <w:rPr>
                <w:rFonts w:hint="eastAsia" w:ascii="Times New Roman" w:hAnsi="Times New Roman" w:eastAsia="宋体" w:cs="Times New Roman"/>
                <w:color w:val="000000" w:themeColor="text1"/>
                <w:spacing w:val="-6"/>
                <w:szCs w:val="24"/>
                <w:lang w:val="en-US" w:eastAsia="zh-CN"/>
                <w14:textFill>
                  <w14:solidFill>
                    <w14:schemeClr w14:val="tx1"/>
                  </w14:solidFill>
                </w14:textFill>
              </w:rPr>
              <w:t>挤出机</w:t>
            </w:r>
            <w:r>
              <w:rPr>
                <w:rFonts w:hint="eastAsia" w:ascii="Times New Roman" w:hAnsi="Times New Roman" w:eastAsia="宋体" w:cs="Times New Roman"/>
                <w:color w:val="000000" w:themeColor="text1"/>
                <w:spacing w:val="-6"/>
                <w:szCs w:val="24"/>
                <w:lang w:val="en-US"/>
                <w14:textFill>
                  <w14:solidFill>
                    <w14:schemeClr w14:val="tx1"/>
                  </w14:solidFill>
                </w14:textFill>
              </w:rPr>
              <w:t>及注塑机加热部分进行冷却，项目设1个冷却循环水池，通过用管道接通冷却循环水池用于半成品食品用塑料包装容器注塑机及挤出机进行冷却。</w:t>
            </w:r>
          </w:p>
          <w:p>
            <w:pPr>
              <w:spacing w:line="360" w:lineRule="auto"/>
            </w:pPr>
            <w:r>
              <w:rPr>
                <w:rFonts w:hint="eastAsia" w:ascii="Times New Roman" w:hAnsi="Times New Roman" w:eastAsia="宋体" w:cs="Times New Roman"/>
                <w:color w:val="000000" w:themeColor="text1"/>
                <w:spacing w:val="-6"/>
                <w:szCs w:val="24"/>
                <w:lang w:val="en-US"/>
                <w14:textFill>
                  <w14:solidFill>
                    <w14:schemeClr w14:val="tx1"/>
                  </w14:solidFill>
                </w14:textFill>
              </w:rPr>
              <w:t>冷却循环水池容积为29m</w:t>
            </w:r>
            <w:r>
              <w:rPr>
                <w:rFonts w:hint="eastAsia" w:ascii="Times New Roman" w:hAnsi="Times New Roman" w:eastAsia="宋体" w:cs="Times New Roman"/>
                <w:color w:val="000000" w:themeColor="text1"/>
                <w:spacing w:val="-6"/>
                <w:szCs w:val="24"/>
                <w:vertAlign w:val="superscript"/>
                <w:lang w:val="en-US"/>
                <w14:textFill>
                  <w14:solidFill>
                    <w14:schemeClr w14:val="tx1"/>
                  </w14:solidFill>
                </w14:textFill>
              </w:rPr>
              <w:t>3</w:t>
            </w:r>
            <w:r>
              <w:rPr>
                <w:rFonts w:hint="eastAsia" w:ascii="Times New Roman" w:hAnsi="Times New Roman" w:eastAsia="宋体" w:cs="Times New Roman"/>
                <w:color w:val="000000" w:themeColor="text1"/>
                <w:spacing w:val="-6"/>
                <w:szCs w:val="24"/>
                <w:lang w:val="en-US"/>
                <w14:textFill>
                  <w14:solidFill>
                    <w14:schemeClr w14:val="tx1"/>
                  </w14:solidFill>
                </w14:textFill>
              </w:rPr>
              <w:t>，根据业主提供资料，循环冷却水的补充量为0.58m</w:t>
            </w:r>
            <w:r>
              <w:rPr>
                <w:rFonts w:hint="eastAsia" w:ascii="Times New Roman" w:hAnsi="Times New Roman" w:eastAsia="宋体" w:cs="Times New Roman"/>
                <w:color w:val="000000" w:themeColor="text1"/>
                <w:spacing w:val="-6"/>
                <w:szCs w:val="24"/>
                <w:vertAlign w:val="superscript"/>
                <w:lang w:val="en-US"/>
                <w14:textFill>
                  <w14:solidFill>
                    <w14:schemeClr w14:val="tx1"/>
                  </w14:solidFill>
                </w14:textFill>
              </w:rPr>
              <w:t>3</w:t>
            </w:r>
            <w:r>
              <w:rPr>
                <w:rFonts w:hint="eastAsia" w:ascii="Times New Roman" w:hAnsi="Times New Roman" w:eastAsia="宋体" w:cs="Times New Roman"/>
                <w:color w:val="000000" w:themeColor="text1"/>
                <w:spacing w:val="-6"/>
                <w:szCs w:val="24"/>
                <w:lang w:val="en-US"/>
                <w14:textFill>
                  <w14:solidFill>
                    <w14:schemeClr w14:val="tx1"/>
                  </w14:solidFill>
                </w14:textFill>
              </w:rPr>
              <w:t>/d(121.8m</w:t>
            </w:r>
            <w:r>
              <w:rPr>
                <w:rFonts w:hint="eastAsia" w:ascii="Times New Roman" w:hAnsi="Times New Roman" w:eastAsia="宋体" w:cs="Times New Roman"/>
                <w:color w:val="000000" w:themeColor="text1"/>
                <w:spacing w:val="-6"/>
                <w:szCs w:val="24"/>
                <w:vertAlign w:val="superscript"/>
                <w:lang w:val="en-US"/>
                <w14:textFill>
                  <w14:solidFill>
                    <w14:schemeClr w14:val="tx1"/>
                  </w14:solidFill>
                </w14:textFill>
              </w:rPr>
              <w:t>3</w:t>
            </w:r>
            <w:r>
              <w:rPr>
                <w:rFonts w:hint="eastAsia" w:ascii="Times New Roman" w:hAnsi="Times New Roman" w:eastAsia="宋体" w:cs="Times New Roman"/>
                <w:color w:val="000000" w:themeColor="text1"/>
                <w:spacing w:val="-6"/>
                <w:szCs w:val="24"/>
                <w:lang w:val="en-US"/>
                <w14:textFill>
                  <w14:solidFill>
                    <w14:schemeClr w14:val="tx1"/>
                  </w14:solidFill>
                </w14:textFill>
              </w:rPr>
              <w:t>/a)，</w:t>
            </w:r>
            <w:r>
              <w:rPr>
                <w:rFonts w:hint="eastAsia" w:ascii="Times New Roman" w:hAnsi="Times New Roman" w:eastAsia="宋体" w:cs="Times New Roman"/>
                <w:color w:val="000000" w:themeColor="text1"/>
                <w:spacing w:val="-6"/>
                <w:szCs w:val="24"/>
                <w:lang w:val="en-US" w:eastAsia="zh-CN"/>
                <w14:textFill>
                  <w14:solidFill>
                    <w14:schemeClr w14:val="tx1"/>
                  </w14:solidFill>
                </w14:textFill>
              </w:rPr>
              <w:t>则本项目冷却水量为150.8</w:t>
            </w:r>
            <w:r>
              <w:rPr>
                <w:rFonts w:hint="eastAsia" w:ascii="Times New Roman" w:hAnsi="Times New Roman" w:eastAsia="宋体" w:cs="Times New Roman"/>
                <w:color w:val="000000" w:themeColor="text1"/>
                <w:spacing w:val="-6"/>
                <w:szCs w:val="24"/>
                <w:lang w:val="en-US"/>
                <w14:textFill>
                  <w14:solidFill>
                    <w14:schemeClr w14:val="tx1"/>
                  </w14:solidFill>
                </w14:textFill>
              </w:rPr>
              <w:t>m</w:t>
            </w:r>
            <w:r>
              <w:rPr>
                <w:rFonts w:hint="eastAsia" w:ascii="Times New Roman" w:hAnsi="Times New Roman" w:eastAsia="宋体" w:cs="Times New Roman"/>
                <w:color w:val="000000" w:themeColor="text1"/>
                <w:spacing w:val="-6"/>
                <w:szCs w:val="24"/>
                <w:vertAlign w:val="superscript"/>
                <w:lang w:val="en-US"/>
                <w14:textFill>
                  <w14:solidFill>
                    <w14:schemeClr w14:val="tx1"/>
                  </w14:solidFill>
                </w14:textFill>
              </w:rPr>
              <w:t>3</w:t>
            </w:r>
            <w:r>
              <w:rPr>
                <w:rFonts w:hint="eastAsia" w:ascii="Times New Roman" w:hAnsi="Times New Roman" w:eastAsia="宋体" w:cs="Times New Roman"/>
                <w:color w:val="000000" w:themeColor="text1"/>
                <w:spacing w:val="-6"/>
                <w:szCs w:val="24"/>
                <w:lang w:val="en-US"/>
                <w14:textFill>
                  <w14:solidFill>
                    <w14:schemeClr w14:val="tx1"/>
                  </w14:solidFill>
                </w14:textFill>
              </w:rPr>
              <w:t>/a</w:t>
            </w:r>
            <w:r>
              <w:rPr>
                <w:rFonts w:hint="eastAsia" w:ascii="Times New Roman" w:hAnsi="Times New Roman" w:eastAsia="宋体" w:cs="Times New Roman"/>
                <w:color w:val="000000" w:themeColor="text1"/>
                <w:spacing w:val="-6"/>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6"/>
                <w:szCs w:val="24"/>
                <w:lang w:val="en-US"/>
                <w14:textFill>
                  <w14:solidFill>
                    <w14:schemeClr w14:val="tx1"/>
                  </w14:solidFill>
                </w14:textFill>
              </w:rPr>
              <w:t>项目循环水系统水质不受污染，仅水温升高，故循环水经</w:t>
            </w:r>
          </w:p>
          <w:p>
            <w:pPr>
              <w:pStyle w:val="24"/>
              <w:autoSpaceDE/>
              <w:autoSpaceDN/>
              <w:snapToGrid w:val="0"/>
              <w:spacing w:line="360" w:lineRule="auto"/>
              <w:ind w:firstLine="456" w:firstLineChars="200"/>
              <w:jc w:val="both"/>
              <w:rPr>
                <w:rFonts w:ascii="Times New Roman" w:hAnsi="Times New Roman" w:eastAsia="宋体" w:cs="Times New Roman"/>
                <w:color w:val="000000" w:themeColor="text1"/>
                <w:spacing w:val="-6"/>
                <w:szCs w:val="24"/>
                <w:lang w:val="en-US"/>
                <w14:textFill>
                  <w14:solidFill>
                    <w14:schemeClr w14:val="tx1"/>
                  </w14:solidFill>
                </w14:textFill>
              </w:rPr>
            </w:pPr>
            <w:r>
              <w:rPr>
                <w:rFonts w:hint="eastAsia" w:ascii="Times New Roman" w:hAnsi="Times New Roman" w:eastAsia="宋体" w:cs="Times New Roman"/>
                <w:color w:val="000000" w:themeColor="text1"/>
                <w:spacing w:val="-6"/>
                <w:szCs w:val="24"/>
                <w:lang w:val="en-US"/>
                <w14:textFill>
                  <w14:solidFill>
                    <w14:schemeClr w14:val="tx1"/>
                  </w14:solidFill>
                </w14:textFill>
              </w:rPr>
              <w:t>冷却降温后循环使用，没有生产废水产生。</w:t>
            </w:r>
          </w:p>
          <w:p>
            <w:pPr>
              <w:pStyle w:val="24"/>
              <w:autoSpaceDE/>
              <w:autoSpaceDN/>
              <w:snapToGrid w:val="0"/>
              <w:spacing w:line="360" w:lineRule="auto"/>
              <w:ind w:firstLine="456" w:firstLineChars="200"/>
              <w:rPr>
                <w:rFonts w:ascii="Times New Roman" w:hAnsi="Times New Roman" w:eastAsia="宋体" w:cs="Times New Roman"/>
                <w:color w:val="000000" w:themeColor="text1"/>
                <w:spacing w:val="-6"/>
                <w:szCs w:val="24"/>
                <w:lang w:val="en-US"/>
                <w14:textFill>
                  <w14:solidFill>
                    <w14:schemeClr w14:val="tx1"/>
                  </w14:solidFill>
                </w14:textFill>
              </w:rPr>
            </w:pPr>
            <w:r>
              <w:rPr>
                <w:rFonts w:ascii="Times New Roman" w:hAnsi="Times New Roman" w:eastAsia="宋体" w:cs="Times New Roman"/>
                <w:color w:val="000000" w:themeColor="text1"/>
                <w:spacing w:val="-6"/>
                <w:szCs w:val="24"/>
                <w:lang w:val="en-US"/>
                <w14:textFill>
                  <w14:solidFill>
                    <w14:schemeClr w14:val="tx1"/>
                  </w14:solidFill>
                </w14:textFill>
              </w:rPr>
              <w:t>（2）生活用水</w:t>
            </w:r>
          </w:p>
          <w:p>
            <w:pPr>
              <w:pStyle w:val="14"/>
              <w:snapToGrid w:val="0"/>
              <w:spacing w:line="360" w:lineRule="auto"/>
              <w:ind w:right="257"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①生活污水</w:t>
            </w:r>
          </w:p>
          <w:p>
            <w:pPr>
              <w:pStyle w:val="14"/>
              <w:snapToGrid w:val="0"/>
              <w:spacing w:line="360" w:lineRule="auto"/>
              <w:ind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lang w:val="en-US"/>
                <w14:textFill>
                  <w14:solidFill>
                    <w14:schemeClr w14:val="tx1"/>
                  </w14:solidFill>
                </w14:textFill>
              </w:rPr>
              <w:t>项目投入运营后每天的厂区工作人员约20人，均不在厂区内食宿，生活用水参考GB53/T168-2019《云南省地方标准用水定额》标准，职工生活用水量按每人每天100L计（其他生活用水占80%，食堂用水占20%），年生产天数按210天计，本项目员工不在厂区内食宿，则职工其他生活用水为2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/d（420m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/a），废水产生系数按照0.8计，则职工生活废水产生量为1.6m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/d（336m</w:t>
            </w:r>
            <w:r>
              <w:rPr>
                <w:rFonts w:ascii="Times New Roman" w:hAnsi="Times New Roman" w:eastAsia="宋体" w:cs="Times New Roman"/>
                <w:color w:val="000000" w:themeColor="text1"/>
                <w:spacing w:val="-6"/>
                <w:sz w:val="24"/>
                <w:szCs w:val="24"/>
                <w:vertAlign w:val="superscript"/>
                <w:lang w:val="en-US"/>
                <w14:textFill>
                  <w14:solidFill>
                    <w14:schemeClr w14:val="tx1"/>
                  </w14:solidFill>
                </w14:textFill>
              </w:rPr>
              <w:t>3</w:t>
            </w:r>
            <w:r>
              <w:rPr>
                <w:rFonts w:ascii="Times New Roman" w:hAnsi="Times New Roman" w:eastAsia="宋体" w:cs="Times New Roman"/>
                <w:color w:val="000000" w:themeColor="text1"/>
                <w:spacing w:val="-6"/>
                <w:sz w:val="24"/>
                <w:szCs w:val="24"/>
                <w:lang w:val="en-US"/>
                <w14:textFill>
                  <w14:solidFill>
                    <w14:schemeClr w14:val="tx1"/>
                  </w14:solidFill>
                </w14:textFill>
              </w:rPr>
              <w:t>/a）；其他职工生活废水排入园区化粪池处理，废水中主要污染物为CODcr、BOD</w:t>
            </w:r>
            <w:r>
              <w:rPr>
                <w:rFonts w:ascii="Times New Roman" w:hAnsi="Times New Roman" w:eastAsia="宋体" w:cs="Times New Roman"/>
                <w:color w:val="000000" w:themeColor="text1"/>
                <w:spacing w:val="-6"/>
                <w:sz w:val="24"/>
                <w:szCs w:val="24"/>
                <w:vertAlign w:val="subscript"/>
                <w:lang w:val="en-US"/>
                <w14:textFill>
                  <w14:solidFill>
                    <w14:schemeClr w14:val="tx1"/>
                  </w14:solidFill>
                </w14:textFill>
              </w:rPr>
              <w:t>5</w:t>
            </w:r>
            <w:r>
              <w:rPr>
                <w:rFonts w:ascii="Times New Roman" w:hAnsi="Times New Roman" w:eastAsia="宋体" w:cs="Times New Roman"/>
                <w:color w:val="000000" w:themeColor="text1"/>
                <w:spacing w:val="-6"/>
                <w:sz w:val="24"/>
                <w:szCs w:val="24"/>
                <w:lang w:val="en-US"/>
                <w14:textFill>
                  <w14:solidFill>
                    <w14:schemeClr w14:val="tx1"/>
                  </w14:solidFill>
                </w14:textFill>
              </w:rPr>
              <w:t>、SS、氨氮、总磷等污染物，根据《我国城市生活污水水质统计数据》，各种污染物的浓度分别为CODcr：400mg/L，BOD5：220mg/L，SS：300mg/L，NH3-N：20mg/L，动植物油：50mg/L，TP：7mg/L。</w:t>
            </w:r>
          </w:p>
          <w:p>
            <w:pPr>
              <w:pStyle w:val="14"/>
              <w:snapToGrid w:val="0"/>
              <w:spacing w:line="360" w:lineRule="auto"/>
              <w:ind w:firstLine="456" w:firstLineChars="200"/>
              <w:rPr>
                <w:rFonts w:ascii="Times New Roman" w:hAnsi="Times New Roman" w:eastAsia="宋体" w:cs="Times New Roman"/>
                <w:color w:val="000000" w:themeColor="text1"/>
                <w:spacing w:val="-6"/>
                <w:sz w:val="24"/>
                <w:szCs w:val="24"/>
                <w:lang w:val="en-US"/>
                <w14:textFill>
                  <w14:solidFill>
                    <w14:schemeClr w14:val="tx1"/>
                  </w14:solidFill>
                </w14:textFill>
              </w:rPr>
            </w:pPr>
            <w:r>
              <w:rPr>
                <w:rFonts w:ascii="Times New Roman" w:hAnsi="Times New Roman" w:eastAsia="宋体" w:cs="Times New Roman"/>
                <w:color w:val="000000" w:themeColor="text1"/>
                <w:spacing w:val="-6"/>
                <w:sz w:val="24"/>
                <w:szCs w:val="24"/>
                <w14:textFill>
                  <w14:solidFill>
                    <w14:schemeClr w14:val="tx1"/>
                  </w14:solidFill>
                </w14:textFill>
              </w:rPr>
              <w:t>生活污水排入</w:t>
            </w:r>
            <w:r>
              <w:rPr>
                <w:rFonts w:ascii="Times New Roman" w:hAnsi="Times New Roman" w:eastAsia="宋体" w:cs="Times New Roman"/>
                <w:color w:val="000000" w:themeColor="text1"/>
                <w:spacing w:val="-6"/>
                <w:sz w:val="24"/>
                <w:szCs w:val="24"/>
                <w:lang w:val="en-US"/>
                <w14:textFill>
                  <w14:solidFill>
                    <w14:schemeClr w14:val="tx1"/>
                  </w14:solidFill>
                </w14:textFill>
              </w:rPr>
              <w:t>依托云南俊腾达标准厂房开发有限公司</w:t>
            </w:r>
            <w:r>
              <w:rPr>
                <w:rFonts w:ascii="Times New Roman" w:hAnsi="Times New Roman" w:eastAsia="宋体" w:cs="Times New Roman"/>
                <w:color w:val="000000" w:themeColor="text1"/>
                <w:spacing w:val="-6"/>
                <w:sz w:val="24"/>
                <w:szCs w:val="24"/>
                <w14:textFill>
                  <w14:solidFill>
                    <w14:schemeClr w14:val="tx1"/>
                  </w14:solidFill>
                </w14:textFill>
              </w:rPr>
              <w:t>的化粪池，经化粪池处理后</w:t>
            </w:r>
            <w:r>
              <w:rPr>
                <w:rFonts w:ascii="Times New Roman" w:hAnsi="Times New Roman" w:eastAsia="宋体" w:cs="Times New Roman"/>
                <w:color w:val="000000" w:themeColor="text1"/>
                <w:spacing w:val="-6"/>
                <w:sz w:val="24"/>
                <w:szCs w:val="24"/>
                <w:lang w:val="en-US"/>
                <w14:textFill>
                  <w14:solidFill>
                    <w14:schemeClr w14:val="tx1"/>
                  </w14:solidFill>
                </w14:textFill>
              </w:rPr>
              <w:t>排入云南俊腾达标准厂房开发有限公司中水处理站处理。</w:t>
            </w:r>
          </w:p>
          <w:p>
            <w:pPr>
              <w:snapToGrid w:val="0"/>
              <w:spacing w:line="360" w:lineRule="auto"/>
              <w:ind w:firstLine="456" w:firstLineChars="200"/>
              <w:rPr>
                <w:rFonts w:ascii="Times New Roman" w:hAnsi="Times New Roman" w:cs="Times New Roman"/>
                <w:color w:val="000000" w:themeColor="text1"/>
                <w:spacing w:val="-6"/>
                <w:lang w:val="en-US"/>
                <w14:textFill>
                  <w14:solidFill>
                    <w14:schemeClr w14:val="tx1"/>
                  </w14:solidFill>
                </w14:textFill>
              </w:rPr>
            </w:pPr>
            <w:r>
              <w:rPr>
                <w:rFonts w:ascii="Times New Roman" w:hAnsi="Times New Roman" w:cs="Times New Roman"/>
                <w:color w:val="000000" w:themeColor="text1"/>
                <w:spacing w:val="-6"/>
                <w:lang w:val="en-US"/>
                <w14:textFill>
                  <w14:solidFill>
                    <w14:schemeClr w14:val="tx1"/>
                  </w14:solidFill>
                </w14:textFill>
              </w:rPr>
              <w:t>④小结</w:t>
            </w:r>
          </w:p>
          <w:p>
            <w:pPr>
              <w:snapToGrid w:val="0"/>
              <w:spacing w:line="360" w:lineRule="auto"/>
              <w:ind w:firstLine="456" w:firstLineChars="200"/>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本项目生产用水量为</w:t>
            </w:r>
            <w:r>
              <w:rPr>
                <w:rFonts w:ascii="Times New Roman" w:hAnsi="Times New Roman" w:cs="Times New Roman"/>
                <w:color w:val="000000" w:themeColor="text1"/>
                <w:spacing w:val="-6"/>
                <w:lang w:val="en-US"/>
                <w14:textFill>
                  <w14:solidFill>
                    <w14:schemeClr w14:val="tx1"/>
                  </w14:solidFill>
                </w14:textFill>
              </w:rPr>
              <w:t>0.5983</w:t>
            </w:r>
            <w:r>
              <w:rPr>
                <w:rFonts w:ascii="Times New Roman" w:hAnsi="Times New Roman" w:cs="Times New Roman"/>
                <w:color w:val="000000" w:themeColor="text1"/>
                <w:spacing w:val="-6"/>
                <w14:textFill>
                  <w14:solidFill>
                    <w14:schemeClr w14:val="tx1"/>
                  </w14:solidFill>
                </w14:textFill>
              </w:rPr>
              <w:t>m</w:t>
            </w:r>
            <w:r>
              <w:rPr>
                <w:rFonts w:ascii="Times New Roman" w:hAnsi="Times New Roman" w:cs="Times New Roman"/>
                <w:color w:val="000000" w:themeColor="text1"/>
                <w:spacing w:val="-6"/>
                <w:vertAlign w:val="superscript"/>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/d；生活用水量为</w:t>
            </w:r>
            <w:r>
              <w:rPr>
                <w:rFonts w:ascii="Times New Roman" w:hAnsi="Times New Roman" w:cs="Times New Roman"/>
                <w:color w:val="000000" w:themeColor="text1"/>
                <w:spacing w:val="-6"/>
                <w:lang w:val="en-US"/>
                <w14:textFill>
                  <w14:solidFill>
                    <w14:schemeClr w14:val="tx1"/>
                  </w14:solidFill>
                </w14:textFill>
              </w:rPr>
              <w:t>2</w:t>
            </w:r>
            <w:r>
              <w:rPr>
                <w:rFonts w:ascii="Times New Roman" w:hAnsi="Times New Roman" w:cs="Times New Roman"/>
                <w:color w:val="000000" w:themeColor="text1"/>
                <w:spacing w:val="-6"/>
                <w14:textFill>
                  <w14:solidFill>
                    <w14:schemeClr w14:val="tx1"/>
                  </w14:solidFill>
                </w14:textFill>
              </w:rPr>
              <w:t>m</w:t>
            </w:r>
            <w:r>
              <w:rPr>
                <w:rFonts w:ascii="Times New Roman" w:hAnsi="Times New Roman" w:cs="Times New Roman"/>
                <w:color w:val="000000" w:themeColor="text1"/>
                <w:spacing w:val="-6"/>
                <w:vertAlign w:val="superscript"/>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/d，生活</w:t>
            </w:r>
            <w:r>
              <w:rPr>
                <w:rFonts w:ascii="Times New Roman" w:hAnsi="Times New Roman" w:cs="Times New Roman"/>
                <w:color w:val="000000" w:themeColor="text1"/>
                <w:spacing w:val="-6"/>
                <w:lang w:val="en-US"/>
                <w14:textFill>
                  <w14:solidFill>
                    <w14:schemeClr w14:val="tx1"/>
                  </w14:solidFill>
                </w14:textFill>
              </w:rPr>
              <w:t>污水</w:t>
            </w:r>
            <w:r>
              <w:rPr>
                <w:rFonts w:ascii="Times New Roman" w:hAnsi="Times New Roman" w:cs="Times New Roman"/>
                <w:color w:val="000000" w:themeColor="text1"/>
                <w:spacing w:val="-6"/>
                <w14:textFill>
                  <w14:solidFill>
                    <w14:schemeClr w14:val="tx1"/>
                  </w14:solidFill>
                </w14:textFill>
              </w:rPr>
              <w:t>产生量为</w:t>
            </w:r>
            <w:r>
              <w:rPr>
                <w:rFonts w:ascii="Times New Roman" w:hAnsi="Times New Roman" w:cs="Times New Roman"/>
                <w:color w:val="000000" w:themeColor="text1"/>
                <w:spacing w:val="-6"/>
                <w:lang w:val="en-US"/>
                <w14:textFill>
                  <w14:solidFill>
                    <w14:schemeClr w14:val="tx1"/>
                  </w14:solidFill>
                </w14:textFill>
              </w:rPr>
              <w:t>1.6</w:t>
            </w:r>
            <w:r>
              <w:rPr>
                <w:rFonts w:ascii="Times New Roman" w:hAnsi="Times New Roman" w:cs="Times New Roman"/>
                <w:color w:val="000000" w:themeColor="text1"/>
                <w:spacing w:val="-6"/>
                <w14:textFill>
                  <w14:solidFill>
                    <w14:schemeClr w14:val="tx1"/>
                  </w14:solidFill>
                </w14:textFill>
              </w:rPr>
              <w:t>m</w:t>
            </w:r>
            <w:r>
              <w:rPr>
                <w:rFonts w:ascii="Times New Roman" w:hAnsi="Times New Roman" w:cs="Times New Roman"/>
                <w:color w:val="000000" w:themeColor="text1"/>
                <w:spacing w:val="-6"/>
                <w:vertAlign w:val="superscript"/>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/d。</w:t>
            </w:r>
          </w:p>
          <w:p>
            <w:pPr>
              <w:snapToGrid w:val="0"/>
              <w:spacing w:line="360" w:lineRule="auto"/>
              <w:ind w:firstLine="456" w:firstLineChars="200"/>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评价要求：项目产生的生活</w:t>
            </w:r>
            <w:r>
              <w:rPr>
                <w:rFonts w:ascii="Times New Roman" w:hAnsi="Times New Roman" w:cs="Times New Roman"/>
                <w:color w:val="000000" w:themeColor="text1"/>
                <w:spacing w:val="-6"/>
                <w:lang w:val="en-US"/>
                <w14:textFill>
                  <w14:solidFill>
                    <w14:schemeClr w14:val="tx1"/>
                  </w14:solidFill>
                </w14:textFill>
              </w:rPr>
              <w:t>污水</w:t>
            </w:r>
            <w:r>
              <w:rPr>
                <w:rFonts w:ascii="Times New Roman" w:hAnsi="Times New Roman" w:cs="Times New Roman"/>
                <w:color w:val="000000" w:themeColor="text1"/>
                <w:spacing w:val="-6"/>
                <w14:textFill>
                  <w14:solidFill>
                    <w14:schemeClr w14:val="tx1"/>
                  </w14:solidFill>
                </w14:textFill>
              </w:rPr>
              <w:t>经</w:t>
            </w:r>
            <w:r>
              <w:rPr>
                <w:rFonts w:ascii="Times New Roman" w:hAnsi="Times New Roman" w:cs="Times New Roman"/>
                <w:color w:val="000000" w:themeColor="text1"/>
                <w:spacing w:val="-6"/>
                <w:lang w:val="en-US"/>
                <w14:textFill>
                  <w14:solidFill>
                    <w14:schemeClr w14:val="tx1"/>
                  </w14:solidFill>
                </w14:textFill>
              </w:rPr>
              <w:t>云南俊腾达标准厂房开发有限公司</w:t>
            </w:r>
            <w:r>
              <w:rPr>
                <w:rFonts w:ascii="Times New Roman" w:hAnsi="Times New Roman" w:cs="Times New Roman"/>
                <w:color w:val="000000" w:themeColor="text1"/>
                <w:spacing w:val="-6"/>
                <w14:textFill>
                  <w14:solidFill>
                    <w14:schemeClr w14:val="tx1"/>
                  </w14:solidFill>
                </w14:textFill>
              </w:rPr>
              <w:t>化粪池处理达到《污水排入城镇下水道水质标准》（GB/T31962-2015）中表1的A等级标准后</w:t>
            </w:r>
            <w:r>
              <w:rPr>
                <w:rFonts w:ascii="Times New Roman" w:hAnsi="Times New Roman" w:cs="Times New Roman"/>
              </w:rPr>
              <w:t>排入</w:t>
            </w:r>
            <w:r>
              <w:rPr>
                <w:rFonts w:ascii="Times New Roman" w:hAnsi="Times New Roman" w:cs="Times New Roman"/>
                <w:color w:val="000000"/>
              </w:rPr>
              <w:t>云南俊腾达房地产开发有限公司中水处理站处理</w:t>
            </w:r>
            <w:r>
              <w:rPr>
                <w:rFonts w:hint="eastAsia" w:ascii="Times New Roman" w:hAnsi="Times New Roman" w:cs="Times New Roman"/>
                <w:color w:val="000000"/>
              </w:rPr>
              <w:t>后</w:t>
            </w:r>
            <w:r>
              <w:rPr>
                <w:rFonts w:ascii="Times New Roman" w:hAnsi="Times New Roman" w:cs="Times New Roman"/>
                <w:color w:val="000000"/>
              </w:rPr>
              <w:t>，</w:t>
            </w:r>
            <w:r>
              <w:rPr>
                <w:rFonts w:hint="eastAsia" w:ascii="Times New Roman" w:hAnsi="Times New Roman" w:cs="Times New Roman"/>
                <w:color w:val="000000"/>
                <w:highlight w:val="none"/>
              </w:rPr>
              <w:t>优先</w:t>
            </w:r>
            <w:r>
              <w:rPr>
                <w:rFonts w:ascii="Times New Roman" w:hAnsi="Times New Roman" w:cs="Times New Roman"/>
                <w:color w:val="000000"/>
                <w:highlight w:val="none"/>
              </w:rPr>
              <w:t>回用于云南俊腾达房地产开发有限公司厂区内道路浇水及绿化</w:t>
            </w:r>
            <w:r>
              <w:rPr>
                <w:rFonts w:hint="eastAsia"/>
                <w:highlight w:val="none"/>
              </w:rPr>
              <w:t>，不能回用部分排入园区污水管网，最终进入淤泥河水质净化厂处理。</w:t>
            </w:r>
          </w:p>
          <w:p>
            <w:pPr>
              <w:snapToGrid w:val="0"/>
              <w:spacing w:line="360" w:lineRule="auto"/>
              <w:ind w:firstLine="456" w:firstLineChars="200"/>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项目给排水情况见表</w:t>
            </w:r>
            <w:r>
              <w:rPr>
                <w:rFonts w:hint="eastAsia" w:ascii="Times New Roman" w:hAnsi="Times New Roman" w:cs="Times New Roman"/>
                <w:color w:val="000000" w:themeColor="text1"/>
                <w:spacing w:val="-6"/>
                <w:lang w:val="en-US" w:eastAsia="zh-CN"/>
                <w14:textFill>
                  <w14:solidFill>
                    <w14:schemeClr w14:val="tx1"/>
                  </w14:solidFill>
                </w14:textFill>
              </w:rPr>
              <w:t>4</w:t>
            </w:r>
            <w:r>
              <w:rPr>
                <w:rFonts w:ascii="Times New Roman" w:hAnsi="Times New Roman" w:cs="Times New Roman"/>
                <w:color w:val="000000" w:themeColor="text1"/>
                <w:spacing w:val="-6"/>
                <w14:textFill>
                  <w14:solidFill>
                    <w14:schemeClr w14:val="tx1"/>
                  </w14:solidFill>
                </w14:textFill>
              </w:rPr>
              <w:t>-</w:t>
            </w:r>
            <w:r>
              <w:rPr>
                <w:rFonts w:hint="eastAsia" w:ascii="Times New Roman" w:hAnsi="Times New Roman" w:cs="Times New Roman"/>
                <w:color w:val="000000" w:themeColor="text1"/>
                <w:spacing w:val="-6"/>
                <w:lang w:val="en-US" w:eastAsia="zh-CN"/>
                <w14:textFill>
                  <w14:solidFill>
                    <w14:schemeClr w14:val="tx1"/>
                  </w14:solidFill>
                </w14:textFill>
              </w:rPr>
              <w:t>7</w:t>
            </w:r>
            <w:r>
              <w:rPr>
                <w:rFonts w:ascii="Times New Roman" w:hAnsi="Times New Roman" w:cs="Times New Roman"/>
                <w:color w:val="000000" w:themeColor="text1"/>
                <w:spacing w:val="-6"/>
                <w14:textFill>
                  <w14:solidFill>
                    <w14:schemeClr w14:val="tx1"/>
                  </w14:solidFill>
                </w14:textFill>
              </w:rPr>
              <w:t>。</w:t>
            </w:r>
          </w:p>
          <w:p>
            <w:pPr>
              <w:pStyle w:val="1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项目用排水情况一览表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1072"/>
              <w:gridCol w:w="1084"/>
              <w:gridCol w:w="774"/>
              <w:gridCol w:w="794"/>
              <w:gridCol w:w="795"/>
              <w:gridCol w:w="942"/>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用水类别</w:t>
                  </w:r>
                </w:p>
              </w:tc>
              <w:tc>
                <w:tcPr>
                  <w:tcW w:w="248"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用水单位</w:t>
                  </w:r>
                </w:p>
              </w:tc>
              <w:tc>
                <w:tcPr>
                  <w:tcW w:w="500"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w:t>
                  </w:r>
                </w:p>
              </w:tc>
              <w:tc>
                <w:tcPr>
                  <w:tcW w:w="678"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用水标准</w:t>
                  </w:r>
                </w:p>
              </w:tc>
              <w:tc>
                <w:tcPr>
                  <w:tcW w:w="977" w:type="pct"/>
                  <w:gridSpan w:val="2"/>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用水量</w:t>
                  </w:r>
                </w:p>
              </w:tc>
              <w:tc>
                <w:tcPr>
                  <w:tcW w:w="1125" w:type="pct"/>
                  <w:gridSpan w:val="2"/>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污水量</w:t>
                  </w:r>
                </w:p>
              </w:tc>
              <w:tc>
                <w:tcPr>
                  <w:tcW w:w="1220"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248"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500"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/d</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/d</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1220"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restar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生产用水</w:t>
                  </w:r>
                </w:p>
              </w:tc>
              <w:tc>
                <w:tcPr>
                  <w:tcW w:w="24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智能冷水机用水</w:t>
                  </w:r>
                </w:p>
              </w:tc>
              <w:tc>
                <w:tcPr>
                  <w:tcW w:w="50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17.22</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67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0.0</w:t>
                  </w:r>
                  <w:r>
                    <w:rPr>
                      <w:rFonts w:hint="eastAsia"/>
                      <w:b w:val="0"/>
                      <w:color w:val="000000" w:themeColor="text1"/>
                      <w14:textFill>
                        <w14:solidFill>
                          <w14:schemeClr w14:val="tx1"/>
                        </w14:solidFill>
                      </w14:textFill>
                    </w:rPr>
                    <w:t>82</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/d</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0.0</w:t>
                  </w:r>
                  <w:r>
                    <w:rPr>
                      <w:rFonts w:hint="eastAsia"/>
                      <w:b w:val="0"/>
                      <w:color w:val="000000" w:themeColor="text1"/>
                      <w14:textFill>
                        <w14:solidFill>
                          <w14:schemeClr w14:val="tx1"/>
                        </w14:solidFill>
                      </w14:textFill>
                    </w:rPr>
                    <w:t>82</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17.22</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continue"/>
                  <w:tcBorders>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24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模具冷却用水</w:t>
                  </w:r>
                </w:p>
              </w:tc>
              <w:tc>
                <w:tcPr>
                  <w:tcW w:w="50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121.8m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67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0.58m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/d</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0.58</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121.8</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0</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48" w:type="pct"/>
                  <w:vMerge w:val="restar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生活用水</w:t>
                  </w:r>
                </w:p>
              </w:tc>
              <w:tc>
                <w:tcPr>
                  <w:tcW w:w="24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职工其他用水</w:t>
                  </w:r>
                </w:p>
              </w:tc>
              <w:tc>
                <w:tcPr>
                  <w:tcW w:w="500"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20人</w:t>
                  </w:r>
                </w:p>
              </w:tc>
              <w:tc>
                <w:tcPr>
                  <w:tcW w:w="67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80L/人·d</w:t>
                  </w:r>
                </w:p>
              </w:tc>
              <w:tc>
                <w:tcPr>
                  <w:tcW w:w="51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2</w:t>
                  </w:r>
                </w:p>
              </w:tc>
              <w:tc>
                <w:tcPr>
                  <w:tcW w:w="45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420</w:t>
                  </w:r>
                </w:p>
              </w:tc>
              <w:tc>
                <w:tcPr>
                  <w:tcW w:w="518" w:type="pct"/>
                  <w:tcBorders>
                    <w:top w:val="single" w:color="auto" w:sz="4" w:space="0"/>
                    <w:left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1.6</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336</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项目产生的生活污水依托云南俊腾达标准厂房开发有限公司化粪池处理达到《污水排入城镇下水道水质标准》（GB/T31962-2015）中表1的A等级标准后</w:t>
                  </w:r>
                  <w:r>
                    <w:rPr>
                      <w:rFonts w:hint="eastAsia"/>
                      <w:b w:val="0"/>
                      <w:color w:val="000000" w:themeColor="text1"/>
                      <w14:textFill>
                        <w14:solidFill>
                          <w14:schemeClr w14:val="tx1"/>
                        </w14:solidFill>
                      </w14:textFill>
                    </w:rPr>
                    <w:t>排入云南俊腾达房地产开发有限公司中水处理站处理后，优先回用于云南俊腾达房地产开发有限公司厂区内道路浇水及绿化，不能回用部分排入园区污水管网，最终进入淤泥河水质净化厂处理。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8" w:type="pct"/>
                  <w:vMerge w:val="continue"/>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p>
              </w:tc>
              <w:tc>
                <w:tcPr>
                  <w:tcW w:w="1427" w:type="pct"/>
                  <w:gridSpan w:val="3"/>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小计</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2.662</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559.02</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1.6</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336</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76" w:type="pct"/>
                  <w:gridSpan w:val="4"/>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合计</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2.662</w:t>
                  </w:r>
                </w:p>
              </w:tc>
              <w:tc>
                <w:tcPr>
                  <w:tcW w:w="45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559.02</w:t>
                  </w:r>
                </w:p>
              </w:tc>
              <w:tc>
                <w:tcPr>
                  <w:tcW w:w="518"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1.6</w:t>
                  </w:r>
                </w:p>
              </w:tc>
              <w:tc>
                <w:tcPr>
                  <w:tcW w:w="607"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336</w:t>
                  </w:r>
                </w:p>
              </w:tc>
              <w:tc>
                <w:tcPr>
                  <w:tcW w:w="1220" w:type="pct"/>
                  <w:tcBorders>
                    <w:top w:val="single" w:color="auto" w:sz="4" w:space="0"/>
                    <w:left w:val="single" w:color="auto" w:sz="4" w:space="0"/>
                    <w:bottom w:val="single" w:color="auto" w:sz="4" w:space="0"/>
                    <w:right w:val="single" w:color="auto" w:sz="4" w:space="0"/>
                  </w:tcBorders>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w:t>
                  </w:r>
                </w:p>
              </w:tc>
            </w:tr>
          </w:tbl>
          <w:p>
            <w:pPr>
              <w:pStyle w:val="75"/>
              <w:snapToGrid w:val="0"/>
              <w:spacing w:line="360" w:lineRule="auto"/>
              <w:ind w:firstLine="561"/>
              <w:rPr>
                <w:rFonts w:ascii="Times New Roman" w:hAnsi="Times New Roman" w:cs="Times New Roman"/>
                <w:color w:val="000000" w:themeColor="text1"/>
                <w:szCs w:val="24"/>
                <w:lang w:val="en-US"/>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本项目区水量平衡图如图</w:t>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lang w:val="en-US"/>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w:t>
            </w:r>
          </w:p>
          <w:p>
            <w:pPr>
              <w:pStyle w:val="10"/>
              <w:jc w:val="both"/>
              <w:rPr>
                <w:color w:val="FF0000"/>
              </w:rPr>
            </w:pPr>
            <w:r>
              <w:rPr>
                <w:color w:val="FF0000"/>
              </w:rPr>
              <w:object>
                <v:shape id="_x0000_i1029" o:spt="75" type="#_x0000_t75" style="height:238.5pt;width:385.5pt;" o:ole="t" filled="f" o:preferrelative="t" stroked="f" coordsize="21600,21600">
                  <v:path/>
                  <v:fill on="f" focussize="0,0"/>
                  <v:stroke on="f" joinstyle="miter"/>
                  <v:imagedata r:id="rId18" o:title=""/>
                  <o:lock v:ext="edit" aspectratio="f"/>
                  <w10:wrap type="none"/>
                  <w10:anchorlock/>
                </v:shape>
                <o:OLEObject Type="Embed" ProgID="Visio.Drawing.11" ShapeID="_x0000_i1029" DrawAspect="Content" ObjectID="_1468075729" r:id="rId27">
                  <o:LockedField>false</o:LockedField>
                </o:OLEObject>
              </w:object>
            </w:r>
          </w:p>
          <w:p>
            <w:pPr>
              <w:pStyle w:val="10"/>
              <w:ind w:firstLine="422"/>
              <w:rPr>
                <w:color w:val="000000" w:themeColor="text1"/>
                <w:sz w:val="24"/>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项目水平衡图单位：t/d</w:t>
            </w:r>
          </w:p>
          <w:p>
            <w:pPr>
              <w:pStyle w:val="14"/>
              <w:snapToGrid w:val="0"/>
              <w:spacing w:line="360" w:lineRule="auto"/>
              <w:ind w:left="720"/>
              <w:jc w:val="both"/>
              <w:rPr>
                <w:rFonts w:ascii="Times New Roman" w:hAnsi="Times New Roman" w:eastAsia="宋体" w:cs="Times New Roman"/>
                <w:b/>
                <w:bCs/>
                <w:sz w:val="24"/>
                <w:szCs w:val="24"/>
              </w:rPr>
            </w:pPr>
            <w:r>
              <w:rPr>
                <w:rFonts w:ascii="Times New Roman" w:hAnsi="Times New Roman" w:eastAsia="宋体" w:cs="Times New Roman"/>
                <w:b/>
                <w:bCs/>
                <w:sz w:val="24"/>
                <w:szCs w:val="24"/>
                <w:lang w:val="en-US"/>
              </w:rPr>
              <w:t>2、</w:t>
            </w:r>
            <w:r>
              <w:rPr>
                <w:rFonts w:ascii="Times New Roman" w:hAnsi="Times New Roman" w:eastAsia="宋体" w:cs="Times New Roman"/>
                <w:b/>
                <w:bCs/>
                <w:sz w:val="24"/>
                <w:szCs w:val="24"/>
              </w:rPr>
              <w:t>源强及达标排放情况</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 xml:space="preserve">项目区生活污水产生量约 </w:t>
            </w:r>
            <w:r>
              <w:rPr>
                <w:rFonts w:ascii="Times New Roman" w:hAnsi="Times New Roman" w:cs="Times New Roman"/>
                <w:lang w:val="en-US"/>
              </w:rPr>
              <w:t>1.6</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lang w:val="en-US"/>
              </w:rPr>
              <w:t>336</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/a，主</w:t>
            </w:r>
            <w:r>
              <w:rPr>
                <w:rFonts w:ascii="Times New Roman" w:hAnsi="Times New Roman" w:cs="Times New Roman"/>
                <w:spacing w:val="-9"/>
                <w:position w:val="2"/>
              </w:rPr>
              <w:t xml:space="preserve">要污染物为 </w:t>
            </w:r>
            <w:r>
              <w:rPr>
                <w:rFonts w:ascii="Times New Roman" w:hAnsi="Times New Roman" w:cs="Times New Roman"/>
                <w:position w:val="2"/>
              </w:rPr>
              <w:t>COD</w:t>
            </w:r>
            <w:r>
              <w:rPr>
                <w:rFonts w:ascii="Times New Roman" w:hAnsi="Times New Roman" w:cs="Times New Roman"/>
              </w:rPr>
              <w:t>cr</w:t>
            </w:r>
            <w:r>
              <w:rPr>
                <w:rFonts w:ascii="Times New Roman" w:hAnsi="Times New Roman" w:cs="Times New Roman"/>
                <w:spacing w:val="-48"/>
                <w:position w:val="2"/>
              </w:rPr>
              <w:t>、</w:t>
            </w:r>
            <w:r>
              <w:rPr>
                <w:rFonts w:ascii="Times New Roman" w:hAnsi="Times New Roman" w:cs="Times New Roman"/>
                <w:position w:val="2"/>
              </w:rPr>
              <w:t>BOD</w:t>
            </w:r>
            <w:r>
              <w:rPr>
                <w:rFonts w:ascii="Times New Roman" w:hAnsi="Times New Roman" w:cs="Times New Roman"/>
                <w:position w:val="2"/>
                <w:vertAlign w:val="subscript"/>
              </w:rPr>
              <w:t>5</w:t>
            </w:r>
            <w:r>
              <w:rPr>
                <w:rFonts w:ascii="Times New Roman" w:hAnsi="Times New Roman" w:cs="Times New Roman"/>
                <w:spacing w:val="-48"/>
                <w:position w:val="2"/>
              </w:rPr>
              <w:t>、</w:t>
            </w:r>
            <w:r>
              <w:rPr>
                <w:rFonts w:ascii="Times New Roman" w:hAnsi="Times New Roman" w:cs="Times New Roman"/>
                <w:position w:val="2"/>
              </w:rPr>
              <w:t>SS</w:t>
            </w:r>
            <w:r>
              <w:rPr>
                <w:rFonts w:ascii="Times New Roman" w:hAnsi="Times New Roman" w:cs="Times New Roman"/>
                <w:spacing w:val="-16"/>
                <w:position w:val="2"/>
              </w:rPr>
              <w:t>、氨氮、</w:t>
            </w:r>
            <w:r>
              <w:rPr>
                <w:rFonts w:ascii="Times New Roman" w:hAnsi="Times New Roman" w:cs="Times New Roman"/>
                <w:spacing w:val="-7"/>
              </w:rPr>
              <w:t>总磷、动植物油。本项目</w:t>
            </w:r>
            <w:r>
              <w:rPr>
                <w:rFonts w:ascii="Times New Roman" w:hAnsi="Times New Roman" w:cs="Times New Roman"/>
                <w:spacing w:val="-7"/>
                <w:lang w:val="en-US"/>
              </w:rPr>
              <w:t>依托</w:t>
            </w:r>
            <w:r>
              <w:rPr>
                <w:rFonts w:ascii="Times New Roman" w:hAnsi="Times New Roman" w:cs="Times New Roman"/>
                <w:color w:val="000000" w:themeColor="text1"/>
                <w:spacing w:val="-6"/>
                <w:lang w:val="en-US"/>
                <w14:textFill>
                  <w14:solidFill>
                    <w14:schemeClr w14:val="tx1"/>
                  </w14:solidFill>
                </w14:textFill>
              </w:rPr>
              <w:t>云南俊腾达标准厂房开发有限公司</w:t>
            </w:r>
            <w:r>
              <w:rPr>
                <w:rFonts w:ascii="Times New Roman" w:hAnsi="Times New Roman" w:cs="Times New Roman"/>
              </w:rPr>
              <w:t>化粪池处理（</w:t>
            </w:r>
            <w:r>
              <w:rPr>
                <w:rFonts w:ascii="Times New Roman" w:hAnsi="Times New Roman" w:cs="Times New Roman"/>
                <w:lang w:val="en-US"/>
              </w:rPr>
              <w:t>容积为50m</w:t>
            </w:r>
            <w:r>
              <w:rPr>
                <w:rFonts w:ascii="Times New Roman" w:hAnsi="Times New Roman" w:cs="Times New Roman"/>
                <w:vertAlign w:val="superscript"/>
                <w:lang w:val="en-US"/>
              </w:rPr>
              <w:t>3</w:t>
            </w:r>
            <w:r>
              <w:rPr>
                <w:rFonts w:ascii="Times New Roman" w:hAnsi="Times New Roman" w:cs="Times New Roman"/>
              </w:rPr>
              <w:t>），处理后排入</w:t>
            </w:r>
            <w:r>
              <w:rPr>
                <w:rFonts w:ascii="Times New Roman" w:hAnsi="Times New Roman" w:cs="Times New Roman"/>
                <w:color w:val="000000"/>
              </w:rPr>
              <w:t>云南俊腾达房地产开发有限公司中水处理站处理</w:t>
            </w:r>
            <w:r>
              <w:rPr>
                <w:rFonts w:hint="eastAsia" w:ascii="Times New Roman" w:hAnsi="Times New Roman" w:cs="Times New Roman"/>
                <w:color w:val="000000"/>
              </w:rPr>
              <w:t>后</w:t>
            </w:r>
            <w:r>
              <w:rPr>
                <w:rFonts w:ascii="Times New Roman" w:hAnsi="Times New Roman" w:cs="Times New Roman"/>
                <w:color w:val="000000"/>
              </w:rPr>
              <w:t>，</w:t>
            </w:r>
            <w:r>
              <w:rPr>
                <w:rFonts w:hint="eastAsia" w:ascii="Times New Roman" w:hAnsi="Times New Roman" w:cs="Times New Roman"/>
                <w:color w:val="000000"/>
              </w:rPr>
              <w:t>优先</w:t>
            </w:r>
            <w:r>
              <w:rPr>
                <w:rFonts w:ascii="Times New Roman" w:hAnsi="Times New Roman" w:cs="Times New Roman"/>
                <w:color w:val="000000"/>
              </w:rPr>
              <w:t>回用于云南俊腾达房地产开发有限公司厂区内道路浇水及绿化</w:t>
            </w:r>
            <w:r>
              <w:rPr>
                <w:rFonts w:hint="eastAsia"/>
              </w:rPr>
              <w:t>，不能回用部分排入园区污水管网，最终进入淤泥河水质净化厂处理。</w:t>
            </w:r>
          </w:p>
          <w:p>
            <w:pPr>
              <w:pStyle w:val="17"/>
              <w:spacing w:line="360" w:lineRule="auto"/>
              <w:ind w:firstLine="480"/>
              <w:rPr>
                <w:rFonts w:ascii="Times New Roman" w:hAnsi="Times New Roman" w:cs="Times New Roman"/>
                <w:sz w:val="24"/>
                <w:szCs w:val="24"/>
              </w:rPr>
            </w:pPr>
            <w:r>
              <w:rPr>
                <w:rFonts w:ascii="Times New Roman" w:hAnsi="Times New Roman" w:cs="Times New Roman"/>
                <w:sz w:val="24"/>
                <w:szCs w:val="24"/>
              </w:rPr>
              <w:t>根据《我国城市生活污水水质统计数据》，各种污染物的浓度分别为CODcr250mg/L、BOD</w:t>
            </w:r>
            <w:r>
              <w:rPr>
                <w:rFonts w:ascii="Times New Roman" w:hAnsi="Times New Roman" w:cs="Times New Roman"/>
                <w:sz w:val="24"/>
                <w:szCs w:val="24"/>
                <w:vertAlign w:val="subscript"/>
              </w:rPr>
              <w:t>5</w:t>
            </w:r>
            <w:r>
              <w:rPr>
                <w:rFonts w:hint="eastAsia" w:ascii="Times New Roman" w:hAnsi="Times New Roman" w:cs="Times New Roman"/>
                <w:sz w:val="24"/>
                <w:szCs w:val="24"/>
                <w:lang w:val="en-US"/>
              </w:rPr>
              <w:t>182</w:t>
            </w:r>
            <w:r>
              <w:rPr>
                <w:rFonts w:ascii="Times New Roman" w:hAnsi="Times New Roman" w:cs="Times New Roman"/>
                <w:sz w:val="24"/>
                <w:szCs w:val="24"/>
              </w:rPr>
              <w:t>mg/L、SS200mg/L、氨氮</w:t>
            </w:r>
            <w:r>
              <w:rPr>
                <w:rFonts w:hint="eastAsia" w:ascii="Times New Roman" w:hAnsi="Times New Roman" w:cs="Times New Roman"/>
                <w:sz w:val="24"/>
                <w:szCs w:val="24"/>
                <w:lang w:val="en-US"/>
              </w:rPr>
              <w:t>20</w:t>
            </w:r>
            <w:r>
              <w:rPr>
                <w:rFonts w:ascii="Times New Roman" w:hAnsi="Times New Roman" w:cs="Times New Roman"/>
                <w:sz w:val="24"/>
                <w:szCs w:val="24"/>
              </w:rPr>
              <w:t>mg/L、总磷</w:t>
            </w:r>
            <w:r>
              <w:rPr>
                <w:rFonts w:hint="eastAsia" w:ascii="Times New Roman" w:hAnsi="Times New Roman" w:cs="Times New Roman"/>
                <w:sz w:val="24"/>
                <w:szCs w:val="24"/>
                <w:lang w:val="en-US"/>
              </w:rPr>
              <w:t>6</w:t>
            </w:r>
            <w:r>
              <w:rPr>
                <w:rFonts w:ascii="Times New Roman" w:hAnsi="Times New Roman" w:cs="Times New Roman"/>
                <w:sz w:val="24"/>
                <w:szCs w:val="24"/>
              </w:rPr>
              <w:t>mg/L、动植物油</w:t>
            </w:r>
            <w:r>
              <w:rPr>
                <w:rFonts w:hint="eastAsia" w:ascii="Times New Roman" w:hAnsi="Times New Roman" w:cs="Times New Roman"/>
                <w:sz w:val="24"/>
                <w:szCs w:val="24"/>
                <w:lang w:val="en-US"/>
              </w:rPr>
              <w:t>18</w:t>
            </w:r>
            <w:r>
              <w:rPr>
                <w:rFonts w:ascii="Times New Roman" w:hAnsi="Times New Roman" w:cs="Times New Roman"/>
                <w:sz w:val="24"/>
                <w:szCs w:val="24"/>
              </w:rPr>
              <w:t>mg/L。动植物油：50mg/L，TP：7mg/L，依据《城镇生活源产排污系数手册》，生活污水经化粪池处理效率为CODcr：15%，BOD</w:t>
            </w:r>
            <w:r>
              <w:rPr>
                <w:rFonts w:ascii="Times New Roman" w:hAnsi="Times New Roman" w:cs="Times New Roman"/>
                <w:sz w:val="24"/>
                <w:szCs w:val="24"/>
                <w:vertAlign w:val="subscript"/>
              </w:rPr>
              <w:t>5</w:t>
            </w:r>
            <w:r>
              <w:rPr>
                <w:rFonts w:ascii="Times New Roman" w:hAnsi="Times New Roman" w:cs="Times New Roman"/>
                <w:sz w:val="24"/>
                <w:szCs w:val="24"/>
              </w:rPr>
              <w:t>：</w:t>
            </w:r>
            <w:r>
              <w:rPr>
                <w:rFonts w:hint="eastAsia" w:ascii="Times New Roman" w:hAnsi="Times New Roman" w:cs="Times New Roman"/>
                <w:sz w:val="24"/>
                <w:szCs w:val="24"/>
              </w:rPr>
              <w:t>10</w:t>
            </w:r>
            <w:r>
              <w:rPr>
                <w:rFonts w:ascii="Times New Roman" w:hAnsi="Times New Roman" w:cs="Times New Roman"/>
                <w:sz w:val="24"/>
                <w:szCs w:val="24"/>
              </w:rPr>
              <w:t>%，NH3-N：3%，SS：30%，TP：</w:t>
            </w:r>
            <w:r>
              <w:rPr>
                <w:rFonts w:hint="eastAsia" w:ascii="Times New Roman" w:hAnsi="Times New Roman" w:cs="Times New Roman"/>
                <w:sz w:val="24"/>
                <w:szCs w:val="24"/>
              </w:rPr>
              <w:t>6</w:t>
            </w:r>
            <w:r>
              <w:rPr>
                <w:rFonts w:ascii="Times New Roman" w:hAnsi="Times New Roman" w:cs="Times New Roman"/>
                <w:sz w:val="24"/>
                <w:szCs w:val="24"/>
              </w:rPr>
              <w:t>%。根据分析，项目水污染物产生及排放量汇总见表4-</w:t>
            </w:r>
            <w:r>
              <w:rPr>
                <w:rFonts w:hint="eastAsia" w:ascii="Times New Roman" w:hAnsi="Times New Roman" w:cs="Times New Roman"/>
                <w:sz w:val="24"/>
                <w:szCs w:val="24"/>
                <w:lang w:val="en-US" w:eastAsia="zh-CN"/>
              </w:rPr>
              <w:t>9</w:t>
            </w:r>
            <w:r>
              <w:rPr>
                <w:rFonts w:ascii="Times New Roman" w:hAnsi="Times New Roman" w:cs="Times New Roman"/>
                <w:sz w:val="24"/>
                <w:szCs w:val="24"/>
              </w:rPr>
              <w:t>。</w:t>
            </w:r>
          </w:p>
          <w:p>
            <w:pPr>
              <w:pStyle w:val="10"/>
              <w:rPr>
                <w:sz w:val="24"/>
              </w:rPr>
            </w:pPr>
            <w:r>
              <w:rPr>
                <w:color w:val="000000"/>
              </w:rPr>
              <w:t>表4-</w:t>
            </w:r>
            <w:r>
              <w:rPr>
                <w:rFonts w:hint="eastAsia"/>
                <w:color w:val="000000"/>
                <w:lang w:val="en-US" w:eastAsia="zh-CN"/>
              </w:rPr>
              <w:t>9</w:t>
            </w:r>
            <w:r>
              <w:rPr>
                <w:color w:val="000000"/>
              </w:rPr>
              <w:t>项目水污染物产生及排放量</w:t>
            </w:r>
          </w:p>
          <w:tbl>
            <w:tblPr>
              <w:tblStyle w:val="26"/>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175"/>
              <w:gridCol w:w="1503"/>
              <w:gridCol w:w="1475"/>
              <w:gridCol w:w="1504"/>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7"/>
                    <w:rPr>
                      <w:b w:val="0"/>
                      <w:bCs w:val="0"/>
                      <w:color w:val="auto"/>
                    </w:rPr>
                  </w:pPr>
                  <w:r>
                    <w:rPr>
                      <w:b w:val="0"/>
                      <w:bCs w:val="0"/>
                      <w:color w:val="auto"/>
                    </w:rPr>
                    <w:t>排放源</w:t>
                  </w:r>
                </w:p>
              </w:tc>
              <w:tc>
                <w:tcPr>
                  <w:tcW w:w="725" w:type="pct"/>
                  <w:vMerge w:val="restart"/>
                  <w:tcBorders>
                    <w:tl2br w:val="nil"/>
                    <w:tr2bl w:val="nil"/>
                  </w:tcBorders>
                  <w:vAlign w:val="center"/>
                </w:tcPr>
                <w:p>
                  <w:pPr>
                    <w:pStyle w:val="47"/>
                    <w:rPr>
                      <w:b w:val="0"/>
                      <w:bCs w:val="0"/>
                      <w:color w:val="auto"/>
                    </w:rPr>
                  </w:pPr>
                  <w:r>
                    <w:rPr>
                      <w:b w:val="0"/>
                      <w:bCs w:val="0"/>
                      <w:color w:val="auto"/>
                    </w:rPr>
                    <w:t>污染物名称</w:t>
                  </w:r>
                </w:p>
              </w:tc>
              <w:tc>
                <w:tcPr>
                  <w:tcW w:w="1837" w:type="pct"/>
                  <w:gridSpan w:val="2"/>
                  <w:tcBorders>
                    <w:tl2br w:val="nil"/>
                    <w:tr2bl w:val="nil"/>
                  </w:tcBorders>
                  <w:vAlign w:val="center"/>
                </w:tcPr>
                <w:p>
                  <w:pPr>
                    <w:pStyle w:val="47"/>
                    <w:rPr>
                      <w:b w:val="0"/>
                      <w:bCs w:val="0"/>
                      <w:color w:val="auto"/>
                    </w:rPr>
                  </w:pPr>
                  <w:r>
                    <w:rPr>
                      <w:b w:val="0"/>
                      <w:bCs w:val="0"/>
                      <w:color w:val="auto"/>
                    </w:rPr>
                    <w:t>处理前</w:t>
                  </w:r>
                </w:p>
              </w:tc>
              <w:tc>
                <w:tcPr>
                  <w:tcW w:w="1965" w:type="pct"/>
                  <w:gridSpan w:val="2"/>
                  <w:tcBorders>
                    <w:tl2br w:val="nil"/>
                    <w:tr2bl w:val="nil"/>
                  </w:tcBorders>
                  <w:vAlign w:val="center"/>
                </w:tcPr>
                <w:p>
                  <w:pPr>
                    <w:pStyle w:val="47"/>
                    <w:rPr>
                      <w:b w:val="0"/>
                      <w:bCs w:val="0"/>
                      <w:color w:val="auto"/>
                    </w:rPr>
                  </w:pPr>
                  <w:r>
                    <w:rPr>
                      <w:b w:val="0"/>
                      <w:bCs w:val="0"/>
                      <w:color w:val="auto"/>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p>
              </w:tc>
              <w:tc>
                <w:tcPr>
                  <w:tcW w:w="725" w:type="pct"/>
                  <w:vMerge w:val="continue"/>
                  <w:tcBorders>
                    <w:tl2br w:val="nil"/>
                    <w:tr2bl w:val="nil"/>
                  </w:tcBorders>
                  <w:vAlign w:val="center"/>
                </w:tcPr>
                <w:p>
                  <w:pPr>
                    <w:pStyle w:val="47"/>
                    <w:rPr>
                      <w:b w:val="0"/>
                      <w:bCs w:val="0"/>
                      <w:color w:val="auto"/>
                    </w:rPr>
                  </w:pPr>
                </w:p>
              </w:tc>
              <w:tc>
                <w:tcPr>
                  <w:tcW w:w="927" w:type="pct"/>
                  <w:tcBorders>
                    <w:tl2br w:val="nil"/>
                    <w:tr2bl w:val="nil"/>
                  </w:tcBorders>
                  <w:vAlign w:val="center"/>
                </w:tcPr>
                <w:p>
                  <w:pPr>
                    <w:pStyle w:val="47"/>
                    <w:rPr>
                      <w:b w:val="0"/>
                      <w:bCs w:val="0"/>
                      <w:color w:val="auto"/>
                    </w:rPr>
                  </w:pPr>
                  <w:r>
                    <w:rPr>
                      <w:b w:val="0"/>
                      <w:bCs w:val="0"/>
                      <w:color w:val="auto"/>
                    </w:rPr>
                    <w:t>产生浓度</w:t>
                  </w:r>
                </w:p>
                <w:p>
                  <w:pPr>
                    <w:pStyle w:val="47"/>
                    <w:rPr>
                      <w:b w:val="0"/>
                      <w:bCs w:val="0"/>
                      <w:color w:val="auto"/>
                    </w:rPr>
                  </w:pPr>
                  <w:r>
                    <w:rPr>
                      <w:b w:val="0"/>
                      <w:bCs w:val="0"/>
                      <w:color w:val="auto"/>
                    </w:rPr>
                    <w:t>（mg/L）</w:t>
                  </w:r>
                </w:p>
              </w:tc>
              <w:tc>
                <w:tcPr>
                  <w:tcW w:w="909" w:type="pct"/>
                  <w:tcBorders>
                    <w:tl2br w:val="nil"/>
                    <w:tr2bl w:val="nil"/>
                  </w:tcBorders>
                  <w:vAlign w:val="center"/>
                </w:tcPr>
                <w:p>
                  <w:pPr>
                    <w:pStyle w:val="47"/>
                    <w:rPr>
                      <w:b w:val="0"/>
                      <w:bCs w:val="0"/>
                      <w:color w:val="auto"/>
                    </w:rPr>
                  </w:pPr>
                  <w:r>
                    <w:rPr>
                      <w:b w:val="0"/>
                      <w:bCs w:val="0"/>
                      <w:color w:val="auto"/>
                    </w:rPr>
                    <w:t>产生量</w:t>
                  </w:r>
                </w:p>
                <w:p>
                  <w:pPr>
                    <w:pStyle w:val="47"/>
                    <w:rPr>
                      <w:b w:val="0"/>
                      <w:bCs w:val="0"/>
                      <w:color w:val="auto"/>
                    </w:rPr>
                  </w:pPr>
                  <w:r>
                    <w:rPr>
                      <w:b w:val="0"/>
                      <w:bCs w:val="0"/>
                      <w:color w:val="auto"/>
                    </w:rPr>
                    <w:t>（t/a）</w:t>
                  </w:r>
                </w:p>
              </w:tc>
              <w:tc>
                <w:tcPr>
                  <w:tcW w:w="928" w:type="pct"/>
                  <w:tcBorders>
                    <w:tl2br w:val="nil"/>
                    <w:tr2bl w:val="nil"/>
                  </w:tcBorders>
                  <w:vAlign w:val="center"/>
                </w:tcPr>
                <w:p>
                  <w:pPr>
                    <w:pStyle w:val="47"/>
                    <w:rPr>
                      <w:b w:val="0"/>
                      <w:bCs w:val="0"/>
                      <w:color w:val="auto"/>
                    </w:rPr>
                  </w:pPr>
                  <w:r>
                    <w:rPr>
                      <w:b w:val="0"/>
                      <w:bCs w:val="0"/>
                      <w:color w:val="auto"/>
                    </w:rPr>
                    <w:t>排放浓度</w:t>
                  </w:r>
                </w:p>
                <w:p>
                  <w:pPr>
                    <w:pStyle w:val="47"/>
                    <w:rPr>
                      <w:b w:val="0"/>
                      <w:bCs w:val="0"/>
                      <w:color w:val="auto"/>
                    </w:rPr>
                  </w:pPr>
                  <w:r>
                    <w:rPr>
                      <w:b w:val="0"/>
                      <w:bCs w:val="0"/>
                      <w:color w:val="auto"/>
                    </w:rPr>
                    <w:t>（mg/L）</w:t>
                  </w:r>
                </w:p>
              </w:tc>
              <w:tc>
                <w:tcPr>
                  <w:tcW w:w="1036" w:type="pct"/>
                  <w:tcBorders>
                    <w:tl2br w:val="nil"/>
                    <w:tr2bl w:val="nil"/>
                  </w:tcBorders>
                  <w:vAlign w:val="center"/>
                </w:tcPr>
                <w:p>
                  <w:pPr>
                    <w:pStyle w:val="47"/>
                    <w:rPr>
                      <w:b w:val="0"/>
                      <w:bCs w:val="0"/>
                      <w:color w:val="auto"/>
                    </w:rPr>
                  </w:pPr>
                  <w:r>
                    <w:rPr>
                      <w:b w:val="0"/>
                      <w:bCs w:val="0"/>
                      <w:color w:val="auto"/>
                    </w:rPr>
                    <w:t>排放量</w:t>
                  </w:r>
                </w:p>
                <w:p>
                  <w:pPr>
                    <w:pStyle w:val="47"/>
                    <w:rPr>
                      <w:b w:val="0"/>
                      <w:bCs w:val="0"/>
                      <w:color w:val="auto"/>
                    </w:rPr>
                  </w:pPr>
                  <w:r>
                    <w:rPr>
                      <w:b w:val="0"/>
                      <w:bCs w:val="0"/>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7"/>
                    <w:rPr>
                      <w:b w:val="0"/>
                      <w:bCs w:val="0"/>
                      <w:color w:val="auto"/>
                    </w:rPr>
                  </w:pPr>
                  <w:r>
                    <w:rPr>
                      <w:b w:val="0"/>
                      <w:bCs w:val="0"/>
                      <w:color w:val="auto"/>
                    </w:rPr>
                    <w:t>生活</w:t>
                  </w:r>
                </w:p>
                <w:p>
                  <w:pPr>
                    <w:pStyle w:val="47"/>
                    <w:rPr>
                      <w:b w:val="0"/>
                      <w:bCs w:val="0"/>
                      <w:color w:val="auto"/>
                    </w:rPr>
                  </w:pPr>
                  <w:r>
                    <w:rPr>
                      <w:b w:val="0"/>
                      <w:bCs w:val="0"/>
                      <w:color w:val="auto"/>
                    </w:rPr>
                    <w:t>污水</w:t>
                  </w:r>
                </w:p>
              </w:tc>
              <w:tc>
                <w:tcPr>
                  <w:tcW w:w="725" w:type="pct"/>
                  <w:tcBorders>
                    <w:tl2br w:val="nil"/>
                    <w:tr2bl w:val="nil"/>
                  </w:tcBorders>
                  <w:vAlign w:val="center"/>
                </w:tcPr>
                <w:p>
                  <w:pPr>
                    <w:pStyle w:val="47"/>
                    <w:rPr>
                      <w:b w:val="0"/>
                      <w:bCs w:val="0"/>
                      <w:color w:val="auto"/>
                    </w:rPr>
                  </w:pPr>
                  <w:r>
                    <w:rPr>
                      <w:b w:val="0"/>
                      <w:bCs w:val="0"/>
                      <w:color w:val="auto"/>
                    </w:rPr>
                    <w:t>废水量</w:t>
                  </w:r>
                </w:p>
                <w:p>
                  <w:pPr>
                    <w:pStyle w:val="47"/>
                    <w:rPr>
                      <w:b w:val="0"/>
                      <w:bCs w:val="0"/>
                      <w:color w:val="auto"/>
                    </w:rPr>
                  </w:pPr>
                  <w:r>
                    <w:rPr>
                      <w:b w:val="0"/>
                      <w:bCs w:val="0"/>
                      <w:color w:val="auto"/>
                    </w:rPr>
                    <w:t>（m</w:t>
                  </w:r>
                  <w:r>
                    <w:rPr>
                      <w:b w:val="0"/>
                      <w:bCs w:val="0"/>
                      <w:color w:val="auto"/>
                      <w:vertAlign w:val="superscript"/>
                    </w:rPr>
                    <w:t>3</w:t>
                  </w:r>
                  <w:r>
                    <w:rPr>
                      <w:b w:val="0"/>
                      <w:bCs w:val="0"/>
                      <w:color w:val="auto"/>
                    </w:rPr>
                    <w:t>/a）</w:t>
                  </w:r>
                </w:p>
              </w:tc>
              <w:tc>
                <w:tcPr>
                  <w:tcW w:w="1837" w:type="pct"/>
                  <w:gridSpan w:val="2"/>
                  <w:tcBorders>
                    <w:tl2br w:val="nil"/>
                    <w:tr2bl w:val="nil"/>
                  </w:tcBorders>
                  <w:vAlign w:val="center"/>
                </w:tcPr>
                <w:p>
                  <w:pPr>
                    <w:pStyle w:val="47"/>
                    <w:rPr>
                      <w:b w:val="0"/>
                      <w:bCs w:val="0"/>
                      <w:color w:val="auto"/>
                    </w:rPr>
                  </w:pPr>
                  <w:r>
                    <w:rPr>
                      <w:b w:val="0"/>
                      <w:bCs w:val="0"/>
                      <w:color w:val="auto"/>
                    </w:rPr>
                    <w:t>336</w:t>
                  </w:r>
                </w:p>
              </w:tc>
              <w:tc>
                <w:tcPr>
                  <w:tcW w:w="1965" w:type="pct"/>
                  <w:gridSpan w:val="2"/>
                  <w:tcBorders>
                    <w:tl2br w:val="nil"/>
                    <w:tr2bl w:val="nil"/>
                  </w:tcBorders>
                  <w:vAlign w:val="center"/>
                </w:tcPr>
                <w:p>
                  <w:pPr>
                    <w:pStyle w:val="47"/>
                    <w:rPr>
                      <w:b w:val="0"/>
                      <w:bCs w:val="0"/>
                      <w:color w:val="auto"/>
                    </w:rPr>
                  </w:pPr>
                  <w:r>
                    <w:rPr>
                      <w:b w:val="0"/>
                      <w:bCs w:val="0"/>
                      <w:color w:val="auto"/>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bookmarkStart w:id="20" w:name="OLE_LINK7" w:colFirst="2" w:colLast="2"/>
                  <w:bookmarkStart w:id="21" w:name="_Hlk410926680" w:colFirst="1" w:colLast="4"/>
                </w:p>
              </w:tc>
              <w:tc>
                <w:tcPr>
                  <w:tcW w:w="725" w:type="pct"/>
                  <w:tcBorders>
                    <w:tl2br w:val="nil"/>
                    <w:tr2bl w:val="nil"/>
                  </w:tcBorders>
                  <w:vAlign w:val="center"/>
                </w:tcPr>
                <w:p>
                  <w:pPr>
                    <w:pStyle w:val="47"/>
                    <w:rPr>
                      <w:b w:val="0"/>
                      <w:bCs w:val="0"/>
                      <w:color w:val="auto"/>
                    </w:rPr>
                  </w:pPr>
                  <w:r>
                    <w:rPr>
                      <w:b w:val="0"/>
                      <w:bCs w:val="0"/>
                      <w:color w:val="auto"/>
                    </w:rPr>
                    <w:t>COD</w:t>
                  </w:r>
                  <w:r>
                    <w:rPr>
                      <w:b w:val="0"/>
                      <w:bCs w:val="0"/>
                      <w:color w:val="auto"/>
                      <w:vertAlign w:val="subscript"/>
                    </w:rPr>
                    <w:t>cr</w:t>
                  </w:r>
                </w:p>
              </w:tc>
              <w:tc>
                <w:tcPr>
                  <w:tcW w:w="927" w:type="pct"/>
                  <w:tcBorders>
                    <w:tl2br w:val="nil"/>
                    <w:tr2bl w:val="nil"/>
                  </w:tcBorders>
                  <w:vAlign w:val="center"/>
                </w:tcPr>
                <w:p>
                  <w:pPr>
                    <w:pStyle w:val="47"/>
                    <w:rPr>
                      <w:b w:val="0"/>
                      <w:bCs w:val="0"/>
                      <w:color w:val="auto"/>
                    </w:rPr>
                  </w:pPr>
                  <w:r>
                    <w:rPr>
                      <w:b w:val="0"/>
                      <w:bCs w:val="0"/>
                      <w:color w:val="auto"/>
                    </w:rPr>
                    <w:t>400</w:t>
                  </w:r>
                </w:p>
              </w:tc>
              <w:tc>
                <w:tcPr>
                  <w:tcW w:w="909" w:type="pct"/>
                  <w:tcBorders>
                    <w:tl2br w:val="nil"/>
                    <w:tr2bl w:val="nil"/>
                  </w:tcBorders>
                  <w:vAlign w:val="center"/>
                </w:tcPr>
                <w:p>
                  <w:pPr>
                    <w:pStyle w:val="47"/>
                    <w:rPr>
                      <w:b w:val="0"/>
                      <w:bCs w:val="0"/>
                      <w:color w:val="auto"/>
                    </w:rPr>
                  </w:pPr>
                  <w:r>
                    <w:rPr>
                      <w:b w:val="0"/>
                      <w:bCs w:val="0"/>
                      <w:color w:val="auto"/>
                    </w:rPr>
                    <w:t>0.1344</w:t>
                  </w:r>
                </w:p>
              </w:tc>
              <w:tc>
                <w:tcPr>
                  <w:tcW w:w="928" w:type="pct"/>
                  <w:tcBorders>
                    <w:tl2br w:val="nil"/>
                    <w:tr2bl w:val="nil"/>
                  </w:tcBorders>
                  <w:vAlign w:val="center"/>
                </w:tcPr>
                <w:p>
                  <w:pPr>
                    <w:pStyle w:val="47"/>
                    <w:rPr>
                      <w:b w:val="0"/>
                      <w:bCs w:val="0"/>
                      <w:color w:val="auto"/>
                    </w:rPr>
                  </w:pPr>
                  <w:r>
                    <w:rPr>
                      <w:rFonts w:hint="eastAsia"/>
                      <w:b w:val="0"/>
                      <w:bCs w:val="0"/>
                      <w:color w:val="auto"/>
                    </w:rPr>
                    <w:t>340</w:t>
                  </w:r>
                </w:p>
              </w:tc>
              <w:tc>
                <w:tcPr>
                  <w:tcW w:w="1682" w:type="dxa"/>
                  <w:tcBorders>
                    <w:tl2br w:val="nil"/>
                    <w:tr2bl w:val="nil"/>
                  </w:tcBorders>
                  <w:vAlign w:val="center"/>
                </w:tcPr>
                <w:p>
                  <w:pPr>
                    <w:pStyle w:val="47"/>
                    <w:rPr>
                      <w:b w:val="0"/>
                      <w:bCs w:val="0"/>
                      <w:color w:val="auto"/>
                    </w:rPr>
                  </w:pPr>
                  <w:r>
                    <w:rPr>
                      <w:rFonts w:hint="eastAsia"/>
                      <w:b w:val="0"/>
                      <w:bCs w:val="0"/>
                      <w:color w:val="auto"/>
                      <w:lang w:bidi="ar"/>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BOD</w:t>
                  </w:r>
                  <w:r>
                    <w:rPr>
                      <w:b w:val="0"/>
                      <w:bCs w:val="0"/>
                      <w:color w:val="auto"/>
                      <w:vertAlign w:val="subscript"/>
                    </w:rPr>
                    <w:t>5</w:t>
                  </w:r>
                </w:p>
              </w:tc>
              <w:tc>
                <w:tcPr>
                  <w:tcW w:w="927" w:type="pct"/>
                  <w:tcBorders>
                    <w:tl2br w:val="nil"/>
                    <w:tr2bl w:val="nil"/>
                  </w:tcBorders>
                  <w:vAlign w:val="center"/>
                </w:tcPr>
                <w:p>
                  <w:pPr>
                    <w:pStyle w:val="47"/>
                    <w:rPr>
                      <w:b w:val="0"/>
                      <w:bCs w:val="0"/>
                      <w:color w:val="auto"/>
                    </w:rPr>
                  </w:pPr>
                  <w:r>
                    <w:rPr>
                      <w:b w:val="0"/>
                      <w:bCs w:val="0"/>
                      <w:color w:val="auto"/>
                    </w:rPr>
                    <w:t>220</w:t>
                  </w:r>
                </w:p>
              </w:tc>
              <w:tc>
                <w:tcPr>
                  <w:tcW w:w="909" w:type="pct"/>
                  <w:tcBorders>
                    <w:tl2br w:val="nil"/>
                    <w:tr2bl w:val="nil"/>
                  </w:tcBorders>
                  <w:vAlign w:val="center"/>
                </w:tcPr>
                <w:p>
                  <w:pPr>
                    <w:pStyle w:val="47"/>
                    <w:rPr>
                      <w:b w:val="0"/>
                      <w:bCs w:val="0"/>
                      <w:color w:val="auto"/>
                    </w:rPr>
                  </w:pPr>
                  <w:r>
                    <w:rPr>
                      <w:b w:val="0"/>
                      <w:bCs w:val="0"/>
                      <w:color w:val="auto"/>
                    </w:rPr>
                    <w:t>0.07392</w:t>
                  </w:r>
                </w:p>
              </w:tc>
              <w:tc>
                <w:tcPr>
                  <w:tcW w:w="928" w:type="pct"/>
                  <w:tcBorders>
                    <w:tl2br w:val="nil"/>
                    <w:tr2bl w:val="nil"/>
                  </w:tcBorders>
                  <w:vAlign w:val="center"/>
                </w:tcPr>
                <w:p>
                  <w:pPr>
                    <w:pStyle w:val="47"/>
                    <w:rPr>
                      <w:b w:val="0"/>
                      <w:bCs w:val="0"/>
                      <w:color w:val="auto"/>
                    </w:rPr>
                  </w:pPr>
                  <w:r>
                    <w:rPr>
                      <w:rFonts w:hint="eastAsia"/>
                      <w:b w:val="0"/>
                      <w:bCs w:val="0"/>
                      <w:color w:val="auto"/>
                    </w:rPr>
                    <w:t>198</w:t>
                  </w:r>
                </w:p>
              </w:tc>
              <w:tc>
                <w:tcPr>
                  <w:tcW w:w="1682" w:type="dxa"/>
                  <w:tcBorders>
                    <w:tl2br w:val="nil"/>
                    <w:tr2bl w:val="nil"/>
                  </w:tcBorders>
                  <w:vAlign w:val="center"/>
                </w:tcPr>
                <w:p>
                  <w:pPr>
                    <w:pStyle w:val="47"/>
                    <w:rPr>
                      <w:b w:val="0"/>
                      <w:bCs w:val="0"/>
                      <w:color w:val="auto"/>
                    </w:rPr>
                  </w:pPr>
                  <w:r>
                    <w:rPr>
                      <w:b w:val="0"/>
                      <w:bCs w:val="0"/>
                      <w:color w:val="auto"/>
                      <w:lang w:bidi="ar"/>
                    </w:rPr>
                    <w:t>0.0</w:t>
                  </w:r>
                  <w:r>
                    <w:rPr>
                      <w:rFonts w:hint="eastAsia"/>
                      <w:b w:val="0"/>
                      <w:bCs w:val="0"/>
                      <w:color w:val="auto"/>
                      <w:lang w:bidi="ar"/>
                    </w:rPr>
                    <w:t>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氨氮</w:t>
                  </w:r>
                </w:p>
              </w:tc>
              <w:tc>
                <w:tcPr>
                  <w:tcW w:w="927" w:type="pct"/>
                  <w:tcBorders>
                    <w:tl2br w:val="nil"/>
                    <w:tr2bl w:val="nil"/>
                  </w:tcBorders>
                  <w:vAlign w:val="center"/>
                </w:tcPr>
                <w:p>
                  <w:pPr>
                    <w:pStyle w:val="47"/>
                    <w:rPr>
                      <w:b w:val="0"/>
                      <w:bCs w:val="0"/>
                      <w:color w:val="auto"/>
                    </w:rPr>
                  </w:pPr>
                  <w:r>
                    <w:rPr>
                      <w:b w:val="0"/>
                      <w:bCs w:val="0"/>
                      <w:color w:val="auto"/>
                    </w:rPr>
                    <w:t>20</w:t>
                  </w:r>
                </w:p>
              </w:tc>
              <w:tc>
                <w:tcPr>
                  <w:tcW w:w="909" w:type="pct"/>
                  <w:tcBorders>
                    <w:tl2br w:val="nil"/>
                    <w:tr2bl w:val="nil"/>
                  </w:tcBorders>
                  <w:vAlign w:val="center"/>
                </w:tcPr>
                <w:p>
                  <w:pPr>
                    <w:pStyle w:val="47"/>
                    <w:rPr>
                      <w:b w:val="0"/>
                      <w:bCs w:val="0"/>
                      <w:color w:val="auto"/>
                    </w:rPr>
                  </w:pPr>
                  <w:r>
                    <w:rPr>
                      <w:b w:val="0"/>
                      <w:bCs w:val="0"/>
                      <w:color w:val="auto"/>
                    </w:rPr>
                    <w:t>0.00672</w:t>
                  </w:r>
                </w:p>
              </w:tc>
              <w:tc>
                <w:tcPr>
                  <w:tcW w:w="928" w:type="pct"/>
                  <w:tcBorders>
                    <w:tl2br w:val="nil"/>
                    <w:tr2bl w:val="nil"/>
                  </w:tcBorders>
                  <w:vAlign w:val="center"/>
                </w:tcPr>
                <w:p>
                  <w:pPr>
                    <w:pStyle w:val="47"/>
                    <w:rPr>
                      <w:b w:val="0"/>
                      <w:bCs w:val="0"/>
                      <w:color w:val="auto"/>
                    </w:rPr>
                  </w:pPr>
                  <w:r>
                    <w:rPr>
                      <w:rFonts w:hint="eastAsia"/>
                      <w:b w:val="0"/>
                      <w:bCs w:val="0"/>
                      <w:color w:val="auto"/>
                    </w:rPr>
                    <w:t>19.4</w:t>
                  </w:r>
                </w:p>
              </w:tc>
              <w:tc>
                <w:tcPr>
                  <w:tcW w:w="1682" w:type="dxa"/>
                  <w:tcBorders>
                    <w:tl2br w:val="nil"/>
                    <w:tr2bl w:val="nil"/>
                  </w:tcBorders>
                  <w:vAlign w:val="center"/>
                </w:tcPr>
                <w:p>
                  <w:pPr>
                    <w:pStyle w:val="47"/>
                    <w:rPr>
                      <w:b w:val="0"/>
                      <w:bCs w:val="0"/>
                      <w:color w:val="auto"/>
                    </w:rPr>
                  </w:pPr>
                  <w:r>
                    <w:rPr>
                      <w:b w:val="0"/>
                      <w:bCs w:val="0"/>
                      <w:color w:val="auto"/>
                      <w:lang w:bidi="ar"/>
                    </w:rPr>
                    <w:t>0.00</w:t>
                  </w:r>
                  <w:r>
                    <w:rPr>
                      <w:rFonts w:hint="eastAsia"/>
                      <w:b w:val="0"/>
                      <w:bCs w:val="0"/>
                      <w:color w:val="auto"/>
                      <w:lang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总磷</w:t>
                  </w:r>
                </w:p>
              </w:tc>
              <w:tc>
                <w:tcPr>
                  <w:tcW w:w="927" w:type="pct"/>
                  <w:tcBorders>
                    <w:tl2br w:val="nil"/>
                    <w:tr2bl w:val="nil"/>
                  </w:tcBorders>
                  <w:vAlign w:val="center"/>
                </w:tcPr>
                <w:p>
                  <w:pPr>
                    <w:pStyle w:val="47"/>
                    <w:rPr>
                      <w:b w:val="0"/>
                      <w:bCs w:val="0"/>
                      <w:color w:val="auto"/>
                    </w:rPr>
                  </w:pPr>
                  <w:r>
                    <w:rPr>
                      <w:b w:val="0"/>
                      <w:bCs w:val="0"/>
                      <w:color w:val="auto"/>
                    </w:rPr>
                    <w:t>7</w:t>
                  </w:r>
                </w:p>
              </w:tc>
              <w:tc>
                <w:tcPr>
                  <w:tcW w:w="909" w:type="pct"/>
                  <w:tcBorders>
                    <w:tl2br w:val="nil"/>
                    <w:tr2bl w:val="nil"/>
                  </w:tcBorders>
                  <w:vAlign w:val="center"/>
                </w:tcPr>
                <w:p>
                  <w:pPr>
                    <w:pStyle w:val="47"/>
                    <w:rPr>
                      <w:b w:val="0"/>
                      <w:bCs w:val="0"/>
                      <w:color w:val="auto"/>
                    </w:rPr>
                  </w:pPr>
                  <w:r>
                    <w:rPr>
                      <w:b w:val="0"/>
                      <w:bCs w:val="0"/>
                      <w:color w:val="auto"/>
                    </w:rPr>
                    <w:t>0.002352</w:t>
                  </w:r>
                </w:p>
              </w:tc>
              <w:tc>
                <w:tcPr>
                  <w:tcW w:w="928" w:type="pct"/>
                  <w:tcBorders>
                    <w:tl2br w:val="nil"/>
                    <w:tr2bl w:val="nil"/>
                  </w:tcBorders>
                  <w:vAlign w:val="center"/>
                </w:tcPr>
                <w:p>
                  <w:pPr>
                    <w:pStyle w:val="47"/>
                    <w:rPr>
                      <w:b w:val="0"/>
                      <w:bCs w:val="0"/>
                      <w:color w:val="auto"/>
                    </w:rPr>
                  </w:pPr>
                  <w:r>
                    <w:rPr>
                      <w:rFonts w:hint="eastAsia"/>
                      <w:b w:val="0"/>
                      <w:bCs w:val="0"/>
                      <w:color w:val="auto"/>
                    </w:rPr>
                    <w:t>6.58</w:t>
                  </w:r>
                </w:p>
              </w:tc>
              <w:tc>
                <w:tcPr>
                  <w:tcW w:w="1682" w:type="dxa"/>
                  <w:tcBorders>
                    <w:tl2br w:val="nil"/>
                    <w:tr2bl w:val="nil"/>
                  </w:tcBorders>
                  <w:vAlign w:val="center"/>
                </w:tcPr>
                <w:p>
                  <w:pPr>
                    <w:pStyle w:val="47"/>
                    <w:rPr>
                      <w:b w:val="0"/>
                      <w:bCs w:val="0"/>
                      <w:color w:val="auto"/>
                    </w:rPr>
                  </w:pPr>
                  <w:r>
                    <w:rPr>
                      <w:b w:val="0"/>
                      <w:bCs w:val="0"/>
                      <w:color w:val="auto"/>
                      <w:lang w:bidi="ar"/>
                    </w:rPr>
                    <w:t>0.002</w:t>
                  </w:r>
                  <w:r>
                    <w:rPr>
                      <w:rFonts w:hint="eastAsia"/>
                      <w:b w:val="0"/>
                      <w:bCs w:val="0"/>
                      <w:color w:val="auto"/>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动植物油</w:t>
                  </w:r>
                </w:p>
              </w:tc>
              <w:tc>
                <w:tcPr>
                  <w:tcW w:w="927" w:type="pct"/>
                  <w:tcBorders>
                    <w:tl2br w:val="nil"/>
                    <w:tr2bl w:val="nil"/>
                  </w:tcBorders>
                  <w:vAlign w:val="center"/>
                </w:tcPr>
                <w:p>
                  <w:pPr>
                    <w:pStyle w:val="47"/>
                    <w:rPr>
                      <w:b w:val="0"/>
                      <w:bCs w:val="0"/>
                      <w:color w:val="auto"/>
                    </w:rPr>
                  </w:pPr>
                  <w:r>
                    <w:rPr>
                      <w:b w:val="0"/>
                      <w:bCs w:val="0"/>
                      <w:color w:val="auto"/>
                    </w:rPr>
                    <w:t>50</w:t>
                  </w:r>
                </w:p>
              </w:tc>
              <w:tc>
                <w:tcPr>
                  <w:tcW w:w="909" w:type="pct"/>
                  <w:tcBorders>
                    <w:tl2br w:val="nil"/>
                    <w:tr2bl w:val="nil"/>
                  </w:tcBorders>
                  <w:vAlign w:val="center"/>
                </w:tcPr>
                <w:p>
                  <w:pPr>
                    <w:pStyle w:val="47"/>
                    <w:rPr>
                      <w:b w:val="0"/>
                      <w:bCs w:val="0"/>
                      <w:color w:val="auto"/>
                    </w:rPr>
                  </w:pPr>
                  <w:r>
                    <w:rPr>
                      <w:b w:val="0"/>
                      <w:bCs w:val="0"/>
                      <w:color w:val="auto"/>
                    </w:rPr>
                    <w:t>0.0168</w:t>
                  </w:r>
                </w:p>
              </w:tc>
              <w:tc>
                <w:tcPr>
                  <w:tcW w:w="928" w:type="pct"/>
                  <w:tcBorders>
                    <w:tl2br w:val="nil"/>
                    <w:tr2bl w:val="nil"/>
                  </w:tcBorders>
                  <w:vAlign w:val="center"/>
                </w:tcPr>
                <w:p>
                  <w:pPr>
                    <w:pStyle w:val="47"/>
                    <w:rPr>
                      <w:b w:val="0"/>
                      <w:bCs w:val="0"/>
                      <w:color w:val="auto"/>
                    </w:rPr>
                  </w:pPr>
                  <w:r>
                    <w:rPr>
                      <w:rFonts w:hint="eastAsia"/>
                      <w:b w:val="0"/>
                      <w:bCs w:val="0"/>
                      <w:color w:val="auto"/>
                    </w:rPr>
                    <w:t>18</w:t>
                  </w:r>
                </w:p>
              </w:tc>
              <w:tc>
                <w:tcPr>
                  <w:tcW w:w="1682" w:type="dxa"/>
                  <w:tcBorders>
                    <w:tl2br w:val="nil"/>
                    <w:tr2bl w:val="nil"/>
                  </w:tcBorders>
                  <w:vAlign w:val="center"/>
                </w:tcPr>
                <w:p>
                  <w:pPr>
                    <w:pStyle w:val="47"/>
                    <w:rPr>
                      <w:b w:val="0"/>
                      <w:bCs w:val="0"/>
                      <w:color w:val="auto"/>
                    </w:rPr>
                  </w:pPr>
                  <w:r>
                    <w:rPr>
                      <w:b w:val="0"/>
                      <w:bCs w:val="0"/>
                      <w:color w:val="auto"/>
                      <w:lang w:bidi="ar"/>
                    </w:rPr>
                    <w:t>0.006048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悬浮物</w:t>
                  </w:r>
                </w:p>
              </w:tc>
              <w:tc>
                <w:tcPr>
                  <w:tcW w:w="927" w:type="pct"/>
                  <w:tcBorders>
                    <w:tl2br w:val="nil"/>
                    <w:tr2bl w:val="nil"/>
                  </w:tcBorders>
                  <w:vAlign w:val="center"/>
                </w:tcPr>
                <w:p>
                  <w:pPr>
                    <w:pStyle w:val="47"/>
                    <w:rPr>
                      <w:b w:val="0"/>
                      <w:bCs w:val="0"/>
                      <w:color w:val="auto"/>
                    </w:rPr>
                  </w:pPr>
                  <w:r>
                    <w:rPr>
                      <w:b w:val="0"/>
                      <w:bCs w:val="0"/>
                      <w:color w:val="auto"/>
                    </w:rPr>
                    <w:t>300</w:t>
                  </w:r>
                </w:p>
              </w:tc>
              <w:tc>
                <w:tcPr>
                  <w:tcW w:w="909" w:type="pct"/>
                  <w:tcBorders>
                    <w:tl2br w:val="nil"/>
                    <w:tr2bl w:val="nil"/>
                  </w:tcBorders>
                  <w:vAlign w:val="center"/>
                </w:tcPr>
                <w:p>
                  <w:pPr>
                    <w:pStyle w:val="47"/>
                    <w:rPr>
                      <w:b w:val="0"/>
                      <w:bCs w:val="0"/>
                      <w:color w:val="auto"/>
                    </w:rPr>
                  </w:pPr>
                  <w:r>
                    <w:rPr>
                      <w:b w:val="0"/>
                      <w:bCs w:val="0"/>
                      <w:color w:val="auto"/>
                    </w:rPr>
                    <w:t>0.1008</w:t>
                  </w:r>
                </w:p>
              </w:tc>
              <w:tc>
                <w:tcPr>
                  <w:tcW w:w="928" w:type="pct"/>
                  <w:tcBorders>
                    <w:tl2br w:val="nil"/>
                    <w:tr2bl w:val="nil"/>
                  </w:tcBorders>
                  <w:vAlign w:val="center"/>
                </w:tcPr>
                <w:p>
                  <w:pPr>
                    <w:pStyle w:val="47"/>
                    <w:rPr>
                      <w:b w:val="0"/>
                      <w:bCs w:val="0"/>
                      <w:color w:val="auto"/>
                    </w:rPr>
                  </w:pPr>
                  <w:r>
                    <w:rPr>
                      <w:rFonts w:hint="eastAsia"/>
                      <w:b w:val="0"/>
                      <w:bCs w:val="0"/>
                      <w:color w:val="auto"/>
                    </w:rPr>
                    <w:t>210</w:t>
                  </w:r>
                </w:p>
              </w:tc>
              <w:tc>
                <w:tcPr>
                  <w:tcW w:w="1682" w:type="dxa"/>
                  <w:tcBorders>
                    <w:tl2br w:val="nil"/>
                    <w:tr2bl w:val="nil"/>
                  </w:tcBorders>
                  <w:vAlign w:val="center"/>
                </w:tcPr>
                <w:p>
                  <w:pPr>
                    <w:pStyle w:val="47"/>
                    <w:widowControl/>
                    <w:jc w:val="center"/>
                    <w:textAlignment w:val="center"/>
                  </w:pPr>
                  <w:r>
                    <w:rPr>
                      <w:b w:val="0"/>
                      <w:bCs w:val="0"/>
                      <w:color w:val="auto"/>
                      <w:lang w:bidi="ar"/>
                    </w:rPr>
                    <w:t>0.0</w:t>
                  </w:r>
                  <w:r>
                    <w:rPr>
                      <w:rFonts w:hint="eastAsia"/>
                      <w:b w:val="0"/>
                      <w:bCs w:val="0"/>
                      <w:color w:val="auto"/>
                      <w:lang w:bidi="ar"/>
                    </w:rPr>
                    <w:t>7</w:t>
                  </w:r>
                </w:p>
              </w:tc>
            </w:tr>
            <w:bookmarkEnd w:id="20"/>
            <w:bookmarkEnd w:id="21"/>
          </w:tbl>
          <w:p>
            <w:pPr>
              <w:pStyle w:val="14"/>
              <w:widowControl/>
              <w:autoSpaceDE/>
              <w:autoSpaceDN/>
              <w:snapToGrid w:val="0"/>
              <w:spacing w:before="120" w:beforeLines="50" w:line="360" w:lineRule="auto"/>
              <w:ind w:firstLine="480" w:firstLineChars="200"/>
              <w:rPr>
                <w:rFonts w:ascii="Times New Roman" w:hAnsi="Times New Roman" w:eastAsia="宋体" w:cs="Times New Roman"/>
                <w:color w:val="000000"/>
                <w:sz w:val="24"/>
                <w:szCs w:val="24"/>
                <w:lang w:val="en-US"/>
              </w:rPr>
            </w:pPr>
            <w:r>
              <w:rPr>
                <w:rFonts w:ascii="Times New Roman" w:hAnsi="Times New Roman" w:eastAsia="宋体" w:cs="Times New Roman"/>
                <w:color w:val="000000"/>
                <w:sz w:val="24"/>
                <w:szCs w:val="24"/>
                <w:lang w:val="en-US"/>
              </w:rPr>
              <w:t>由上表可知，项目生活废水经处理后可达GB/T31962-2015 《污水排入城镇下水道水质标准》（表1）A等级标准。</w:t>
            </w:r>
          </w:p>
          <w:p>
            <w:pPr>
              <w:pStyle w:val="14"/>
              <w:widowControl/>
              <w:autoSpaceDE/>
              <w:autoSpaceDN/>
              <w:snapToGrid w:val="0"/>
              <w:spacing w:before="120" w:beforeLines="50" w:line="360" w:lineRule="auto"/>
              <w:ind w:firstLine="482" w:firstLineChars="200"/>
              <w:rPr>
                <w:rFonts w:ascii="Times New Roman" w:hAnsi="Times New Roman" w:eastAsia="宋体" w:cs="Times New Roman"/>
                <w:b/>
                <w:bCs/>
                <w:sz w:val="24"/>
                <w:szCs w:val="24"/>
                <w:lang w:val="en-US"/>
              </w:rPr>
            </w:pPr>
            <w:r>
              <w:rPr>
                <w:rFonts w:ascii="Times New Roman" w:hAnsi="Times New Roman" w:eastAsia="宋体" w:cs="Times New Roman"/>
                <w:b/>
                <w:bCs/>
                <w:sz w:val="24"/>
                <w:szCs w:val="24"/>
                <w:lang w:val="en-US"/>
              </w:rPr>
              <w:t>3、监测要求</w:t>
            </w:r>
          </w:p>
          <w:p>
            <w:pPr>
              <w:autoSpaceDE/>
              <w:autoSpaceDN/>
              <w:spacing w:line="360" w:lineRule="auto"/>
              <w:ind w:firstLine="480" w:firstLineChars="200"/>
              <w:rPr>
                <w:rFonts w:ascii="Times New Roman" w:hAnsi="Times New Roman" w:cs="Times New Roman"/>
              </w:rPr>
            </w:pPr>
            <w:r>
              <w:rPr>
                <w:rFonts w:ascii="Times New Roman" w:hAnsi="Times New Roman" w:cs="Times New Roman"/>
              </w:rPr>
              <w:t>根据《排污单位自行监测技术指南总则》（HJ819-2017）制定本次监测计划，详见下表4-</w:t>
            </w:r>
            <w:r>
              <w:rPr>
                <w:rFonts w:ascii="Times New Roman" w:hAnsi="Times New Roman" w:cs="Times New Roman"/>
                <w:lang w:val="en-US"/>
              </w:rPr>
              <w:t>1</w:t>
            </w:r>
            <w:r>
              <w:rPr>
                <w:rFonts w:hint="eastAsia" w:ascii="Times New Roman" w:hAnsi="Times New Roman" w:cs="Times New Roman"/>
                <w:lang w:val="en-US" w:eastAsia="zh-CN"/>
              </w:rPr>
              <w:t>0</w:t>
            </w:r>
            <w:r>
              <w:rPr>
                <w:rFonts w:ascii="Times New Roman" w:hAnsi="Times New Roman" w:cs="Times New Roman"/>
              </w:rPr>
              <w:t>。</w:t>
            </w:r>
          </w:p>
          <w:p>
            <w:pPr>
              <w:pStyle w:val="10"/>
            </w:pPr>
            <w:r>
              <w:t>表4-1</w:t>
            </w:r>
            <w:r>
              <w:rPr>
                <w:rFonts w:hint="eastAsia"/>
                <w:lang w:val="en-US" w:eastAsia="zh-CN"/>
              </w:rPr>
              <w:t>0</w:t>
            </w:r>
            <w:r>
              <w:t>废水监测内容</w:t>
            </w:r>
          </w:p>
          <w:tbl>
            <w:tblPr>
              <w:tblStyle w:val="26"/>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426"/>
              <w:gridCol w:w="1500"/>
              <w:gridCol w:w="2133"/>
              <w:gridCol w:w="1512"/>
              <w:gridCol w:w="1896"/>
              <w:gridCol w:w="7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87" w:type="pct"/>
                </w:tcPr>
                <w:p>
                  <w:pPr>
                    <w:pStyle w:val="47"/>
                    <w:rPr>
                      <w:b w:val="0"/>
                      <w:bCs w:val="0"/>
                    </w:rPr>
                  </w:pPr>
                  <w:r>
                    <w:rPr>
                      <w:b w:val="0"/>
                      <w:bCs w:val="0"/>
                    </w:rPr>
                    <w:t>监测点</w:t>
                  </w:r>
                </w:p>
              </w:tc>
              <w:tc>
                <w:tcPr>
                  <w:tcW w:w="805" w:type="pct"/>
                  <w:vAlign w:val="center"/>
                </w:tcPr>
                <w:p>
                  <w:pPr>
                    <w:pStyle w:val="47"/>
                    <w:rPr>
                      <w:b w:val="0"/>
                      <w:bCs w:val="0"/>
                    </w:rPr>
                  </w:pPr>
                  <w:r>
                    <w:rPr>
                      <w:b w:val="0"/>
                      <w:bCs w:val="0"/>
                    </w:rPr>
                    <w:t>执行标准</w:t>
                  </w:r>
                </w:p>
              </w:tc>
              <w:tc>
                <w:tcPr>
                  <w:tcW w:w="1558" w:type="pct"/>
                  <w:vAlign w:val="center"/>
                </w:tcPr>
                <w:p>
                  <w:pPr>
                    <w:pStyle w:val="47"/>
                    <w:rPr>
                      <w:b w:val="0"/>
                      <w:bCs w:val="0"/>
                    </w:rPr>
                  </w:pPr>
                  <w:r>
                    <w:rPr>
                      <w:b w:val="0"/>
                      <w:bCs w:val="0"/>
                    </w:rPr>
                    <w:t>基本控制项目</w:t>
                  </w:r>
                </w:p>
              </w:tc>
              <w:tc>
                <w:tcPr>
                  <w:tcW w:w="1063" w:type="pct"/>
                  <w:vAlign w:val="center"/>
                </w:tcPr>
                <w:p>
                  <w:pPr>
                    <w:pStyle w:val="47"/>
                    <w:rPr>
                      <w:b w:val="0"/>
                      <w:bCs w:val="0"/>
                    </w:rPr>
                  </w:pPr>
                  <w:r>
                    <w:rPr>
                      <w:b w:val="0"/>
                      <w:bCs w:val="0"/>
                    </w:rPr>
                    <w:t>标准限值</w:t>
                  </w:r>
                </w:p>
              </w:tc>
              <w:tc>
                <w:tcPr>
                  <w:tcW w:w="657" w:type="pct"/>
                  <w:vAlign w:val="center"/>
                </w:tcPr>
                <w:p>
                  <w:pPr>
                    <w:pStyle w:val="47"/>
                    <w:rPr>
                      <w:b w:val="0"/>
                      <w:bCs w:val="0"/>
                    </w:rPr>
                  </w:pPr>
                  <w:r>
                    <w:rPr>
                      <w:b w:val="0"/>
                      <w:bCs w:val="0"/>
                    </w:rPr>
                    <w:t>监测方法</w:t>
                  </w:r>
                </w:p>
              </w:tc>
              <w:tc>
                <w:tcPr>
                  <w:tcW w:w="627" w:type="pct"/>
                  <w:vAlign w:val="center"/>
                </w:tcPr>
                <w:p>
                  <w:pPr>
                    <w:pStyle w:val="47"/>
                    <w:rPr>
                      <w:b w:val="0"/>
                      <w:bCs w:val="0"/>
                    </w:rPr>
                  </w:pPr>
                  <w:r>
                    <w:rPr>
                      <w:b w:val="0"/>
                      <w:bCs w:val="0"/>
                    </w:rPr>
                    <w:t>监测频次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87" w:type="pct"/>
                  <w:vMerge w:val="restart"/>
                  <w:vAlign w:val="center"/>
                </w:tcPr>
                <w:p>
                  <w:pPr>
                    <w:pStyle w:val="47"/>
                    <w:rPr>
                      <w:b w:val="0"/>
                      <w:bCs w:val="0"/>
                    </w:rPr>
                  </w:pPr>
                  <w:r>
                    <w:rPr>
                      <w:b w:val="0"/>
                      <w:bCs w:val="0"/>
                    </w:rPr>
                    <w:t>化粪池出水口</w:t>
                  </w:r>
                </w:p>
              </w:tc>
              <w:tc>
                <w:tcPr>
                  <w:tcW w:w="805" w:type="pct"/>
                  <w:vMerge w:val="restart"/>
                  <w:vAlign w:val="center"/>
                </w:tcPr>
                <w:p>
                  <w:pPr>
                    <w:pStyle w:val="47"/>
                    <w:rPr>
                      <w:b w:val="0"/>
                      <w:bCs w:val="0"/>
                    </w:rPr>
                  </w:pPr>
                  <w:r>
                    <w:rPr>
                      <w:b w:val="0"/>
                      <w:bCs w:val="0"/>
                    </w:rPr>
                    <w:t>《污水排入城镇下水道水质标准》（GB/T31962-2015）表1的A等级标准</w:t>
                  </w:r>
                </w:p>
              </w:tc>
              <w:tc>
                <w:tcPr>
                  <w:tcW w:w="1558" w:type="pct"/>
                </w:tcPr>
                <w:p>
                  <w:pPr>
                    <w:pStyle w:val="47"/>
                    <w:rPr>
                      <w:b w:val="0"/>
                      <w:bCs w:val="0"/>
                    </w:rPr>
                  </w:pPr>
                  <w:r>
                    <w:rPr>
                      <w:b w:val="0"/>
                      <w:bCs w:val="0"/>
                    </w:rPr>
                    <w:t>pH值（无量纲）</w:t>
                  </w:r>
                </w:p>
              </w:tc>
              <w:tc>
                <w:tcPr>
                  <w:tcW w:w="1063" w:type="pct"/>
                </w:tcPr>
                <w:p>
                  <w:pPr>
                    <w:pStyle w:val="47"/>
                    <w:rPr>
                      <w:b w:val="0"/>
                      <w:bCs w:val="0"/>
                    </w:rPr>
                  </w:pPr>
                  <w:r>
                    <w:rPr>
                      <w:b w:val="0"/>
                      <w:bCs w:val="0"/>
                    </w:rPr>
                    <w:t>6.5~9.5</w:t>
                  </w:r>
                </w:p>
              </w:tc>
              <w:tc>
                <w:tcPr>
                  <w:tcW w:w="657" w:type="pct"/>
                  <w:vMerge w:val="restart"/>
                  <w:vAlign w:val="center"/>
                </w:tcPr>
                <w:p>
                  <w:pPr>
                    <w:pStyle w:val="47"/>
                    <w:rPr>
                      <w:b w:val="0"/>
                      <w:bCs w:val="0"/>
                    </w:rPr>
                  </w:pPr>
                  <w:r>
                    <w:rPr>
                      <w:b w:val="0"/>
                      <w:bCs w:val="0"/>
                    </w:rPr>
                    <w:t>《地表水和污水监测技术规范》（HJ/T91—2002）</w:t>
                  </w:r>
                </w:p>
              </w:tc>
              <w:tc>
                <w:tcPr>
                  <w:tcW w:w="627" w:type="pct"/>
                  <w:vMerge w:val="restart"/>
                  <w:vAlign w:val="center"/>
                </w:tcPr>
                <w:p>
                  <w:pPr>
                    <w:pStyle w:val="47"/>
                    <w:rPr>
                      <w:b w:val="0"/>
                      <w:bCs w:val="0"/>
                    </w:rPr>
                  </w:pPr>
                  <w:r>
                    <w:rPr>
                      <w:b w:val="0"/>
                      <w:bCs w:val="0"/>
                    </w:rPr>
                    <w:t>每年监测1次，每次连续监测2天，每天监测4次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87" w:type="pct"/>
                  <w:vMerge w:val="continue"/>
                </w:tcPr>
                <w:p>
                  <w:pPr>
                    <w:pStyle w:val="47"/>
                    <w:rPr>
                      <w:b w:val="0"/>
                      <w:bCs w:val="0"/>
                    </w:rPr>
                  </w:pPr>
                </w:p>
              </w:tc>
              <w:tc>
                <w:tcPr>
                  <w:tcW w:w="805" w:type="pct"/>
                  <w:vMerge w:val="continue"/>
                </w:tcPr>
                <w:p>
                  <w:pPr>
                    <w:pStyle w:val="47"/>
                    <w:rPr>
                      <w:b w:val="0"/>
                      <w:bCs w:val="0"/>
                    </w:rPr>
                  </w:pPr>
                </w:p>
              </w:tc>
              <w:tc>
                <w:tcPr>
                  <w:tcW w:w="1558" w:type="pct"/>
                </w:tcPr>
                <w:p>
                  <w:pPr>
                    <w:pStyle w:val="47"/>
                    <w:rPr>
                      <w:b w:val="0"/>
                      <w:bCs w:val="0"/>
                    </w:rPr>
                  </w:pPr>
                  <w:r>
                    <w:rPr>
                      <w:b w:val="0"/>
                      <w:bCs w:val="0"/>
                    </w:rPr>
                    <w:t>SS</w:t>
                  </w:r>
                </w:p>
              </w:tc>
              <w:tc>
                <w:tcPr>
                  <w:tcW w:w="1063" w:type="pct"/>
                </w:tcPr>
                <w:p>
                  <w:pPr>
                    <w:pStyle w:val="47"/>
                    <w:rPr>
                      <w:b w:val="0"/>
                      <w:bCs w:val="0"/>
                    </w:rPr>
                  </w:pPr>
                  <w:r>
                    <w:rPr>
                      <w:b w:val="0"/>
                      <w:bCs w:val="0"/>
                    </w:rPr>
                    <w:t>≤400mg/L</w:t>
                  </w:r>
                </w:p>
              </w:tc>
              <w:tc>
                <w:tcPr>
                  <w:tcW w:w="657" w:type="pct"/>
                  <w:vMerge w:val="continue"/>
                </w:tcPr>
                <w:p>
                  <w:pPr>
                    <w:pStyle w:val="47"/>
                    <w:rPr>
                      <w:b w:val="0"/>
                      <w:bCs w:val="0"/>
                    </w:rPr>
                  </w:pPr>
                </w:p>
              </w:tc>
              <w:tc>
                <w:tcPr>
                  <w:tcW w:w="627" w:type="pct"/>
                  <w:vMerge w:val="continue"/>
                </w:tcPr>
                <w:p>
                  <w:pPr>
                    <w:pStyle w:val="47"/>
                    <w:rPr>
                      <w:b w:val="0"/>
                      <w:bCs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87" w:type="pct"/>
                  <w:vMerge w:val="continue"/>
                </w:tcPr>
                <w:p>
                  <w:pPr>
                    <w:pStyle w:val="47"/>
                    <w:rPr>
                      <w:b w:val="0"/>
                      <w:bCs w:val="0"/>
                    </w:rPr>
                  </w:pPr>
                </w:p>
              </w:tc>
              <w:tc>
                <w:tcPr>
                  <w:tcW w:w="805" w:type="pct"/>
                  <w:vMerge w:val="continue"/>
                </w:tcPr>
                <w:p>
                  <w:pPr>
                    <w:pStyle w:val="47"/>
                    <w:rPr>
                      <w:b w:val="0"/>
                      <w:bCs w:val="0"/>
                    </w:rPr>
                  </w:pPr>
                </w:p>
              </w:tc>
              <w:tc>
                <w:tcPr>
                  <w:tcW w:w="1558" w:type="pct"/>
                </w:tcPr>
                <w:p>
                  <w:pPr>
                    <w:pStyle w:val="47"/>
                    <w:rPr>
                      <w:b w:val="0"/>
                      <w:bCs w:val="0"/>
                    </w:rPr>
                  </w:pPr>
                  <w:r>
                    <w:rPr>
                      <w:b w:val="0"/>
                      <w:bCs w:val="0"/>
                    </w:rPr>
                    <w:t>CODcr</w:t>
                  </w:r>
                </w:p>
              </w:tc>
              <w:tc>
                <w:tcPr>
                  <w:tcW w:w="1063" w:type="pct"/>
                </w:tcPr>
                <w:p>
                  <w:pPr>
                    <w:pStyle w:val="47"/>
                    <w:rPr>
                      <w:b w:val="0"/>
                      <w:bCs w:val="0"/>
                    </w:rPr>
                  </w:pPr>
                  <w:r>
                    <w:rPr>
                      <w:b w:val="0"/>
                      <w:bCs w:val="0"/>
                    </w:rPr>
                    <w:t>≤500mg/L</w:t>
                  </w:r>
                </w:p>
              </w:tc>
              <w:tc>
                <w:tcPr>
                  <w:tcW w:w="657" w:type="pct"/>
                  <w:vMerge w:val="continue"/>
                </w:tcPr>
                <w:p>
                  <w:pPr>
                    <w:pStyle w:val="47"/>
                    <w:rPr>
                      <w:b w:val="0"/>
                      <w:bCs w:val="0"/>
                    </w:rPr>
                  </w:pPr>
                </w:p>
              </w:tc>
              <w:tc>
                <w:tcPr>
                  <w:tcW w:w="627" w:type="pct"/>
                  <w:vMerge w:val="continue"/>
                </w:tcPr>
                <w:p>
                  <w:pPr>
                    <w:pStyle w:val="47"/>
                    <w:rPr>
                      <w:b w:val="0"/>
                      <w:bCs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87" w:type="pct"/>
                  <w:vMerge w:val="continue"/>
                </w:tcPr>
                <w:p>
                  <w:pPr>
                    <w:pStyle w:val="47"/>
                    <w:rPr>
                      <w:b w:val="0"/>
                      <w:bCs w:val="0"/>
                    </w:rPr>
                  </w:pPr>
                </w:p>
              </w:tc>
              <w:tc>
                <w:tcPr>
                  <w:tcW w:w="805" w:type="pct"/>
                  <w:vMerge w:val="continue"/>
                </w:tcPr>
                <w:p>
                  <w:pPr>
                    <w:pStyle w:val="47"/>
                    <w:rPr>
                      <w:b w:val="0"/>
                      <w:bCs w:val="0"/>
                    </w:rPr>
                  </w:pPr>
                </w:p>
              </w:tc>
              <w:tc>
                <w:tcPr>
                  <w:tcW w:w="1558" w:type="pct"/>
                </w:tcPr>
                <w:p>
                  <w:pPr>
                    <w:pStyle w:val="47"/>
                    <w:rPr>
                      <w:b w:val="0"/>
                      <w:bCs w:val="0"/>
                    </w:rPr>
                  </w:pPr>
                  <w:r>
                    <w:rPr>
                      <w:b w:val="0"/>
                      <w:bCs w:val="0"/>
                    </w:rPr>
                    <w:t>BOD</w:t>
                  </w:r>
                  <w:r>
                    <w:rPr>
                      <w:b w:val="0"/>
                      <w:bCs w:val="0"/>
                      <w:vertAlign w:val="subscript"/>
                    </w:rPr>
                    <w:t>5</w:t>
                  </w:r>
                </w:p>
              </w:tc>
              <w:tc>
                <w:tcPr>
                  <w:tcW w:w="1063" w:type="pct"/>
                </w:tcPr>
                <w:p>
                  <w:pPr>
                    <w:pStyle w:val="47"/>
                    <w:rPr>
                      <w:b w:val="0"/>
                      <w:bCs w:val="0"/>
                    </w:rPr>
                  </w:pPr>
                  <w:r>
                    <w:rPr>
                      <w:b w:val="0"/>
                      <w:bCs w:val="0"/>
                    </w:rPr>
                    <w:t>≤350mg/L</w:t>
                  </w:r>
                </w:p>
              </w:tc>
              <w:tc>
                <w:tcPr>
                  <w:tcW w:w="657" w:type="pct"/>
                  <w:vMerge w:val="continue"/>
                </w:tcPr>
                <w:p>
                  <w:pPr>
                    <w:pStyle w:val="47"/>
                    <w:rPr>
                      <w:b w:val="0"/>
                      <w:bCs w:val="0"/>
                    </w:rPr>
                  </w:pPr>
                </w:p>
              </w:tc>
              <w:tc>
                <w:tcPr>
                  <w:tcW w:w="627" w:type="pct"/>
                  <w:vMerge w:val="continue"/>
                </w:tcPr>
                <w:p>
                  <w:pPr>
                    <w:pStyle w:val="47"/>
                    <w:rPr>
                      <w:b w:val="0"/>
                      <w:bCs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87" w:type="pct"/>
                  <w:vMerge w:val="continue"/>
                </w:tcPr>
                <w:p>
                  <w:pPr>
                    <w:pStyle w:val="47"/>
                    <w:rPr>
                      <w:b w:val="0"/>
                      <w:bCs w:val="0"/>
                    </w:rPr>
                  </w:pPr>
                </w:p>
              </w:tc>
              <w:tc>
                <w:tcPr>
                  <w:tcW w:w="805" w:type="pct"/>
                  <w:vMerge w:val="continue"/>
                </w:tcPr>
                <w:p>
                  <w:pPr>
                    <w:pStyle w:val="47"/>
                    <w:rPr>
                      <w:b w:val="0"/>
                      <w:bCs w:val="0"/>
                    </w:rPr>
                  </w:pPr>
                </w:p>
              </w:tc>
              <w:tc>
                <w:tcPr>
                  <w:tcW w:w="1558" w:type="pct"/>
                </w:tcPr>
                <w:p>
                  <w:pPr>
                    <w:pStyle w:val="47"/>
                    <w:rPr>
                      <w:b w:val="0"/>
                      <w:bCs w:val="0"/>
                    </w:rPr>
                  </w:pPr>
                  <w:r>
                    <w:rPr>
                      <w:b w:val="0"/>
                      <w:bCs w:val="0"/>
                    </w:rPr>
                    <w:t>氨氮</w:t>
                  </w:r>
                </w:p>
              </w:tc>
              <w:tc>
                <w:tcPr>
                  <w:tcW w:w="1063" w:type="pct"/>
                </w:tcPr>
                <w:p>
                  <w:pPr>
                    <w:pStyle w:val="47"/>
                    <w:rPr>
                      <w:b w:val="0"/>
                      <w:bCs w:val="0"/>
                    </w:rPr>
                  </w:pPr>
                  <w:r>
                    <w:rPr>
                      <w:b w:val="0"/>
                      <w:bCs w:val="0"/>
                    </w:rPr>
                    <w:t>≤45mg/L</w:t>
                  </w:r>
                </w:p>
              </w:tc>
              <w:tc>
                <w:tcPr>
                  <w:tcW w:w="657" w:type="pct"/>
                  <w:vMerge w:val="continue"/>
                </w:tcPr>
                <w:p>
                  <w:pPr>
                    <w:pStyle w:val="47"/>
                    <w:rPr>
                      <w:b w:val="0"/>
                      <w:bCs w:val="0"/>
                    </w:rPr>
                  </w:pPr>
                </w:p>
              </w:tc>
              <w:tc>
                <w:tcPr>
                  <w:tcW w:w="627" w:type="pct"/>
                  <w:vMerge w:val="continue"/>
                </w:tcPr>
                <w:p>
                  <w:pPr>
                    <w:pStyle w:val="47"/>
                    <w:rPr>
                      <w:b w:val="0"/>
                      <w:bCs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9" w:hRule="atLeast"/>
                <w:jc w:val="center"/>
              </w:trPr>
              <w:tc>
                <w:tcPr>
                  <w:tcW w:w="287" w:type="pct"/>
                  <w:vMerge w:val="continue"/>
                </w:tcPr>
                <w:p>
                  <w:pPr>
                    <w:pStyle w:val="47"/>
                    <w:rPr>
                      <w:b w:val="0"/>
                      <w:bCs w:val="0"/>
                    </w:rPr>
                  </w:pPr>
                </w:p>
              </w:tc>
              <w:tc>
                <w:tcPr>
                  <w:tcW w:w="805" w:type="pct"/>
                  <w:vMerge w:val="continue"/>
                </w:tcPr>
                <w:p>
                  <w:pPr>
                    <w:pStyle w:val="47"/>
                    <w:rPr>
                      <w:b w:val="0"/>
                      <w:bCs w:val="0"/>
                    </w:rPr>
                  </w:pPr>
                </w:p>
              </w:tc>
              <w:tc>
                <w:tcPr>
                  <w:tcW w:w="1558" w:type="pct"/>
                </w:tcPr>
                <w:p>
                  <w:pPr>
                    <w:pStyle w:val="47"/>
                    <w:rPr>
                      <w:b w:val="0"/>
                      <w:bCs w:val="0"/>
                    </w:rPr>
                  </w:pPr>
                  <w:r>
                    <w:rPr>
                      <w:b w:val="0"/>
                      <w:bCs w:val="0"/>
                    </w:rPr>
                    <w:t>T-P</w:t>
                  </w:r>
                </w:p>
              </w:tc>
              <w:tc>
                <w:tcPr>
                  <w:tcW w:w="1063" w:type="pct"/>
                </w:tcPr>
                <w:p>
                  <w:pPr>
                    <w:pStyle w:val="47"/>
                    <w:rPr>
                      <w:b w:val="0"/>
                      <w:bCs w:val="0"/>
                    </w:rPr>
                  </w:pPr>
                  <w:r>
                    <w:rPr>
                      <w:b w:val="0"/>
                      <w:bCs w:val="0"/>
                    </w:rPr>
                    <w:t>≤8.0mg/L</w:t>
                  </w:r>
                </w:p>
              </w:tc>
              <w:tc>
                <w:tcPr>
                  <w:tcW w:w="657" w:type="pct"/>
                  <w:vMerge w:val="continue"/>
                </w:tcPr>
                <w:p>
                  <w:pPr>
                    <w:pStyle w:val="47"/>
                    <w:rPr>
                      <w:b w:val="0"/>
                      <w:bCs w:val="0"/>
                    </w:rPr>
                  </w:pPr>
                </w:p>
              </w:tc>
              <w:tc>
                <w:tcPr>
                  <w:tcW w:w="627" w:type="pct"/>
                  <w:vMerge w:val="continue"/>
                </w:tcPr>
                <w:p>
                  <w:pPr>
                    <w:pStyle w:val="47"/>
                    <w:rPr>
                      <w:b w:val="0"/>
                      <w:bCs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87" w:type="pct"/>
                  <w:vMerge w:val="continue"/>
                </w:tcPr>
                <w:p>
                  <w:pPr>
                    <w:pStyle w:val="47"/>
                    <w:rPr>
                      <w:b w:val="0"/>
                      <w:bCs w:val="0"/>
                    </w:rPr>
                  </w:pPr>
                </w:p>
              </w:tc>
              <w:tc>
                <w:tcPr>
                  <w:tcW w:w="805" w:type="pct"/>
                  <w:vMerge w:val="continue"/>
                </w:tcPr>
                <w:p>
                  <w:pPr>
                    <w:pStyle w:val="47"/>
                    <w:rPr>
                      <w:b w:val="0"/>
                      <w:bCs w:val="0"/>
                    </w:rPr>
                  </w:pPr>
                </w:p>
              </w:tc>
              <w:tc>
                <w:tcPr>
                  <w:tcW w:w="1558" w:type="pct"/>
                </w:tcPr>
                <w:p>
                  <w:pPr>
                    <w:pStyle w:val="47"/>
                    <w:rPr>
                      <w:b w:val="0"/>
                      <w:bCs w:val="0"/>
                    </w:rPr>
                  </w:pPr>
                  <w:r>
                    <w:rPr>
                      <w:b w:val="0"/>
                      <w:bCs w:val="0"/>
                    </w:rPr>
                    <w:t>动植物油</w:t>
                  </w:r>
                </w:p>
              </w:tc>
              <w:tc>
                <w:tcPr>
                  <w:tcW w:w="1063" w:type="pct"/>
                </w:tcPr>
                <w:p>
                  <w:pPr>
                    <w:pStyle w:val="47"/>
                    <w:rPr>
                      <w:b w:val="0"/>
                      <w:bCs w:val="0"/>
                    </w:rPr>
                  </w:pPr>
                  <w:r>
                    <w:rPr>
                      <w:b w:val="0"/>
                      <w:bCs w:val="0"/>
                    </w:rPr>
                    <w:t>≤100mg/L</w:t>
                  </w:r>
                </w:p>
              </w:tc>
              <w:tc>
                <w:tcPr>
                  <w:tcW w:w="657" w:type="pct"/>
                  <w:vMerge w:val="continue"/>
                </w:tcPr>
                <w:p>
                  <w:pPr>
                    <w:pStyle w:val="47"/>
                    <w:rPr>
                      <w:b w:val="0"/>
                      <w:bCs w:val="0"/>
                    </w:rPr>
                  </w:pPr>
                </w:p>
              </w:tc>
              <w:tc>
                <w:tcPr>
                  <w:tcW w:w="627" w:type="pct"/>
                  <w:vMerge w:val="continue"/>
                </w:tcPr>
                <w:p>
                  <w:pPr>
                    <w:pStyle w:val="47"/>
                    <w:rPr>
                      <w:b w:val="0"/>
                      <w:bCs w:val="0"/>
                    </w:rPr>
                  </w:pPr>
                </w:p>
              </w:tc>
            </w:tr>
          </w:tbl>
          <w:p>
            <w:pPr>
              <w:pStyle w:val="7"/>
              <w:snapToGrid w:val="0"/>
              <w:spacing w:line="360" w:lineRule="auto"/>
              <w:ind w:left="0" w:firstLine="482" w:firstLineChars="200"/>
              <w:jc w:val="both"/>
              <w:rPr>
                <w:rFonts w:ascii="Times New Roman" w:hAnsi="Times New Roman" w:cs="Times New Roman"/>
                <w:color w:val="000000"/>
                <w:lang w:val="en-US"/>
              </w:rPr>
            </w:pPr>
            <w:r>
              <w:rPr>
                <w:rFonts w:ascii="Times New Roman" w:hAnsi="Times New Roman" w:cs="Times New Roman"/>
                <w:lang w:val="en-US"/>
              </w:rPr>
              <w:t>4、污染治理技术可行性分析</w:t>
            </w:r>
          </w:p>
          <w:p>
            <w:pPr>
              <w:snapToGrid w:val="0"/>
              <w:spacing w:line="360" w:lineRule="auto"/>
              <w:ind w:firstLine="482"/>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lang w:val="en-US"/>
              </w:rPr>
              <w:t>1</w:t>
            </w:r>
            <w:r>
              <w:rPr>
                <w:rFonts w:ascii="Times New Roman" w:hAnsi="Times New Roman" w:cs="Times New Roman"/>
                <w:color w:val="000000"/>
              </w:rPr>
              <w:t>）废水依托云南俊腾达标准化厂房</w:t>
            </w:r>
            <w:r>
              <w:rPr>
                <w:rFonts w:ascii="Times New Roman" w:hAnsi="Times New Roman" w:cs="Times New Roman"/>
                <w:color w:val="000000"/>
                <w:lang w:val="en-US"/>
              </w:rPr>
              <w:t>中水处理站</w:t>
            </w:r>
            <w:r>
              <w:rPr>
                <w:rFonts w:ascii="Times New Roman" w:hAnsi="Times New Roman" w:cs="Times New Roman"/>
                <w:color w:val="000000"/>
              </w:rPr>
              <w:t>可行性</w:t>
            </w:r>
          </w:p>
          <w:p>
            <w:pPr>
              <w:snapToGrid w:val="0"/>
              <w:spacing w:line="360" w:lineRule="auto"/>
              <w:ind w:firstLine="583" w:firstLineChars="243"/>
              <w:contextualSpacing/>
              <w:rPr>
                <w:rFonts w:ascii="Times New Roman" w:hAnsi="Times New Roman" w:cs="Times New Roman"/>
                <w:color w:val="000000"/>
              </w:rPr>
            </w:pPr>
            <w:r>
              <w:rPr>
                <w:rFonts w:ascii="Times New Roman" w:hAnsi="Times New Roman" w:cs="Times New Roman"/>
                <w:color w:val="000000"/>
              </w:rPr>
              <w:t>项目生产过程无废水产生，外排废水全部为</w:t>
            </w:r>
            <w:r>
              <w:rPr>
                <w:rFonts w:ascii="Times New Roman" w:hAnsi="Times New Roman" w:cs="Times New Roman"/>
                <w:color w:val="000000"/>
                <w:lang w:val="en-US"/>
              </w:rPr>
              <w:t>员工</w:t>
            </w:r>
            <w:r>
              <w:rPr>
                <w:rFonts w:ascii="Times New Roman" w:hAnsi="Times New Roman" w:cs="Times New Roman"/>
                <w:color w:val="000000"/>
              </w:rPr>
              <w:t>生活污水，符合云南俊腾达标准化厂房入驻企业生产废水零排放的要求，且标准厂房建设化粪池及中水处理站针对入驻企业生活污水，本次评价要求建设方</w:t>
            </w:r>
            <w:r>
              <w:rPr>
                <w:rFonts w:ascii="Times New Roman" w:hAnsi="Times New Roman" w:cs="Times New Roman"/>
                <w:color w:val="000000"/>
                <w:lang w:val="en-US"/>
              </w:rPr>
              <w:t>员工生活污水经化粪池</w:t>
            </w:r>
            <w:r>
              <w:rPr>
                <w:rFonts w:ascii="Times New Roman" w:hAnsi="Times New Roman" w:cs="Times New Roman"/>
                <w:color w:val="000000"/>
              </w:rPr>
              <w:t>处理后再排入标准厂房</w:t>
            </w:r>
            <w:r>
              <w:rPr>
                <w:rFonts w:ascii="Times New Roman" w:hAnsi="Times New Roman" w:cs="Times New Roman"/>
                <w:color w:val="000000"/>
                <w:lang w:val="en-US"/>
              </w:rPr>
              <w:t>中水处理站</w:t>
            </w:r>
            <w:r>
              <w:rPr>
                <w:rFonts w:ascii="Times New Roman" w:hAnsi="Times New Roman" w:cs="Times New Roman"/>
                <w:color w:val="000000"/>
              </w:rPr>
              <w:t>，从水质上分析，项目污水符合标准厂房化粪池及中水处理站进水水质要求。</w:t>
            </w:r>
          </w:p>
          <w:p>
            <w:pPr>
              <w:snapToGrid w:val="0"/>
              <w:spacing w:line="360" w:lineRule="auto"/>
              <w:ind w:firstLine="583" w:firstLineChars="243"/>
              <w:contextualSpacing/>
              <w:rPr>
                <w:rFonts w:ascii="Times New Roman" w:hAnsi="Times New Roman" w:cs="Times New Roman"/>
                <w:color w:val="000000"/>
              </w:rPr>
            </w:pPr>
            <w:r>
              <w:rPr>
                <w:rFonts w:ascii="Times New Roman" w:hAnsi="Times New Roman" w:cs="Times New Roman"/>
                <w:color w:val="000000"/>
              </w:rPr>
              <w:t>根据工程分析，项目污水量为</w:t>
            </w:r>
            <w:r>
              <w:rPr>
                <w:rFonts w:ascii="Times New Roman" w:hAnsi="Times New Roman" w:cs="Times New Roman"/>
                <w:color w:val="000000"/>
                <w:lang w:val="en-US"/>
              </w:rPr>
              <w:t>1.6</w:t>
            </w:r>
            <w:r>
              <w:rPr>
                <w:rFonts w:ascii="Times New Roman" w:hAnsi="Times New Roman" w:cs="Times New Roman"/>
                <w:color w:val="000000"/>
              </w:rPr>
              <w:t>m</w:t>
            </w:r>
            <w:r>
              <w:rPr>
                <w:rFonts w:ascii="Times New Roman" w:hAnsi="Times New Roman" w:cs="Times New Roman"/>
                <w:color w:val="000000"/>
                <w:vertAlign w:val="superscript"/>
              </w:rPr>
              <w:t>3</w:t>
            </w:r>
            <w:r>
              <w:rPr>
                <w:rFonts w:ascii="Times New Roman" w:hAnsi="Times New Roman" w:cs="Times New Roman"/>
                <w:color w:val="000000"/>
              </w:rPr>
              <w:t>/d，</w:t>
            </w:r>
            <w:r>
              <w:rPr>
                <w:rFonts w:ascii="Times New Roman" w:hAnsi="Times New Roman" w:cs="Times New Roman"/>
                <w:color w:val="000000"/>
                <w:lang w:val="en-US"/>
              </w:rPr>
              <w:t>336</w:t>
            </w:r>
            <w:r>
              <w:rPr>
                <w:rFonts w:ascii="Times New Roman" w:hAnsi="Times New Roman" w:cs="Times New Roman"/>
                <w:color w:val="000000"/>
              </w:rPr>
              <w:t>m</w:t>
            </w:r>
            <w:r>
              <w:rPr>
                <w:rFonts w:ascii="Times New Roman" w:hAnsi="Times New Roman" w:cs="Times New Roman"/>
                <w:color w:val="000000"/>
                <w:vertAlign w:val="superscript"/>
              </w:rPr>
              <w:t>3</w:t>
            </w:r>
            <w:r>
              <w:rPr>
                <w:rFonts w:ascii="Times New Roman" w:hAnsi="Times New Roman" w:cs="Times New Roman"/>
                <w:color w:val="000000"/>
              </w:rPr>
              <w:t>/a，配套化粪池容积为50m</w:t>
            </w:r>
            <w:r>
              <w:rPr>
                <w:rFonts w:ascii="Times New Roman" w:hAnsi="Times New Roman" w:cs="Times New Roman"/>
                <w:color w:val="000000"/>
                <w:vertAlign w:val="superscript"/>
              </w:rPr>
              <w:t>3</w:t>
            </w:r>
            <w:r>
              <w:rPr>
                <w:rFonts w:ascii="Times New Roman" w:hAnsi="Times New Roman" w:cs="Times New Roman"/>
                <w:color w:val="000000"/>
              </w:rPr>
              <w:t>，中水处理站规模为</w:t>
            </w:r>
            <w:r>
              <w:rPr>
                <w:rFonts w:ascii="Times New Roman" w:hAnsi="Times New Roman" w:cs="Times New Roman"/>
                <w:color w:val="000000"/>
                <w:lang w:val="en-US"/>
              </w:rPr>
              <w:t>150m</w:t>
            </w:r>
            <w:r>
              <w:rPr>
                <w:rFonts w:ascii="Times New Roman" w:hAnsi="Times New Roman" w:cs="Times New Roman"/>
                <w:color w:val="000000"/>
                <w:vertAlign w:val="superscript"/>
              </w:rPr>
              <w:t>3</w:t>
            </w:r>
            <w:r>
              <w:rPr>
                <w:rFonts w:ascii="Times New Roman" w:hAnsi="Times New Roman" w:cs="Times New Roman"/>
                <w:color w:val="000000"/>
              </w:rPr>
              <w:t>/d，占中水处理站设计处理能力的0.23%，所占比例较小，目前，标准厂房内入驻企较少，倒班公寓、综合楼等入住比例较小，纳入中水处理站处理的污水约占中</w:t>
            </w:r>
            <w:r>
              <w:rPr>
                <w:rFonts w:hint="eastAsia" w:ascii="Times New Roman" w:hAnsi="Times New Roman" w:cs="Times New Roman"/>
                <w:color w:val="000000"/>
                <w:lang w:val="en-US"/>
              </w:rPr>
              <w:t>水</w:t>
            </w:r>
            <w:r>
              <w:rPr>
                <w:rFonts w:ascii="Times New Roman" w:hAnsi="Times New Roman" w:cs="Times New Roman"/>
                <w:color w:val="000000"/>
              </w:rPr>
              <w:t>处理规模的30%，故中水处理站能够接纳本项目污水</w:t>
            </w:r>
            <w:r>
              <w:rPr>
                <w:rFonts w:hint="eastAsia" w:ascii="Times New Roman" w:hAnsi="Times New Roman" w:cs="Times New Roman"/>
                <w:color w:val="000000"/>
              </w:rPr>
              <w:t>，</w:t>
            </w:r>
            <w:r>
              <w:rPr>
                <w:rFonts w:hint="eastAsia" w:ascii="Times New Roman" w:hAnsi="Times New Roman" w:cs="Times New Roman"/>
                <w:color w:val="000000"/>
                <w:lang w:val="en-US"/>
              </w:rPr>
              <w:t>根据云南俊腾达标准化厂房的统计，目前入驻的企业每日排入中水处理站的污水量约为110m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/d，本项目污水量为1.6m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/d，则每日排入</w:t>
            </w:r>
            <w:r>
              <w:rPr>
                <w:rFonts w:ascii="Times New Roman" w:hAnsi="Times New Roman" w:cs="Times New Roman"/>
                <w:color w:val="000000"/>
              </w:rPr>
              <w:t>云南俊腾达标准化厂房</w:t>
            </w:r>
            <w:r>
              <w:rPr>
                <w:rFonts w:ascii="Times New Roman" w:hAnsi="Times New Roman" w:cs="Times New Roman"/>
                <w:color w:val="000000"/>
                <w:lang w:val="en-US"/>
              </w:rPr>
              <w:t>中水处理站</w:t>
            </w:r>
            <w:r>
              <w:rPr>
                <w:rFonts w:hint="eastAsia" w:ascii="Times New Roman" w:hAnsi="Times New Roman" w:cs="Times New Roman"/>
                <w:color w:val="000000"/>
                <w:lang w:val="en-US"/>
              </w:rPr>
              <w:t>的污水量为111.6m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w:t>
            </w:r>
            <w:r>
              <w:rPr>
                <w:rFonts w:ascii="Times New Roman" w:hAnsi="Times New Roman" w:cs="Times New Roman"/>
                <w:color w:val="000000"/>
              </w:rPr>
              <w:t>中水处理站规模为</w:t>
            </w:r>
            <w:r>
              <w:rPr>
                <w:rFonts w:ascii="Times New Roman" w:hAnsi="Times New Roman" w:cs="Times New Roman"/>
                <w:color w:val="000000"/>
                <w:lang w:val="en-US"/>
              </w:rPr>
              <w:t>150m</w:t>
            </w:r>
            <w:r>
              <w:rPr>
                <w:rFonts w:ascii="Times New Roman" w:hAnsi="Times New Roman" w:cs="Times New Roman"/>
                <w:color w:val="000000"/>
                <w:vertAlign w:val="superscript"/>
              </w:rPr>
              <w:t>3</w:t>
            </w:r>
            <w:r>
              <w:rPr>
                <w:rFonts w:ascii="Times New Roman" w:hAnsi="Times New Roman" w:cs="Times New Roman"/>
                <w:color w:val="000000"/>
              </w:rPr>
              <w:t>/d</w:t>
            </w:r>
            <w:r>
              <w:rPr>
                <w:rFonts w:hint="eastAsia" w:ascii="Times New Roman" w:hAnsi="Times New Roman" w:cs="Times New Roman"/>
                <w:color w:val="000000"/>
              </w:rPr>
              <w:t>，</w:t>
            </w:r>
            <w:r>
              <w:rPr>
                <w:rFonts w:hint="eastAsia" w:ascii="Times New Roman" w:hAnsi="Times New Roman" w:cs="Times New Roman"/>
                <w:color w:val="000000"/>
                <w:lang w:val="en-US"/>
              </w:rPr>
              <w:t>则剩余38.4m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/d，因此本项目</w:t>
            </w:r>
            <w:r>
              <w:rPr>
                <w:rFonts w:ascii="Times New Roman" w:hAnsi="Times New Roman" w:cs="Times New Roman"/>
                <w:color w:val="000000"/>
              </w:rPr>
              <w:t>废水依托云南俊腾达标准化厂房</w:t>
            </w:r>
            <w:r>
              <w:rPr>
                <w:rFonts w:ascii="Times New Roman" w:hAnsi="Times New Roman" w:cs="Times New Roman"/>
                <w:color w:val="000000"/>
                <w:lang w:val="en-US"/>
              </w:rPr>
              <w:t>中水处理站</w:t>
            </w:r>
            <w:r>
              <w:rPr>
                <w:rFonts w:hint="eastAsia" w:ascii="Times New Roman" w:hAnsi="Times New Roman" w:cs="Times New Roman"/>
                <w:color w:val="000000"/>
                <w:lang w:val="en-US"/>
              </w:rPr>
              <w:t>是可行的</w:t>
            </w:r>
            <w:r>
              <w:rPr>
                <w:rFonts w:ascii="Times New Roman" w:hAnsi="Times New Roman" w:cs="Times New Roman"/>
                <w:color w:val="000000"/>
              </w:rPr>
              <w:t>。</w:t>
            </w:r>
          </w:p>
          <w:p>
            <w:pPr>
              <w:snapToGrid w:val="0"/>
              <w:spacing w:line="360" w:lineRule="auto"/>
              <w:ind w:firstLine="583" w:firstLineChars="243"/>
              <w:contextualSpacing/>
              <w:rPr>
                <w:rFonts w:ascii="Times New Roman" w:hAnsi="Times New Roman" w:cs="Times New Roman"/>
                <w:color w:val="000000"/>
              </w:rPr>
            </w:pPr>
            <w:r>
              <w:rPr>
                <w:rFonts w:ascii="Times New Roman" w:hAnsi="Times New Roman" w:cs="Times New Roman"/>
                <w:color w:val="000000"/>
              </w:rPr>
              <w:t>云南俊腾达标准化厂房采用较为成熟的厌氧+好氧接触氧化池生化处理技术，具有处理效果好、运行费用低的特点，且操作简单，建设单位与污水处理工程单位签订了交钥匙工程合同，确保生活污水能够处理达标排放或回用。同时，标准厂房还建设了2000m</w:t>
            </w:r>
            <w:r>
              <w:rPr>
                <w:rFonts w:ascii="Times New Roman" w:hAnsi="Times New Roman" w:cs="Times New Roman"/>
                <w:color w:val="000000"/>
                <w:vertAlign w:val="superscript"/>
              </w:rPr>
              <w:t>3</w:t>
            </w:r>
            <w:r>
              <w:rPr>
                <w:rFonts w:ascii="Times New Roman" w:hAnsi="Times New Roman" w:cs="Times New Roman"/>
                <w:color w:val="000000"/>
              </w:rPr>
              <w:t>景观水池，暂存不能回用的中水。</w:t>
            </w:r>
          </w:p>
          <w:p>
            <w:pPr>
              <w:snapToGrid w:val="0"/>
              <w:spacing w:line="360" w:lineRule="auto"/>
              <w:ind w:firstLine="583" w:firstLineChars="243"/>
              <w:contextualSpacing/>
              <w:rPr>
                <w:rFonts w:ascii="Times New Roman" w:hAnsi="Times New Roman" w:cs="Times New Roman"/>
                <w:color w:val="000000"/>
              </w:rPr>
            </w:pPr>
            <w:r>
              <w:rPr>
                <w:rFonts w:ascii="Times New Roman" w:hAnsi="Times New Roman" w:cs="Times New Roman"/>
                <w:color w:val="000000"/>
              </w:rPr>
              <w:t>综上分析，项目所在云南俊腾达标准化厂房建设时已考虑到厂房内企业生活污水处理问题，且建设了配套的化粪池及中水处理站，目前，化粪池及中水处理站均已建成，本项目生活污水在标准厂房接纳范围内，废水排入标准厂房化粪池及中水处理站是可行的。</w:t>
            </w:r>
          </w:p>
          <w:p>
            <w:pPr>
              <w:pStyle w:val="7"/>
              <w:snapToGrid w:val="0"/>
              <w:spacing w:line="360" w:lineRule="auto"/>
              <w:ind w:left="0" w:firstLine="480" w:firstLineChars="200"/>
              <w:jc w:val="both"/>
              <w:rPr>
                <w:rFonts w:ascii="Times New Roman" w:hAnsi="Times New Roman" w:cs="Times New Roman"/>
                <w:b w:val="0"/>
                <w:bCs w:val="0"/>
                <w:lang w:val="en-US"/>
              </w:rPr>
            </w:pPr>
            <w:r>
              <w:rPr>
                <w:rFonts w:ascii="Times New Roman" w:hAnsi="Times New Roman" w:cs="Times New Roman"/>
                <w:b w:val="0"/>
                <w:bCs w:val="0"/>
                <w:lang w:val="en-US"/>
              </w:rPr>
              <w:t>（2）项目生产废水回用可行性分析</w:t>
            </w:r>
          </w:p>
          <w:p>
            <w:pPr>
              <w:pStyle w:val="9"/>
              <w:adjustRightInd/>
              <w:snapToGrid w:val="0"/>
              <w:spacing w:line="360" w:lineRule="auto"/>
              <w:ind w:firstLine="560"/>
              <w:jc w:val="both"/>
              <w:rPr>
                <w:rFonts w:ascii="Times New Roman" w:hAnsi="Times New Roman" w:cs="Times New Roman"/>
                <w:sz w:val="24"/>
                <w:szCs w:val="24"/>
                <w:lang w:val="en-US"/>
              </w:rPr>
            </w:pPr>
            <w:r>
              <w:rPr>
                <w:rFonts w:ascii="Times New Roman" w:hAnsi="Times New Roman" w:cs="Times New Roman"/>
                <w:sz w:val="24"/>
                <w:szCs w:val="24"/>
              </w:rPr>
              <w:t>根据工程分析项目无生产废水产生，项目生产过程中需要使用冷却水对</w:t>
            </w:r>
            <w:r>
              <w:rPr>
                <w:rFonts w:ascii="Times New Roman" w:hAnsi="Times New Roman" w:cs="Times New Roman"/>
                <w:sz w:val="24"/>
                <w:szCs w:val="24"/>
                <w:lang w:val="en-US"/>
              </w:rPr>
              <w:t>食品用塑料包装容器注塑工段、食品用塑料包装容器挤出工段、</w:t>
            </w:r>
            <w:r>
              <w:rPr>
                <w:rFonts w:ascii="Times New Roman" w:hAnsi="Times New Roman" w:cs="Times New Roman"/>
                <w:sz w:val="24"/>
                <w:szCs w:val="24"/>
              </w:rPr>
              <w:t>进行冷却降温，本项目设置</w:t>
            </w:r>
            <w:r>
              <w:rPr>
                <w:rFonts w:ascii="Times New Roman" w:hAnsi="Times New Roman" w:cs="Times New Roman"/>
                <w:sz w:val="24"/>
                <w:szCs w:val="24"/>
                <w:lang w:val="en-US"/>
              </w:rPr>
              <w:t>1套模具冷却循环系统及7个智能冷水机，1套模具冷却循环系统主要用于冷却食品用塑料包装容器注塑工段、</w:t>
            </w:r>
            <w:r>
              <w:rPr>
                <w:rFonts w:hint="eastAsia" w:ascii="Times New Roman" w:hAnsi="Times New Roman" w:cs="Times New Roman"/>
                <w:sz w:val="24"/>
                <w:szCs w:val="24"/>
                <w:lang w:val="en-US"/>
              </w:rPr>
              <w:t>食</w:t>
            </w:r>
            <w:r>
              <w:rPr>
                <w:rFonts w:ascii="Times New Roman" w:hAnsi="Times New Roman" w:cs="Times New Roman"/>
                <w:sz w:val="24"/>
                <w:szCs w:val="24"/>
                <w:lang w:val="en-US"/>
              </w:rPr>
              <w:t>品用塑料包装容器</w:t>
            </w:r>
            <w:r>
              <w:rPr>
                <w:rFonts w:hint="eastAsia" w:ascii="Times New Roman" w:hAnsi="Times New Roman" w:cs="Times New Roman"/>
                <w:sz w:val="24"/>
                <w:szCs w:val="24"/>
                <w:lang w:val="en-US"/>
              </w:rPr>
              <w:t>挤出</w:t>
            </w:r>
            <w:r>
              <w:rPr>
                <w:rFonts w:ascii="Times New Roman" w:hAnsi="Times New Roman" w:cs="Times New Roman"/>
                <w:sz w:val="24"/>
                <w:szCs w:val="24"/>
                <w:lang w:val="en-US"/>
              </w:rPr>
              <w:t>工段的</w:t>
            </w:r>
            <w:r>
              <w:rPr>
                <w:rFonts w:hint="eastAsia" w:ascii="Times New Roman" w:hAnsi="Times New Roman" w:cs="Times New Roman"/>
                <w:sz w:val="24"/>
                <w:szCs w:val="24"/>
                <w:lang w:val="en-US"/>
              </w:rPr>
              <w:t>挤出部分及注塑部分</w:t>
            </w:r>
            <w:r>
              <w:rPr>
                <w:rFonts w:ascii="Times New Roman" w:hAnsi="Times New Roman" w:cs="Times New Roman"/>
                <w:sz w:val="24"/>
                <w:szCs w:val="24"/>
                <w:lang w:val="en-US"/>
              </w:rPr>
              <w:t>；7个智能冷水机主要用于冷却食品用塑料包装容器挤出工段</w:t>
            </w:r>
            <w:r>
              <w:rPr>
                <w:rFonts w:hint="eastAsia" w:ascii="Times New Roman" w:hAnsi="Times New Roman" w:cs="Times New Roman"/>
                <w:sz w:val="24"/>
                <w:szCs w:val="24"/>
                <w:lang w:val="en-US"/>
              </w:rPr>
              <w:t>及注塑工段生产半成品</w:t>
            </w:r>
            <w:r>
              <w:rPr>
                <w:rFonts w:ascii="Times New Roman" w:hAnsi="Times New Roman" w:cs="Times New Roman"/>
                <w:sz w:val="24"/>
                <w:szCs w:val="24"/>
                <w:lang w:val="en-US"/>
              </w:rPr>
              <w:t>食品用塑料包装容器</w:t>
            </w:r>
            <w:r>
              <w:rPr>
                <w:rFonts w:hint="eastAsia" w:ascii="Times New Roman" w:hAnsi="Times New Roman" w:cs="Times New Roman"/>
                <w:sz w:val="24"/>
                <w:szCs w:val="24"/>
                <w:lang w:val="en-US"/>
              </w:rPr>
              <w:t>冷却定型</w:t>
            </w:r>
            <w:r>
              <w:rPr>
                <w:rFonts w:ascii="Times New Roman" w:hAnsi="Times New Roman" w:cs="Times New Roman"/>
                <w:sz w:val="24"/>
                <w:szCs w:val="24"/>
                <w:lang w:val="en-US"/>
              </w:rPr>
              <w:t>。模具</w:t>
            </w:r>
            <w:r>
              <w:rPr>
                <w:rFonts w:ascii="Times New Roman" w:hAnsi="Times New Roman" w:cs="Times New Roman"/>
                <w:sz w:val="24"/>
                <w:szCs w:val="24"/>
              </w:rPr>
              <w:t>冷却水需求量为</w:t>
            </w:r>
            <w:r>
              <w:rPr>
                <w:rFonts w:ascii="Times New Roman" w:hAnsi="Times New Roman" w:cs="Times New Roman"/>
                <w:sz w:val="24"/>
                <w:szCs w:val="24"/>
                <w:lang w:val="en-US"/>
              </w:rPr>
              <w:t>121.8m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/a。</w:t>
            </w:r>
          </w:p>
          <w:p>
            <w:pPr>
              <w:pStyle w:val="9"/>
              <w:adjustRightInd/>
              <w:snapToGrid w:val="0"/>
              <w:spacing w:line="360" w:lineRule="auto"/>
              <w:ind w:firstLine="560"/>
              <w:jc w:val="both"/>
              <w:rPr>
                <w:rFonts w:ascii="Times New Roman" w:hAnsi="Times New Roman" w:cs="Times New Roman"/>
                <w:sz w:val="24"/>
                <w:szCs w:val="24"/>
                <w:lang w:val="en-US"/>
              </w:rPr>
            </w:pPr>
            <w:r>
              <w:rPr>
                <w:rFonts w:ascii="Times New Roman" w:hAnsi="Times New Roman" w:cs="Times New Roman"/>
                <w:sz w:val="24"/>
                <w:szCs w:val="24"/>
                <w:lang w:val="en-US"/>
              </w:rPr>
              <w:t>①</w:t>
            </w:r>
            <w:r>
              <w:rPr>
                <w:rFonts w:hint="eastAsia" w:ascii="Times New Roman" w:hAnsi="Times New Roman" w:cs="Times New Roman"/>
                <w:sz w:val="24"/>
                <w:szCs w:val="24"/>
                <w:lang w:val="en-US"/>
              </w:rPr>
              <w:t>挤出机及注塑机</w:t>
            </w:r>
            <w:r>
              <w:rPr>
                <w:rFonts w:ascii="Times New Roman" w:hAnsi="Times New Roman" w:cs="Times New Roman"/>
                <w:sz w:val="24"/>
                <w:szCs w:val="24"/>
              </w:rPr>
              <w:t>循环冷却水通过管道流入循环水池，经冷却水塔冷却后循环使用，</w:t>
            </w:r>
            <w:r>
              <w:rPr>
                <w:rFonts w:ascii="Times New Roman" w:hAnsi="Times New Roman" w:cs="Times New Roman"/>
                <w:sz w:val="24"/>
                <w:szCs w:val="24"/>
                <w:lang w:val="en-US"/>
              </w:rPr>
              <w:t>不产生生产废水</w:t>
            </w:r>
            <w:r>
              <w:rPr>
                <w:rFonts w:ascii="Times New Roman" w:hAnsi="Times New Roman" w:cs="Times New Roman"/>
                <w:sz w:val="24"/>
                <w:szCs w:val="24"/>
              </w:rPr>
              <w:t>，</w:t>
            </w:r>
            <w:r>
              <w:rPr>
                <w:rFonts w:ascii="Times New Roman" w:hAnsi="Times New Roman" w:cs="Times New Roman"/>
                <w:sz w:val="24"/>
                <w:szCs w:val="24"/>
                <w:lang w:val="en-US"/>
              </w:rPr>
              <w:t>需补充水量为0.58m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/d，使用自来水补充</w:t>
            </w:r>
            <w:r>
              <w:rPr>
                <w:rFonts w:ascii="Times New Roman" w:hAnsi="Times New Roman" w:cs="Times New Roman"/>
                <w:sz w:val="24"/>
                <w:szCs w:val="24"/>
              </w:rPr>
              <w:t>。项目设置</w:t>
            </w:r>
            <w:r>
              <w:rPr>
                <w:rFonts w:ascii="Times New Roman" w:hAnsi="Times New Roman" w:cs="Times New Roman"/>
                <w:sz w:val="24"/>
                <w:szCs w:val="24"/>
                <w:lang w:val="en-US"/>
              </w:rPr>
              <w:t>1</w:t>
            </w:r>
            <w:r>
              <w:rPr>
                <w:rFonts w:ascii="Times New Roman" w:hAnsi="Times New Roman" w:cs="Times New Roman"/>
                <w:sz w:val="24"/>
                <w:szCs w:val="24"/>
              </w:rPr>
              <w:t>个</w:t>
            </w:r>
            <w:r>
              <w:rPr>
                <w:rFonts w:ascii="Times New Roman" w:hAnsi="Times New Roman" w:cs="Times New Roman"/>
                <w:sz w:val="24"/>
                <w:szCs w:val="24"/>
                <w:lang w:val="en-US"/>
              </w:rPr>
              <w:t>循环水池容积为29m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，满足循环系统需水量，故项目设备冷却水循环使用是可行的。</w:t>
            </w:r>
          </w:p>
          <w:p>
            <w:pPr>
              <w:spacing w:line="360" w:lineRule="auto"/>
              <w:ind w:firstLine="480" w:firstLineChars="200"/>
              <w:rPr>
                <w:rFonts w:ascii="Times New Roman" w:hAnsi="Times New Roman" w:cs="Times New Roman"/>
                <w:lang w:val="en-US"/>
              </w:rPr>
            </w:pPr>
            <w:r>
              <w:rPr>
                <w:rFonts w:ascii="Times New Roman" w:hAnsi="Times New Roman" w:cs="Times New Roman"/>
                <w:lang w:val="en-US"/>
              </w:rPr>
              <w:t>②智能冷水机冷却水通过管道流入智能冷水机冷却循环水池，</w:t>
            </w:r>
            <w:r>
              <w:rPr>
                <w:rFonts w:ascii="Times New Roman" w:hAnsi="Times New Roman" w:cs="Times New Roman"/>
              </w:rPr>
              <w:t>经</w:t>
            </w:r>
            <w:r>
              <w:rPr>
                <w:rFonts w:ascii="Times New Roman" w:hAnsi="Times New Roman" w:cs="Times New Roman"/>
                <w:lang w:val="en-US"/>
              </w:rPr>
              <w:t>智能冷水机冷却循环水池</w:t>
            </w:r>
            <w:r>
              <w:rPr>
                <w:rFonts w:ascii="Times New Roman" w:hAnsi="Times New Roman" w:cs="Times New Roman"/>
              </w:rPr>
              <w:t>冷却后循环使用，</w:t>
            </w:r>
            <w:r>
              <w:rPr>
                <w:rFonts w:ascii="Times New Roman" w:hAnsi="Times New Roman" w:cs="Times New Roman"/>
                <w:lang w:val="en-US"/>
              </w:rPr>
              <w:t>不产生生产废水</w:t>
            </w:r>
            <w:r>
              <w:rPr>
                <w:rFonts w:ascii="Times New Roman" w:hAnsi="Times New Roman" w:cs="Times New Roman"/>
              </w:rPr>
              <w:t>，</w:t>
            </w:r>
            <w:r>
              <w:rPr>
                <w:rFonts w:ascii="Times New Roman" w:hAnsi="Times New Roman" w:cs="Times New Roman"/>
                <w:lang w:val="en-US"/>
              </w:rPr>
              <w:t>需补充水量为0.0182m</w:t>
            </w:r>
            <w:r>
              <w:rPr>
                <w:rFonts w:ascii="Times New Roman" w:hAnsi="Times New Roman" w:cs="Times New Roman"/>
                <w:vertAlign w:val="superscript"/>
                <w:lang w:val="en-US"/>
              </w:rPr>
              <w:t>3</w:t>
            </w:r>
            <w:r>
              <w:rPr>
                <w:rFonts w:ascii="Times New Roman" w:hAnsi="Times New Roman" w:cs="Times New Roman"/>
                <w:lang w:val="en-US"/>
              </w:rPr>
              <w:t>/d，使用自来水补充</w:t>
            </w:r>
            <w:r>
              <w:rPr>
                <w:rFonts w:ascii="Times New Roman" w:hAnsi="Times New Roman" w:cs="Times New Roman"/>
              </w:rPr>
              <w:t>。项目设置</w:t>
            </w:r>
            <w:r>
              <w:rPr>
                <w:rFonts w:ascii="Times New Roman" w:hAnsi="Times New Roman" w:cs="Times New Roman"/>
                <w:lang w:val="en-US"/>
              </w:rPr>
              <w:t>7</w:t>
            </w:r>
            <w:r>
              <w:rPr>
                <w:rFonts w:ascii="Times New Roman" w:hAnsi="Times New Roman" w:cs="Times New Roman"/>
              </w:rPr>
              <w:t>个</w:t>
            </w:r>
            <w:r>
              <w:rPr>
                <w:rFonts w:ascii="Times New Roman" w:hAnsi="Times New Roman" w:cs="Times New Roman"/>
                <w:lang w:val="en-US"/>
              </w:rPr>
              <w:t>智能冷水机冷却循环水池容积为0.91m</w:t>
            </w:r>
            <w:r>
              <w:rPr>
                <w:rFonts w:ascii="Times New Roman" w:hAnsi="Times New Roman" w:cs="Times New Roman"/>
                <w:vertAlign w:val="superscript"/>
                <w:lang w:val="en-US"/>
              </w:rPr>
              <w:t>3</w:t>
            </w:r>
            <w:r>
              <w:rPr>
                <w:rFonts w:ascii="Times New Roman" w:hAnsi="Times New Roman" w:cs="Times New Roman"/>
                <w:lang w:val="en-US"/>
              </w:rPr>
              <w:t>（1个为0.13m</w:t>
            </w:r>
            <w:r>
              <w:rPr>
                <w:rFonts w:ascii="Times New Roman" w:hAnsi="Times New Roman" w:cs="Times New Roman"/>
                <w:vertAlign w:val="superscript"/>
                <w:lang w:val="en-US"/>
              </w:rPr>
              <w:t>3</w:t>
            </w:r>
            <w:r>
              <w:rPr>
                <w:rFonts w:ascii="Times New Roman" w:hAnsi="Times New Roman" w:cs="Times New Roman"/>
                <w:lang w:val="en-US"/>
              </w:rPr>
              <w:t>，则7个为0.91m</w:t>
            </w:r>
            <w:r>
              <w:rPr>
                <w:rFonts w:ascii="Times New Roman" w:hAnsi="Times New Roman" w:cs="Times New Roman"/>
                <w:vertAlign w:val="superscript"/>
                <w:lang w:val="en-US"/>
              </w:rPr>
              <w:t>3</w:t>
            </w:r>
            <w:r>
              <w:rPr>
                <w:rFonts w:ascii="Times New Roman" w:hAnsi="Times New Roman" w:cs="Times New Roman"/>
                <w:lang w:val="en-US"/>
              </w:rPr>
              <w:t>），满足循环系统需水量，故项目设备冷却水循环使用是可行的。</w:t>
            </w:r>
          </w:p>
          <w:p>
            <w:pPr>
              <w:spacing w:line="360" w:lineRule="auto"/>
              <w:ind w:firstLine="480" w:firstLineChars="200"/>
              <w:rPr>
                <w:rFonts w:ascii="Times New Roman" w:hAnsi="Times New Roman" w:cs="Times New Roman"/>
                <w:lang w:val="en-US"/>
              </w:rPr>
            </w:pPr>
            <w:r>
              <w:rPr>
                <w:rFonts w:ascii="Times New Roman" w:hAnsi="Times New Roman" w:cs="Times New Roman"/>
                <w:lang w:val="en-US"/>
              </w:rPr>
              <w:t>（3）依托化粪池可行性分析</w:t>
            </w:r>
          </w:p>
          <w:p>
            <w:pPr>
              <w:autoSpaceDE/>
              <w:autoSpaceDN/>
              <w:spacing w:line="360" w:lineRule="auto"/>
              <w:ind w:firstLine="480" w:firstLineChars="200"/>
            </w:pPr>
            <w:r>
              <w:rPr>
                <w:rFonts w:hint="eastAsia"/>
              </w:rPr>
              <w:t>根据</w:t>
            </w:r>
            <w:r>
              <w:rPr>
                <w:rFonts w:ascii="Times New Roman" w:hAnsi="Times New Roman" w:cs="Times New Roman"/>
                <w:color w:val="000000"/>
                <w:kern w:val="2"/>
                <w:lang w:val="en-US"/>
              </w:rPr>
              <w:t>《</w:t>
            </w:r>
            <w:r>
              <w:rPr>
                <w:rFonts w:ascii="Times New Roman" w:hAnsi="Times New Roman" w:cs="Times New Roman"/>
                <w:color w:val="000000" w:themeColor="text1"/>
                <w:spacing w:val="-6"/>
                <w:lang w:val="en-US"/>
                <w14:textFill>
                  <w14:solidFill>
                    <w14:schemeClr w14:val="tx1"/>
                  </w14:solidFill>
                </w14:textFill>
              </w:rPr>
              <w:t>云南俊腾达房地产开发有限公司新建16万m</w:t>
            </w:r>
            <w:r>
              <w:rPr>
                <w:rFonts w:ascii="Times New Roman" w:hAnsi="Times New Roman" w:cs="Times New Roman"/>
                <w:color w:val="000000" w:themeColor="text1"/>
                <w:spacing w:val="-6"/>
                <w:vertAlign w:val="superscript"/>
                <w:lang w:val="en-US"/>
                <w14:textFill>
                  <w14:solidFill>
                    <w14:schemeClr w14:val="tx1"/>
                  </w14:solidFill>
                </w14:textFill>
              </w:rPr>
              <w:t>2</w:t>
            </w:r>
            <w:r>
              <w:rPr>
                <w:rFonts w:ascii="Times New Roman" w:hAnsi="Times New Roman" w:cs="Times New Roman"/>
                <w:color w:val="000000" w:themeColor="text1"/>
                <w:spacing w:val="-6"/>
                <w:lang w:val="en-US"/>
                <w14:textFill>
                  <w14:solidFill>
                    <w14:schemeClr w14:val="tx1"/>
                  </w14:solidFill>
                </w14:textFill>
              </w:rPr>
              <w:t>多层标准化厂房及办公生活区综合建设项目环境影响</w:t>
            </w:r>
            <w:r>
              <w:rPr>
                <w:rFonts w:hint="eastAsia" w:ascii="Times New Roman" w:hAnsi="Times New Roman" w:cs="Times New Roman"/>
                <w:color w:val="000000" w:themeColor="text1"/>
                <w:spacing w:val="-6"/>
                <w:lang w:val="en-US"/>
                <w14:textFill>
                  <w14:solidFill>
                    <w14:schemeClr w14:val="tx1"/>
                  </w14:solidFill>
                </w14:textFill>
              </w:rPr>
              <w:t>报告书</w:t>
            </w:r>
            <w:r>
              <w:rPr>
                <w:rFonts w:ascii="Times New Roman" w:hAnsi="Times New Roman" w:cs="Times New Roman"/>
                <w:color w:val="000000"/>
                <w:kern w:val="2"/>
                <w:lang w:val="en-US"/>
              </w:rPr>
              <w:t>》</w:t>
            </w:r>
            <w:r>
              <w:rPr>
                <w:rFonts w:hint="eastAsia" w:ascii="Times New Roman" w:hAnsi="Times New Roman" w:cs="Times New Roman"/>
                <w:color w:val="000000"/>
                <w:kern w:val="2"/>
                <w:lang w:val="en-US"/>
              </w:rPr>
              <w:t>，</w:t>
            </w:r>
            <w:r>
              <w:rPr>
                <w:rFonts w:hint="eastAsia"/>
                <w:lang w:val="en-US"/>
              </w:rPr>
              <w:t>云</w:t>
            </w:r>
            <w:r>
              <w:rPr>
                <w:rFonts w:ascii="Times New Roman" w:hAnsi="Times New Roman" w:cs="Times New Roman"/>
                <w:color w:val="000000" w:themeColor="text1"/>
                <w:spacing w:val="-6"/>
                <w:lang w:val="en-US"/>
                <w14:textFill>
                  <w14:solidFill>
                    <w14:schemeClr w14:val="tx1"/>
                  </w14:solidFill>
                </w14:textFill>
              </w:rPr>
              <w:t>南俊腾达标准厂房开发有限公司已建了化粪池及中水处理站负责厂房内企业生活污水处理，其中建设50m</w:t>
            </w:r>
            <w:r>
              <w:rPr>
                <w:rFonts w:ascii="Times New Roman" w:hAnsi="Times New Roman" w:cs="Times New Roman"/>
                <w:color w:val="000000" w:themeColor="text1"/>
                <w:spacing w:val="-6"/>
                <w:vertAlign w:val="superscript"/>
                <w:lang w:val="en-US"/>
                <w14:textFill>
                  <w14:solidFill>
                    <w14:schemeClr w14:val="tx1"/>
                  </w14:solidFill>
                </w14:textFill>
              </w:rPr>
              <w:t>3</w:t>
            </w:r>
            <w:r>
              <w:rPr>
                <w:rFonts w:ascii="Times New Roman" w:hAnsi="Times New Roman" w:cs="Times New Roman"/>
                <w:color w:val="000000" w:themeColor="text1"/>
                <w:spacing w:val="-6"/>
                <w:lang w:val="en-US"/>
                <w14:textFill>
                  <w14:solidFill>
                    <w14:schemeClr w14:val="tx1"/>
                  </w14:solidFill>
                </w14:textFill>
              </w:rPr>
              <w:t>化</w:t>
            </w:r>
            <w:r>
              <w:rPr>
                <w:rFonts w:hint="eastAsia" w:ascii="Times New Roman" w:hAnsi="Times New Roman" w:cs="Times New Roman"/>
                <w:color w:val="000000" w:themeColor="text1"/>
                <w:spacing w:val="-6"/>
                <w:lang w:val="en-US"/>
                <w14:textFill>
                  <w14:solidFill>
                    <w14:schemeClr w14:val="tx1"/>
                  </w14:solidFill>
                </w14:textFill>
              </w:rPr>
              <w:t>粪</w:t>
            </w:r>
            <w:r>
              <w:rPr>
                <w:rFonts w:ascii="Times New Roman" w:hAnsi="Times New Roman" w:cs="Times New Roman"/>
                <w:color w:val="000000" w:themeColor="text1"/>
                <w:spacing w:val="-6"/>
                <w:lang w:val="en-US"/>
                <w14:textFill>
                  <w14:solidFill>
                    <w14:schemeClr w14:val="tx1"/>
                  </w14:solidFill>
                </w14:textFill>
              </w:rPr>
              <w:t>池6个，75 m</w:t>
            </w:r>
            <w:r>
              <w:rPr>
                <w:rFonts w:ascii="Times New Roman" w:hAnsi="Times New Roman" w:cs="Times New Roman"/>
                <w:color w:val="000000" w:themeColor="text1"/>
                <w:spacing w:val="-6"/>
                <w:vertAlign w:val="superscript"/>
                <w:lang w:val="en-US"/>
                <w14:textFill>
                  <w14:solidFill>
                    <w14:schemeClr w14:val="tx1"/>
                  </w14:solidFill>
                </w14:textFill>
              </w:rPr>
              <w:t>3</w:t>
            </w:r>
            <w:r>
              <w:rPr>
                <w:rFonts w:ascii="Times New Roman" w:hAnsi="Times New Roman" w:cs="Times New Roman"/>
                <w:color w:val="000000" w:themeColor="text1"/>
                <w:spacing w:val="-6"/>
                <w:lang w:val="en-US"/>
                <w14:textFill>
                  <w14:solidFill>
                    <w14:schemeClr w14:val="tx1"/>
                  </w14:solidFill>
                </w14:textFill>
              </w:rPr>
              <w:t>化粪池2 个</w:t>
            </w:r>
            <w:r>
              <w:rPr>
                <w:rFonts w:hint="eastAsia"/>
              </w:rPr>
              <w:t>。</w:t>
            </w:r>
          </w:p>
          <w:p>
            <w:pPr>
              <w:autoSpaceDE/>
              <w:autoSpaceDN/>
              <w:spacing w:line="360" w:lineRule="auto"/>
              <w:ind w:firstLine="480" w:firstLineChars="200"/>
              <w:rPr>
                <w:rFonts w:ascii="Times New Roman" w:hAnsi="Times New Roman" w:cs="Times New Roman"/>
                <w:lang w:val="en-US"/>
              </w:rPr>
            </w:pPr>
            <w:r>
              <w:rPr>
                <w:rFonts w:hint="eastAsia"/>
                <w:lang w:val="en-US"/>
              </w:rPr>
              <w:t>本项目依托</w:t>
            </w:r>
            <w:r>
              <w:rPr>
                <w:rFonts w:ascii="Times New Roman" w:hAnsi="Times New Roman" w:cs="Times New Roman"/>
                <w:color w:val="000000" w:themeColor="text1"/>
                <w:spacing w:val="-6"/>
                <w:lang w:val="en-US"/>
                <w14:textFill>
                  <w14:solidFill>
                    <w14:schemeClr w14:val="tx1"/>
                  </w14:solidFill>
                </w14:textFill>
              </w:rPr>
              <w:t>云南俊腾达标准厂房开发有限公司建设的化粪池容积为50m</w:t>
            </w:r>
            <w:r>
              <w:rPr>
                <w:rFonts w:ascii="Times New Roman" w:hAnsi="Times New Roman" w:cs="Times New Roman"/>
                <w:color w:val="000000" w:themeColor="text1"/>
                <w:spacing w:val="-6"/>
                <w:vertAlign w:val="superscript"/>
                <w:lang w:val="en-US"/>
                <w14:textFill>
                  <w14:solidFill>
                    <w14:schemeClr w14:val="tx1"/>
                  </w14:solidFill>
                </w14:textFill>
              </w:rPr>
              <w:t>3</w:t>
            </w:r>
            <w:r>
              <w:rPr>
                <w:rFonts w:hint="eastAsia" w:ascii="Times New Roman" w:hAnsi="Times New Roman" w:cs="Times New Roman"/>
                <w:color w:val="000000" w:themeColor="text1"/>
                <w:spacing w:val="-6"/>
                <w:lang w:val="en-US"/>
                <w14:textFill>
                  <w14:solidFill>
                    <w14:schemeClr w14:val="tx1"/>
                  </w14:solidFill>
                </w14:textFill>
              </w:rPr>
              <w:t>用于处理生活污水，</w:t>
            </w:r>
            <w:r>
              <w:rPr>
                <w:rFonts w:hint="eastAsia" w:ascii="Times New Roman" w:hAnsi="Times New Roman" w:cs="Times New Roman"/>
                <w:color w:val="000000"/>
                <w:lang w:val="en-US"/>
              </w:rPr>
              <w:t>根据云南俊腾达标准化厂房的统计，目前入驻的企业每日排入本项目依托的</w:t>
            </w:r>
            <w:r>
              <w:rPr>
                <w:rFonts w:ascii="Times New Roman" w:hAnsi="Times New Roman" w:cs="Times New Roman"/>
                <w:color w:val="000000" w:themeColor="text1"/>
                <w:spacing w:val="-6"/>
                <w:lang w:val="en-US"/>
                <w14:textFill>
                  <w14:solidFill>
                    <w14:schemeClr w14:val="tx1"/>
                  </w14:solidFill>
                </w14:textFill>
              </w:rPr>
              <w:t>云南俊腾达标准厂房开发有限公司建设的化粪池</w:t>
            </w:r>
            <w:r>
              <w:rPr>
                <w:rFonts w:hint="eastAsia" w:ascii="Times New Roman" w:hAnsi="Times New Roman" w:cs="Times New Roman"/>
                <w:color w:val="000000" w:themeColor="text1"/>
                <w:spacing w:val="-6"/>
                <w:lang w:val="en-US"/>
                <w14:textFill>
                  <w14:solidFill>
                    <w14:schemeClr w14:val="tx1"/>
                  </w14:solidFill>
                </w14:textFill>
              </w:rPr>
              <w:t>（</w:t>
            </w:r>
            <w:r>
              <w:rPr>
                <w:rFonts w:ascii="Times New Roman" w:hAnsi="Times New Roman" w:cs="Times New Roman"/>
                <w:color w:val="000000" w:themeColor="text1"/>
                <w:spacing w:val="-6"/>
                <w:lang w:val="en-US"/>
                <w14:textFill>
                  <w14:solidFill>
                    <w14:schemeClr w14:val="tx1"/>
                  </w14:solidFill>
                </w14:textFill>
              </w:rPr>
              <w:t>容积为50m</w:t>
            </w:r>
            <w:r>
              <w:rPr>
                <w:rFonts w:ascii="Times New Roman" w:hAnsi="Times New Roman" w:cs="Times New Roman"/>
                <w:color w:val="000000" w:themeColor="text1"/>
                <w:spacing w:val="-6"/>
                <w:vertAlign w:val="superscript"/>
                <w:lang w:val="en-US"/>
                <w14:textFill>
                  <w14:solidFill>
                    <w14:schemeClr w14:val="tx1"/>
                  </w14:solidFill>
                </w14:textFill>
              </w:rPr>
              <w:t>3</w:t>
            </w:r>
            <w:r>
              <w:rPr>
                <w:rFonts w:hint="eastAsia" w:ascii="Times New Roman" w:hAnsi="Times New Roman" w:cs="Times New Roman"/>
                <w:color w:val="000000" w:themeColor="text1"/>
                <w:spacing w:val="-6"/>
                <w:lang w:val="en-US"/>
                <w14:textFill>
                  <w14:solidFill>
                    <w14:schemeClr w14:val="tx1"/>
                  </w14:solidFill>
                </w14:textFill>
              </w:rPr>
              <w:t>）</w:t>
            </w:r>
            <w:r>
              <w:rPr>
                <w:rFonts w:hint="eastAsia" w:ascii="Times New Roman" w:hAnsi="Times New Roman" w:cs="Times New Roman"/>
                <w:color w:val="000000"/>
                <w:lang w:val="en-US"/>
              </w:rPr>
              <w:t>污水量约为40m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w:t>
            </w:r>
            <w:r>
              <w:rPr>
                <w:rFonts w:hint="eastAsia" w:ascii="Times New Roman" w:hAnsi="Times New Roman" w:cs="Times New Roman"/>
                <w:color w:val="000000"/>
                <w:kern w:val="2"/>
                <w:lang w:val="en-US"/>
              </w:rPr>
              <w:t>本项目生活污水量1.6</w:t>
            </w:r>
            <w:r>
              <w:rPr>
                <w:rStyle w:val="77"/>
              </w:rPr>
              <w:t>m</w:t>
            </w:r>
            <w:r>
              <w:rPr>
                <w:rStyle w:val="77"/>
                <w:vertAlign w:val="superscript"/>
              </w:rPr>
              <w:t>3</w:t>
            </w:r>
            <w:r>
              <w:rPr>
                <w:rStyle w:val="77"/>
              </w:rPr>
              <w:t>/d</w:t>
            </w:r>
            <w:r>
              <w:rPr>
                <w:rStyle w:val="77"/>
                <w:rFonts w:hint="eastAsia"/>
              </w:rPr>
              <w:t>，总生活污水量为41.6</w:t>
            </w:r>
            <w:r>
              <w:rPr>
                <w:rFonts w:hint="eastAsia" w:ascii="Times New Roman" w:hAnsi="Times New Roman" w:cs="Times New Roman"/>
                <w:color w:val="000000"/>
                <w:lang w:val="en-US"/>
              </w:rPr>
              <w:t>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w:t>
            </w:r>
            <w:r>
              <w:rPr>
                <w:rFonts w:hint="eastAsia"/>
              </w:rPr>
              <w:t>故化粪池</w:t>
            </w:r>
            <w:r>
              <w:t>能够接纳本项目污水</w:t>
            </w:r>
            <w:r>
              <w:rPr>
                <w:rFonts w:hint="eastAsia" w:ascii="Times New Roman" w:hAnsi="Times New Roman" w:cs="Times New Roman"/>
              </w:rPr>
              <w:t>。</w:t>
            </w:r>
          </w:p>
          <w:p>
            <w:pPr>
              <w:pStyle w:val="7"/>
              <w:snapToGrid w:val="0"/>
              <w:spacing w:line="360" w:lineRule="auto"/>
              <w:ind w:left="480" w:leftChars="200"/>
              <w:rPr>
                <w:rFonts w:ascii="Times New Roman" w:hAnsi="Times New Roman" w:cs="Times New Roman"/>
                <w:sz w:val="21"/>
                <w:szCs w:val="21"/>
              </w:rPr>
            </w:pPr>
            <w:r>
              <w:rPr>
                <w:rFonts w:ascii="Times New Roman" w:hAnsi="Times New Roman" w:cs="Times New Roman"/>
              </w:rPr>
              <w:t>三、运营期噪声环境影响及保护措施</w:t>
            </w:r>
          </w:p>
          <w:p>
            <w:pPr>
              <w:adjustRightInd w:val="0"/>
              <w:snapToGrid w:val="0"/>
              <w:spacing w:line="360" w:lineRule="auto"/>
              <w:ind w:firstLine="482" w:firstLineChars="200"/>
              <w:rPr>
                <w:rFonts w:ascii="Times New Roman" w:hAnsi="Times New Roman" w:cs="Times New Roman"/>
                <w:b/>
                <w:bCs/>
                <w:lang w:val="en-US"/>
              </w:rPr>
            </w:pPr>
            <w:r>
              <w:rPr>
                <w:rFonts w:ascii="Times New Roman" w:hAnsi="Times New Roman" w:cs="Times New Roman"/>
                <w:b/>
                <w:bCs/>
              </w:rPr>
              <w:t>（</w:t>
            </w:r>
            <w:r>
              <w:rPr>
                <w:rFonts w:ascii="Times New Roman" w:hAnsi="Times New Roman" w:cs="Times New Roman"/>
                <w:b/>
                <w:bCs/>
                <w:lang w:val="en-US"/>
              </w:rPr>
              <w:t>1</w:t>
            </w:r>
            <w:r>
              <w:rPr>
                <w:rFonts w:ascii="Times New Roman" w:hAnsi="Times New Roman" w:cs="Times New Roman"/>
                <w:b/>
                <w:bCs/>
              </w:rPr>
              <w:t>）</w:t>
            </w:r>
            <w:r>
              <w:rPr>
                <w:rFonts w:ascii="Times New Roman" w:hAnsi="Times New Roman" w:cs="Times New Roman"/>
                <w:b/>
                <w:bCs/>
                <w:lang w:val="en-US"/>
              </w:rPr>
              <w:t>噪声源强</w:t>
            </w:r>
          </w:p>
          <w:p>
            <w:pPr>
              <w:adjustRightInd w:val="0"/>
              <w:snapToGrid w:val="0"/>
              <w:spacing w:line="360" w:lineRule="auto"/>
              <w:ind w:firstLine="480" w:firstLineChars="200"/>
              <w:rPr>
                <w:rFonts w:ascii="Times New Roman" w:hAnsi="Times New Roman" w:cs="Times New Roman"/>
                <w:bCs/>
                <w:spacing w:val="-10"/>
              </w:rPr>
            </w:pPr>
            <w:r>
              <w:rPr>
                <w:rFonts w:ascii="Times New Roman" w:hAnsi="Times New Roman" w:cs="Times New Roman"/>
              </w:rPr>
              <w:t>本项目营运期噪声主要来源于挤出机、上料机、分切机、铺网机、等设备运转过程中产生的噪声，为连续噪声；噪声源强为70～90dB（A）。根据对同类型企业的类比调查，项目运营期间设备产生的噪声级如表4-1</w:t>
            </w:r>
            <w:r>
              <w:rPr>
                <w:rFonts w:ascii="Times New Roman" w:hAnsi="Times New Roman" w:cs="Times New Roman"/>
                <w:lang w:val="en-US"/>
              </w:rPr>
              <w:t>2</w:t>
            </w:r>
            <w:r>
              <w:rPr>
                <w:rFonts w:ascii="Times New Roman" w:hAnsi="Times New Roman" w:cs="Times New Roman"/>
              </w:rPr>
              <w:t>所示。</w:t>
            </w:r>
          </w:p>
          <w:p>
            <w:pPr>
              <w:pStyle w:val="47"/>
              <w:rPr>
                <w:color w:val="auto"/>
              </w:rPr>
            </w:pPr>
            <w:r>
              <w:rPr>
                <w:color w:val="auto"/>
              </w:rPr>
              <w:t>表4-12本项目主要噪声源及源强（单位：dB（A））</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085"/>
              <w:gridCol w:w="1014"/>
              <w:gridCol w:w="1380"/>
              <w:gridCol w:w="138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Align w:val="center"/>
                </w:tcPr>
                <w:p>
                  <w:pPr>
                    <w:pStyle w:val="10"/>
                    <w:rPr>
                      <w:b w:val="0"/>
                      <w:bCs w:val="0"/>
                    </w:rPr>
                  </w:pPr>
                  <w:r>
                    <w:rPr>
                      <w:b w:val="0"/>
                      <w:bCs w:val="0"/>
                    </w:rPr>
                    <w:t>序号</w:t>
                  </w:r>
                </w:p>
              </w:tc>
              <w:tc>
                <w:tcPr>
                  <w:tcW w:w="1260" w:type="pct"/>
                  <w:vAlign w:val="center"/>
                </w:tcPr>
                <w:p>
                  <w:pPr>
                    <w:pStyle w:val="10"/>
                    <w:rPr>
                      <w:b w:val="0"/>
                      <w:bCs w:val="0"/>
                    </w:rPr>
                  </w:pPr>
                  <w:r>
                    <w:rPr>
                      <w:b w:val="0"/>
                      <w:bCs w:val="0"/>
                    </w:rPr>
                    <w:t>设备名称</w:t>
                  </w:r>
                </w:p>
              </w:tc>
              <w:tc>
                <w:tcPr>
                  <w:tcW w:w="613" w:type="pct"/>
                </w:tcPr>
                <w:p>
                  <w:pPr>
                    <w:pStyle w:val="10"/>
                    <w:rPr>
                      <w:b w:val="0"/>
                      <w:bCs w:val="0"/>
                    </w:rPr>
                  </w:pPr>
                  <w:r>
                    <w:rPr>
                      <w:b w:val="0"/>
                      <w:bCs w:val="0"/>
                    </w:rPr>
                    <w:t>数量</w:t>
                  </w:r>
                </w:p>
              </w:tc>
              <w:tc>
                <w:tcPr>
                  <w:tcW w:w="834" w:type="pct"/>
                </w:tcPr>
                <w:p>
                  <w:pPr>
                    <w:pStyle w:val="10"/>
                    <w:rPr>
                      <w:b w:val="0"/>
                      <w:bCs w:val="0"/>
                    </w:rPr>
                  </w:pPr>
                  <w:r>
                    <w:rPr>
                      <w:b w:val="0"/>
                      <w:bCs w:val="0"/>
                    </w:rPr>
                    <w:t>噪声值</w:t>
                  </w:r>
                </w:p>
              </w:tc>
              <w:tc>
                <w:tcPr>
                  <w:tcW w:w="834" w:type="pct"/>
                </w:tcPr>
                <w:p>
                  <w:pPr>
                    <w:pStyle w:val="10"/>
                    <w:rPr>
                      <w:b w:val="0"/>
                      <w:bCs w:val="0"/>
                    </w:rPr>
                  </w:pPr>
                  <w:r>
                    <w:rPr>
                      <w:b w:val="0"/>
                      <w:bCs w:val="0"/>
                    </w:rPr>
                    <w:t>治理措施</w:t>
                  </w:r>
                </w:p>
              </w:tc>
              <w:tc>
                <w:tcPr>
                  <w:tcW w:w="834" w:type="pct"/>
                </w:tcPr>
                <w:p>
                  <w:pPr>
                    <w:pStyle w:val="10"/>
                    <w:rPr>
                      <w:b w:val="0"/>
                      <w:bCs w:val="0"/>
                    </w:rPr>
                  </w:pPr>
                  <w:r>
                    <w:rPr>
                      <w:b w:val="0"/>
                      <w:bCs w:val="0"/>
                    </w:rPr>
                    <w:t>治理后源强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21" w:type="pct"/>
                </w:tcPr>
                <w:p>
                  <w:pPr>
                    <w:pStyle w:val="10"/>
                    <w:rPr>
                      <w:b w:val="0"/>
                      <w:bCs w:val="0"/>
                    </w:rPr>
                  </w:pPr>
                  <w:r>
                    <w:rPr>
                      <w:b w:val="0"/>
                      <w:bCs w:val="0"/>
                    </w:rPr>
                    <w:t>1</w:t>
                  </w:r>
                </w:p>
              </w:tc>
              <w:tc>
                <w:tcPr>
                  <w:tcW w:w="1260" w:type="pct"/>
                  <w:vAlign w:val="center"/>
                </w:tcPr>
                <w:p>
                  <w:pPr>
                    <w:pStyle w:val="18"/>
                    <w:adjustRightInd w:val="0"/>
                    <w:snapToGrid w:val="0"/>
                    <w:spacing w:line="340" w:lineRule="exact"/>
                    <w:ind w:firstLine="0"/>
                    <w:jc w:val="center"/>
                    <w:rPr>
                      <w:rFonts w:ascii="Times New Roman" w:hAnsi="Times New Roman" w:cs="Times New Roman"/>
                      <w:lang w:val="en-US"/>
                    </w:rPr>
                  </w:pPr>
                  <w:r>
                    <w:rPr>
                      <w:rFonts w:ascii="Times New Roman" w:hAnsi="Times New Roman" w:cs="Times New Roman"/>
                      <w:snapToGrid w:val="0"/>
                      <w:color w:val="000000" w:themeColor="text1"/>
                      <w:sz w:val="21"/>
                      <w:szCs w:val="21"/>
                      <w:lang w:val="en-US"/>
                      <w14:textFill>
                        <w14:solidFill>
                          <w14:schemeClr w14:val="tx1"/>
                        </w14:solidFill>
                      </w14:textFill>
                    </w:rPr>
                    <w:t>中空成型挤出机</w:t>
                  </w:r>
                </w:p>
              </w:tc>
              <w:tc>
                <w:tcPr>
                  <w:tcW w:w="613" w:type="pct"/>
                </w:tcPr>
                <w:p>
                  <w:pPr>
                    <w:pStyle w:val="43"/>
                    <w:tabs>
                      <w:tab w:val="left" w:pos="540"/>
                    </w:tabs>
                    <w:spacing w:line="20" w:lineRule="atLeast"/>
                    <w:rPr>
                      <w:rFonts w:cs="Times New Roman"/>
                      <w:lang w:val="en-US"/>
                    </w:rPr>
                  </w:pPr>
                  <w:r>
                    <w:rPr>
                      <w:rFonts w:cs="Times New Roman"/>
                      <w:szCs w:val="21"/>
                      <w:lang w:val="en-US"/>
                    </w:rPr>
                    <w:t>4台</w:t>
                  </w:r>
                </w:p>
              </w:tc>
              <w:tc>
                <w:tcPr>
                  <w:tcW w:w="834" w:type="pct"/>
                </w:tcPr>
                <w:p>
                  <w:pPr>
                    <w:pStyle w:val="10"/>
                    <w:rPr>
                      <w:b w:val="0"/>
                      <w:bCs w:val="0"/>
                    </w:rPr>
                  </w:pPr>
                  <w:r>
                    <w:rPr>
                      <w:b w:val="0"/>
                      <w:bCs w:val="0"/>
                    </w:rPr>
                    <w:t>75-80</w:t>
                  </w:r>
                </w:p>
              </w:tc>
              <w:tc>
                <w:tcPr>
                  <w:tcW w:w="834" w:type="pct"/>
                  <w:vMerge w:val="restart"/>
                  <w:vAlign w:val="center"/>
                </w:tcPr>
                <w:p>
                  <w:pPr>
                    <w:pStyle w:val="10"/>
                    <w:rPr>
                      <w:b w:val="0"/>
                      <w:bCs w:val="0"/>
                    </w:rPr>
                  </w:pPr>
                  <w:r>
                    <w:rPr>
                      <w:b w:val="0"/>
                      <w:bCs w:val="0"/>
                    </w:rPr>
                    <w:t>厂房隔声、距离衰减、安装减震垫，约可降噪</w:t>
                  </w:r>
                </w:p>
              </w:tc>
              <w:tc>
                <w:tcPr>
                  <w:tcW w:w="834" w:type="pct"/>
                  <w:vAlign w:val="center"/>
                </w:tcPr>
                <w:p>
                  <w:pPr>
                    <w:pStyle w:val="47"/>
                    <w:rPr>
                      <w:b w:val="0"/>
                      <w:bCs w:val="0"/>
                    </w:rPr>
                  </w:pPr>
                  <w:r>
                    <w:rPr>
                      <w:rFonts w:hint="eastAsia"/>
                      <w:b w:val="0"/>
                      <w:bCs w:val="0"/>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1" w:type="pct"/>
                </w:tcPr>
                <w:p>
                  <w:pPr>
                    <w:pStyle w:val="10"/>
                    <w:rPr>
                      <w:b w:val="0"/>
                      <w:bCs w:val="0"/>
                    </w:rPr>
                  </w:pPr>
                  <w:r>
                    <w:rPr>
                      <w:b w:val="0"/>
                      <w:bCs w:val="0"/>
                    </w:rPr>
                    <w:t>2</w:t>
                  </w:r>
                </w:p>
              </w:tc>
              <w:tc>
                <w:tcPr>
                  <w:tcW w:w="1260" w:type="pct"/>
                  <w:vAlign w:val="center"/>
                </w:tcPr>
                <w:p>
                  <w:pPr>
                    <w:pStyle w:val="18"/>
                    <w:adjustRightInd w:val="0"/>
                    <w:snapToGrid w:val="0"/>
                    <w:spacing w:line="340" w:lineRule="exact"/>
                    <w:ind w:firstLine="0"/>
                    <w:jc w:val="center"/>
                    <w:rPr>
                      <w:rFonts w:ascii="Times New Roman" w:hAnsi="Times New Roman" w:cs="Times New Roman"/>
                      <w:lang w:val="en-US"/>
                    </w:rPr>
                  </w:pPr>
                  <w:r>
                    <w:rPr>
                      <w:rFonts w:ascii="Times New Roman" w:hAnsi="Times New Roman" w:cs="Times New Roman"/>
                      <w:snapToGrid w:val="0"/>
                      <w:color w:val="000000" w:themeColor="text1"/>
                      <w:sz w:val="21"/>
                      <w:szCs w:val="21"/>
                      <w:lang w:val="en-US"/>
                      <w14:textFill>
                        <w14:solidFill>
                          <w14:schemeClr w14:val="tx1"/>
                        </w14:solidFill>
                      </w14:textFill>
                    </w:rPr>
                    <w:t>自动吸料机</w:t>
                  </w:r>
                </w:p>
              </w:tc>
              <w:tc>
                <w:tcPr>
                  <w:tcW w:w="613" w:type="pct"/>
                </w:tcPr>
                <w:p>
                  <w:pPr>
                    <w:pStyle w:val="43"/>
                    <w:tabs>
                      <w:tab w:val="left" w:pos="540"/>
                    </w:tabs>
                    <w:spacing w:line="20" w:lineRule="atLeast"/>
                    <w:rPr>
                      <w:rFonts w:cs="Times New Roman"/>
                      <w:lang w:val="en-US"/>
                    </w:rPr>
                  </w:pPr>
                  <w:r>
                    <w:rPr>
                      <w:rFonts w:cs="Times New Roman"/>
                      <w:szCs w:val="21"/>
                      <w:lang w:val="en-US"/>
                    </w:rPr>
                    <w:t>4台</w:t>
                  </w:r>
                </w:p>
              </w:tc>
              <w:tc>
                <w:tcPr>
                  <w:tcW w:w="834" w:type="pct"/>
                </w:tcPr>
                <w:p>
                  <w:pPr>
                    <w:pStyle w:val="10"/>
                    <w:rPr>
                      <w:b w:val="0"/>
                      <w:bCs w:val="0"/>
                    </w:rPr>
                  </w:pPr>
                  <w:r>
                    <w:rPr>
                      <w:b w:val="0"/>
                      <w:bCs w:val="0"/>
                    </w:rPr>
                    <w:t>70-80</w:t>
                  </w:r>
                </w:p>
              </w:tc>
              <w:tc>
                <w:tcPr>
                  <w:tcW w:w="834" w:type="pct"/>
                  <w:vMerge w:val="continue"/>
                </w:tcPr>
                <w:p>
                  <w:pPr>
                    <w:pStyle w:val="10"/>
                    <w:rPr>
                      <w:b w:val="0"/>
                      <w:bCs w:val="0"/>
                    </w:rPr>
                  </w:pPr>
                </w:p>
              </w:tc>
              <w:tc>
                <w:tcPr>
                  <w:tcW w:w="834" w:type="pct"/>
                  <w:vAlign w:val="center"/>
                </w:tcPr>
                <w:p>
                  <w:pPr>
                    <w:pStyle w:val="47"/>
                    <w:rPr>
                      <w:b w:val="0"/>
                      <w:bCs w:val="0"/>
                    </w:rPr>
                  </w:pPr>
                  <w:r>
                    <w:rPr>
                      <w:rFonts w:hint="eastAsia"/>
                      <w:b w:val="0"/>
                      <w:bCs w:val="0"/>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tcPr>
                <w:p>
                  <w:pPr>
                    <w:pStyle w:val="10"/>
                    <w:rPr>
                      <w:b w:val="0"/>
                      <w:bCs w:val="0"/>
                    </w:rPr>
                  </w:pPr>
                  <w:r>
                    <w:rPr>
                      <w:b w:val="0"/>
                      <w:bCs w:val="0"/>
                    </w:rPr>
                    <w:t>3</w:t>
                  </w:r>
                </w:p>
              </w:tc>
              <w:tc>
                <w:tcPr>
                  <w:tcW w:w="1260" w:type="pct"/>
                  <w:vAlign w:val="center"/>
                </w:tcPr>
                <w:p>
                  <w:pPr>
                    <w:pStyle w:val="18"/>
                    <w:adjustRightInd w:val="0"/>
                    <w:snapToGrid w:val="0"/>
                    <w:spacing w:line="340" w:lineRule="exact"/>
                    <w:ind w:firstLine="0"/>
                    <w:jc w:val="center"/>
                    <w:rPr>
                      <w:rFonts w:ascii="Times New Roman" w:hAnsi="Times New Roman" w:cs="Times New Roman"/>
                      <w:lang w:val="en-US"/>
                    </w:rPr>
                  </w:pPr>
                  <w:r>
                    <w:rPr>
                      <w:rFonts w:ascii="Times New Roman" w:hAnsi="Times New Roman" w:cs="Times New Roman"/>
                      <w:snapToGrid w:val="0"/>
                      <w:color w:val="000000" w:themeColor="text1"/>
                      <w:sz w:val="21"/>
                      <w:szCs w:val="21"/>
                      <w:lang w:val="en-US"/>
                      <w14:textFill>
                        <w14:solidFill>
                          <w14:schemeClr w14:val="tx1"/>
                        </w14:solidFill>
                      </w14:textFill>
                    </w:rPr>
                    <w:t>工业智能冷水机</w:t>
                  </w:r>
                </w:p>
              </w:tc>
              <w:tc>
                <w:tcPr>
                  <w:tcW w:w="613" w:type="pct"/>
                </w:tcPr>
                <w:p>
                  <w:pPr>
                    <w:pStyle w:val="43"/>
                    <w:tabs>
                      <w:tab w:val="left" w:pos="540"/>
                    </w:tabs>
                    <w:spacing w:line="20" w:lineRule="atLeast"/>
                    <w:rPr>
                      <w:rFonts w:cs="Times New Roman"/>
                      <w:lang w:val="en-US"/>
                    </w:rPr>
                  </w:pPr>
                  <w:r>
                    <w:rPr>
                      <w:rFonts w:hint="eastAsia" w:cs="Times New Roman"/>
                      <w:szCs w:val="21"/>
                      <w:lang w:val="en-US"/>
                    </w:rPr>
                    <w:t>7</w:t>
                  </w:r>
                  <w:r>
                    <w:rPr>
                      <w:rFonts w:cs="Times New Roman"/>
                      <w:szCs w:val="21"/>
                      <w:lang w:val="en-US"/>
                    </w:rPr>
                    <w:t>台</w:t>
                  </w:r>
                </w:p>
              </w:tc>
              <w:tc>
                <w:tcPr>
                  <w:tcW w:w="834" w:type="pct"/>
                </w:tcPr>
                <w:p>
                  <w:pPr>
                    <w:pStyle w:val="10"/>
                    <w:rPr>
                      <w:b w:val="0"/>
                      <w:bCs w:val="0"/>
                    </w:rPr>
                  </w:pPr>
                  <w:r>
                    <w:rPr>
                      <w:b w:val="0"/>
                      <w:bCs w:val="0"/>
                    </w:rPr>
                    <w:t>75-8</w:t>
                  </w:r>
                  <w:r>
                    <w:rPr>
                      <w:rFonts w:hint="eastAsia"/>
                      <w:b w:val="0"/>
                      <w:bCs w:val="0"/>
                    </w:rPr>
                    <w:t>0</w:t>
                  </w:r>
                </w:p>
              </w:tc>
              <w:tc>
                <w:tcPr>
                  <w:tcW w:w="834" w:type="pct"/>
                  <w:vMerge w:val="continue"/>
                </w:tcPr>
                <w:p>
                  <w:pPr>
                    <w:pStyle w:val="10"/>
                    <w:rPr>
                      <w:b w:val="0"/>
                      <w:bCs w:val="0"/>
                    </w:rPr>
                  </w:pPr>
                </w:p>
              </w:tc>
              <w:tc>
                <w:tcPr>
                  <w:tcW w:w="834" w:type="pct"/>
                  <w:vAlign w:val="center"/>
                </w:tcPr>
                <w:p>
                  <w:pPr>
                    <w:pStyle w:val="47"/>
                    <w:rPr>
                      <w:b w:val="0"/>
                      <w:bCs w:val="0"/>
                    </w:rPr>
                  </w:pPr>
                  <w:r>
                    <w:rPr>
                      <w:rFonts w:hint="eastAsia"/>
                      <w:b w:val="0"/>
                      <w:bCs w:val="0"/>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tcPr>
                <w:p>
                  <w:pPr>
                    <w:pStyle w:val="10"/>
                    <w:rPr>
                      <w:b w:val="0"/>
                      <w:bCs w:val="0"/>
                    </w:rPr>
                  </w:pPr>
                  <w:r>
                    <w:rPr>
                      <w:b w:val="0"/>
                      <w:bCs w:val="0"/>
                    </w:rPr>
                    <w:t>4</w:t>
                  </w:r>
                </w:p>
              </w:tc>
              <w:tc>
                <w:tcPr>
                  <w:tcW w:w="1260" w:type="pct"/>
                  <w:vAlign w:val="center"/>
                </w:tcPr>
                <w:p>
                  <w:pPr>
                    <w:pStyle w:val="18"/>
                    <w:adjustRightInd w:val="0"/>
                    <w:snapToGrid w:val="0"/>
                    <w:spacing w:line="340" w:lineRule="exact"/>
                    <w:ind w:firstLine="0"/>
                    <w:jc w:val="center"/>
                    <w:rPr>
                      <w:rFonts w:ascii="Times New Roman" w:hAnsi="Times New Roman" w:cs="Times New Roman"/>
                      <w:lang w:val="en-US"/>
                    </w:rPr>
                  </w:pPr>
                  <w:r>
                    <w:rPr>
                      <w:rFonts w:ascii="Times New Roman" w:hAnsi="Times New Roman" w:cs="Times New Roman"/>
                      <w:snapToGrid w:val="0"/>
                      <w:color w:val="000000" w:themeColor="text1"/>
                      <w:sz w:val="21"/>
                      <w:szCs w:val="21"/>
                      <w:lang w:val="en-US"/>
                      <w14:textFill>
                        <w14:solidFill>
                          <w14:schemeClr w14:val="tx1"/>
                        </w14:solidFill>
                      </w14:textFill>
                    </w:rPr>
                    <w:t>注塑机</w:t>
                  </w:r>
                </w:p>
              </w:tc>
              <w:tc>
                <w:tcPr>
                  <w:tcW w:w="613" w:type="pct"/>
                </w:tcPr>
                <w:p>
                  <w:pPr>
                    <w:pStyle w:val="43"/>
                    <w:tabs>
                      <w:tab w:val="left" w:pos="540"/>
                    </w:tabs>
                    <w:spacing w:line="20" w:lineRule="atLeast"/>
                    <w:rPr>
                      <w:rFonts w:cs="Times New Roman"/>
                      <w:lang w:val="en-US"/>
                    </w:rPr>
                  </w:pPr>
                  <w:r>
                    <w:rPr>
                      <w:rFonts w:cs="Times New Roman"/>
                      <w:szCs w:val="21"/>
                      <w:lang w:val="en-US"/>
                    </w:rPr>
                    <w:t>1台</w:t>
                  </w:r>
                </w:p>
              </w:tc>
              <w:tc>
                <w:tcPr>
                  <w:tcW w:w="834" w:type="pct"/>
                </w:tcPr>
                <w:p>
                  <w:pPr>
                    <w:pStyle w:val="10"/>
                    <w:rPr>
                      <w:b w:val="0"/>
                      <w:bCs w:val="0"/>
                    </w:rPr>
                  </w:pPr>
                  <w:r>
                    <w:rPr>
                      <w:b w:val="0"/>
                      <w:bCs w:val="0"/>
                    </w:rPr>
                    <w:t>75-80</w:t>
                  </w:r>
                </w:p>
              </w:tc>
              <w:tc>
                <w:tcPr>
                  <w:tcW w:w="834" w:type="pct"/>
                  <w:vMerge w:val="continue"/>
                </w:tcPr>
                <w:p>
                  <w:pPr>
                    <w:pStyle w:val="10"/>
                    <w:rPr>
                      <w:b w:val="0"/>
                      <w:bCs w:val="0"/>
                    </w:rPr>
                  </w:pPr>
                </w:p>
              </w:tc>
              <w:tc>
                <w:tcPr>
                  <w:tcW w:w="834" w:type="pct"/>
                  <w:vAlign w:val="center"/>
                </w:tcPr>
                <w:p>
                  <w:pPr>
                    <w:pStyle w:val="47"/>
                    <w:rPr>
                      <w:b w:val="0"/>
                      <w:bCs w:val="0"/>
                    </w:rPr>
                  </w:pPr>
                  <w:r>
                    <w:rPr>
                      <w:rFonts w:hint="eastAsia"/>
                      <w:b w:val="0"/>
                      <w:bCs w:val="0"/>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tcPr>
                <w:p>
                  <w:pPr>
                    <w:pStyle w:val="10"/>
                    <w:rPr>
                      <w:b w:val="0"/>
                      <w:bCs w:val="0"/>
                    </w:rPr>
                  </w:pPr>
                  <w:r>
                    <w:rPr>
                      <w:b w:val="0"/>
                      <w:bCs w:val="0"/>
                    </w:rPr>
                    <w:t>5</w:t>
                  </w:r>
                </w:p>
              </w:tc>
              <w:tc>
                <w:tcPr>
                  <w:tcW w:w="1260" w:type="pct"/>
                  <w:vAlign w:val="center"/>
                </w:tcPr>
                <w:p>
                  <w:pPr>
                    <w:pStyle w:val="18"/>
                    <w:adjustRightInd w:val="0"/>
                    <w:snapToGrid w:val="0"/>
                    <w:spacing w:line="340" w:lineRule="exact"/>
                    <w:ind w:firstLine="0"/>
                    <w:jc w:val="center"/>
                    <w:rPr>
                      <w:rFonts w:ascii="Times New Roman" w:hAnsi="Times New Roman" w:cs="Times New Roman"/>
                      <w:lang w:val="en-US"/>
                    </w:rPr>
                  </w:pPr>
                  <w:r>
                    <w:rPr>
                      <w:rFonts w:ascii="Times New Roman" w:hAnsi="Times New Roman" w:cs="Times New Roman"/>
                      <w:snapToGrid w:val="0"/>
                      <w:color w:val="000000" w:themeColor="text1"/>
                      <w:sz w:val="21"/>
                      <w:szCs w:val="21"/>
                      <w:lang w:val="en-US"/>
                      <w14:textFill>
                        <w14:solidFill>
                          <w14:schemeClr w14:val="tx1"/>
                        </w14:solidFill>
                      </w14:textFill>
                    </w:rPr>
                    <w:t>真空吸料机</w:t>
                  </w:r>
                </w:p>
              </w:tc>
              <w:tc>
                <w:tcPr>
                  <w:tcW w:w="613" w:type="pct"/>
                  <w:vAlign w:val="center"/>
                </w:tcPr>
                <w:p>
                  <w:pPr>
                    <w:pStyle w:val="43"/>
                    <w:tabs>
                      <w:tab w:val="left" w:pos="540"/>
                    </w:tabs>
                    <w:spacing w:line="20" w:lineRule="atLeast"/>
                    <w:rPr>
                      <w:rFonts w:cs="Times New Roman"/>
                      <w:lang w:val="en-US"/>
                    </w:rPr>
                  </w:pPr>
                  <w:r>
                    <w:rPr>
                      <w:rFonts w:cs="Times New Roman"/>
                      <w:szCs w:val="21"/>
                      <w:lang w:val="en-US"/>
                    </w:rPr>
                    <w:t>1台</w:t>
                  </w:r>
                </w:p>
              </w:tc>
              <w:tc>
                <w:tcPr>
                  <w:tcW w:w="834" w:type="pct"/>
                </w:tcPr>
                <w:p>
                  <w:pPr>
                    <w:pStyle w:val="10"/>
                    <w:rPr>
                      <w:b w:val="0"/>
                      <w:bCs w:val="0"/>
                    </w:rPr>
                  </w:pPr>
                  <w:r>
                    <w:rPr>
                      <w:b w:val="0"/>
                      <w:bCs w:val="0"/>
                    </w:rPr>
                    <w:t>78-88</w:t>
                  </w:r>
                </w:p>
              </w:tc>
              <w:tc>
                <w:tcPr>
                  <w:tcW w:w="834" w:type="pct"/>
                  <w:vMerge w:val="continue"/>
                </w:tcPr>
                <w:p>
                  <w:pPr>
                    <w:pStyle w:val="10"/>
                    <w:rPr>
                      <w:b w:val="0"/>
                      <w:bCs w:val="0"/>
                    </w:rPr>
                  </w:pPr>
                </w:p>
              </w:tc>
              <w:tc>
                <w:tcPr>
                  <w:tcW w:w="834" w:type="pct"/>
                  <w:vAlign w:val="center"/>
                </w:tcPr>
                <w:p>
                  <w:pPr>
                    <w:pStyle w:val="47"/>
                    <w:rPr>
                      <w:b w:val="0"/>
                      <w:bCs w:val="0"/>
                    </w:rPr>
                  </w:pPr>
                  <w:r>
                    <w:rPr>
                      <w:rFonts w:hint="eastAsia"/>
                      <w:b w:val="0"/>
                      <w:bCs w:val="0"/>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tcPr>
                <w:p>
                  <w:pPr>
                    <w:pStyle w:val="10"/>
                    <w:rPr>
                      <w:b w:val="0"/>
                      <w:bCs w:val="0"/>
                    </w:rPr>
                  </w:pPr>
                  <w:r>
                    <w:rPr>
                      <w:b w:val="0"/>
                      <w:bCs w:val="0"/>
                    </w:rPr>
                    <w:t>6</w:t>
                  </w:r>
                </w:p>
              </w:tc>
              <w:tc>
                <w:tcPr>
                  <w:tcW w:w="1260" w:type="pct"/>
                  <w:vAlign w:val="center"/>
                </w:tcPr>
                <w:p>
                  <w:pPr>
                    <w:pStyle w:val="18"/>
                    <w:adjustRightInd w:val="0"/>
                    <w:snapToGrid w:val="0"/>
                    <w:spacing w:line="340" w:lineRule="exact"/>
                    <w:ind w:firstLine="0"/>
                    <w:jc w:val="center"/>
                    <w:rPr>
                      <w:rFonts w:ascii="Times New Roman" w:hAnsi="Times New Roman" w:cs="Times New Roman"/>
                      <w:lang w:val="en-US"/>
                    </w:rPr>
                  </w:pPr>
                  <w:r>
                    <w:rPr>
                      <w:rFonts w:ascii="Times New Roman" w:hAnsi="Times New Roman" w:cs="Times New Roman"/>
                      <w:snapToGrid w:val="0"/>
                      <w:color w:val="000000" w:themeColor="text1"/>
                      <w:sz w:val="21"/>
                      <w:szCs w:val="21"/>
                      <w:lang w:val="en-US"/>
                      <w14:textFill>
                        <w14:solidFill>
                          <w14:schemeClr w14:val="tx1"/>
                        </w14:solidFill>
                      </w14:textFill>
                    </w:rPr>
                    <w:t>空气压缩机</w:t>
                  </w:r>
                </w:p>
              </w:tc>
              <w:tc>
                <w:tcPr>
                  <w:tcW w:w="613" w:type="pct"/>
                  <w:vAlign w:val="center"/>
                </w:tcPr>
                <w:p>
                  <w:pPr>
                    <w:pStyle w:val="43"/>
                    <w:tabs>
                      <w:tab w:val="left" w:pos="540"/>
                    </w:tabs>
                    <w:spacing w:line="20" w:lineRule="atLeast"/>
                    <w:rPr>
                      <w:rFonts w:cs="Times New Roman"/>
                      <w:lang w:val="en-US"/>
                    </w:rPr>
                  </w:pPr>
                  <w:r>
                    <w:rPr>
                      <w:rFonts w:cs="Times New Roman"/>
                      <w:szCs w:val="21"/>
                      <w:lang w:val="en-US"/>
                    </w:rPr>
                    <w:t>1台</w:t>
                  </w:r>
                </w:p>
              </w:tc>
              <w:tc>
                <w:tcPr>
                  <w:tcW w:w="834" w:type="pct"/>
                </w:tcPr>
                <w:p>
                  <w:pPr>
                    <w:pStyle w:val="10"/>
                    <w:rPr>
                      <w:b w:val="0"/>
                      <w:bCs w:val="0"/>
                    </w:rPr>
                  </w:pPr>
                  <w:r>
                    <w:rPr>
                      <w:b w:val="0"/>
                      <w:bCs w:val="0"/>
                    </w:rPr>
                    <w:t>75-85</w:t>
                  </w:r>
                </w:p>
              </w:tc>
              <w:tc>
                <w:tcPr>
                  <w:tcW w:w="834" w:type="pct"/>
                  <w:vMerge w:val="continue"/>
                </w:tcPr>
                <w:p>
                  <w:pPr>
                    <w:pStyle w:val="10"/>
                    <w:rPr>
                      <w:b w:val="0"/>
                      <w:bCs w:val="0"/>
                    </w:rPr>
                  </w:pPr>
                </w:p>
              </w:tc>
              <w:tc>
                <w:tcPr>
                  <w:tcW w:w="834" w:type="pct"/>
                  <w:vAlign w:val="center"/>
                </w:tcPr>
                <w:p>
                  <w:pPr>
                    <w:pStyle w:val="47"/>
                    <w:rPr>
                      <w:b w:val="0"/>
                      <w:bCs w:val="0"/>
                    </w:rPr>
                  </w:pPr>
                  <w:r>
                    <w:rPr>
                      <w:rFonts w:hint="eastAsia"/>
                      <w:b w:val="0"/>
                      <w:bCs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tcPr>
                <w:p>
                  <w:pPr>
                    <w:pStyle w:val="10"/>
                    <w:rPr>
                      <w:b w:val="0"/>
                      <w:bCs w:val="0"/>
                    </w:rPr>
                  </w:pPr>
                  <w:r>
                    <w:rPr>
                      <w:b w:val="0"/>
                      <w:bCs w:val="0"/>
                    </w:rPr>
                    <w:t>7</w:t>
                  </w:r>
                </w:p>
              </w:tc>
              <w:tc>
                <w:tcPr>
                  <w:tcW w:w="1260" w:type="pct"/>
                  <w:vAlign w:val="center"/>
                </w:tcPr>
                <w:p>
                  <w:pPr>
                    <w:pStyle w:val="18"/>
                    <w:adjustRightInd w:val="0"/>
                    <w:snapToGrid w:val="0"/>
                    <w:spacing w:line="340" w:lineRule="exact"/>
                    <w:ind w:firstLine="0"/>
                    <w:jc w:val="center"/>
                    <w:rPr>
                      <w:rFonts w:ascii="Times New Roman" w:hAnsi="Times New Roman" w:cs="Times New Roman"/>
                      <w:lang w:val="en-US"/>
                    </w:rPr>
                  </w:pPr>
                  <w:r>
                    <w:rPr>
                      <w:rFonts w:ascii="Times New Roman" w:hAnsi="Times New Roman" w:cs="Times New Roman"/>
                      <w:snapToGrid w:val="0"/>
                      <w:color w:val="000000" w:themeColor="text1"/>
                      <w:sz w:val="21"/>
                      <w:szCs w:val="21"/>
                      <w:lang w:val="en-US"/>
                      <w14:textFill>
                        <w14:solidFill>
                          <w14:schemeClr w14:val="tx1"/>
                        </w14:solidFill>
                      </w14:textFill>
                    </w:rPr>
                    <w:t>破碎机</w:t>
                  </w:r>
                </w:p>
              </w:tc>
              <w:tc>
                <w:tcPr>
                  <w:tcW w:w="613" w:type="pct"/>
                  <w:vAlign w:val="center"/>
                </w:tcPr>
                <w:p>
                  <w:pPr>
                    <w:pStyle w:val="43"/>
                    <w:tabs>
                      <w:tab w:val="left" w:pos="540"/>
                    </w:tabs>
                    <w:spacing w:line="20" w:lineRule="atLeast"/>
                    <w:rPr>
                      <w:rFonts w:cs="Times New Roman"/>
                      <w:lang w:val="en-US"/>
                    </w:rPr>
                  </w:pPr>
                  <w:r>
                    <w:rPr>
                      <w:rFonts w:cs="Times New Roman"/>
                      <w:szCs w:val="21"/>
                      <w:lang w:val="en-US"/>
                    </w:rPr>
                    <w:t>1台</w:t>
                  </w:r>
                </w:p>
              </w:tc>
              <w:tc>
                <w:tcPr>
                  <w:tcW w:w="834" w:type="pct"/>
                </w:tcPr>
                <w:p>
                  <w:pPr>
                    <w:pStyle w:val="10"/>
                    <w:rPr>
                      <w:b w:val="0"/>
                      <w:bCs w:val="0"/>
                    </w:rPr>
                  </w:pPr>
                  <w:r>
                    <w:rPr>
                      <w:b w:val="0"/>
                      <w:bCs w:val="0"/>
                    </w:rPr>
                    <w:t>75-85</w:t>
                  </w:r>
                </w:p>
              </w:tc>
              <w:tc>
                <w:tcPr>
                  <w:tcW w:w="834" w:type="pct"/>
                  <w:vMerge w:val="continue"/>
                </w:tcPr>
                <w:p>
                  <w:pPr>
                    <w:pStyle w:val="10"/>
                    <w:rPr>
                      <w:b w:val="0"/>
                      <w:bCs w:val="0"/>
                    </w:rPr>
                  </w:pPr>
                </w:p>
              </w:tc>
              <w:tc>
                <w:tcPr>
                  <w:tcW w:w="834" w:type="pct"/>
                  <w:vAlign w:val="center"/>
                </w:tcPr>
                <w:p>
                  <w:pPr>
                    <w:pStyle w:val="47"/>
                    <w:rPr>
                      <w:b w:val="0"/>
                      <w:bCs w:val="0"/>
                    </w:rPr>
                  </w:pPr>
                  <w:r>
                    <w:rPr>
                      <w:rFonts w:hint="eastAsia"/>
                      <w:b w:val="0"/>
                      <w:bCs w:val="0"/>
                    </w:rPr>
                    <w:t>70</w:t>
                  </w:r>
                </w:p>
              </w:tc>
            </w:tr>
          </w:tbl>
          <w:p>
            <w:pPr>
              <w:pStyle w:val="59"/>
              <w:snapToGrid w:val="0"/>
              <w:ind w:left="420" w:firstLine="0" w:firstLineChars="0"/>
              <w:rPr>
                <w:rFonts w:ascii="Times New Roman" w:hAnsi="Times New Roman" w:cs="Times New Roman"/>
                <w:b/>
                <w:bCs/>
                <w:szCs w:val="24"/>
                <w:lang w:val="en-US"/>
              </w:rPr>
            </w:pPr>
            <w:r>
              <w:rPr>
                <w:rFonts w:ascii="Times New Roman" w:hAnsi="Times New Roman" w:cs="Times New Roman"/>
                <w:b/>
                <w:bCs/>
                <w:szCs w:val="24"/>
                <w:lang w:val="en-US"/>
              </w:rPr>
              <w:t>（2）预测模式</w:t>
            </w:r>
          </w:p>
          <w:p>
            <w:pPr>
              <w:pStyle w:val="59"/>
              <w:snapToGrid w:val="0"/>
              <w:ind w:firstLine="480"/>
              <w:rPr>
                <w:rFonts w:ascii="Times New Roman" w:hAnsi="Times New Roman" w:cs="Times New Roman"/>
                <w:szCs w:val="24"/>
              </w:rPr>
            </w:pPr>
            <w:r>
              <w:rPr>
                <w:rFonts w:ascii="Times New Roman" w:hAnsi="Times New Roman" w:cs="Times New Roman"/>
                <w:szCs w:val="24"/>
              </w:rPr>
              <w:t>采用点源衰减模式，预测只计算声源至受声点的几何发散衰减，不考虑其他衰减因子。预测公式如下：</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每个点源对预测点的声级Lr按下式计算：</w:t>
            </w:r>
          </w:p>
          <w:p>
            <w:pPr>
              <w:adjustRightInd w:val="0"/>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LA(r)=LA(r0)－20lg(r/r0)-△L</w:t>
            </w:r>
          </w:p>
          <w:p>
            <w:pPr>
              <w:adjustRightInd w:val="0"/>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式中：LA（r）——距离声源r处的A声级，dB(A)；</w:t>
            </w:r>
          </w:p>
          <w:p>
            <w:pPr>
              <w:adjustRightInd w:val="0"/>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LA（ro）——距声源ro处的A声级，dB(A)；</w:t>
            </w:r>
          </w:p>
          <w:p>
            <w:pPr>
              <w:adjustRightInd w:val="0"/>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ro、r——距声源的距离，m；</w:t>
            </w:r>
          </w:p>
          <w:p>
            <w:pPr>
              <w:adjustRightInd w:val="0"/>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△L——其它衰减因子，dB(A)。</w:t>
            </w:r>
          </w:p>
          <w:p>
            <w:pPr>
              <w:adjustRightInd w:val="0"/>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各受声点的声源叠加按下列公式计算：</w:t>
            </w:r>
          </w:p>
          <w:p>
            <w:pPr>
              <w:adjustRightInd w:val="0"/>
              <w:snapToGrid w:val="0"/>
              <w:spacing w:line="360" w:lineRule="auto"/>
              <w:ind w:firstLine="480" w:firstLineChars="200"/>
              <w:rPr>
                <w:rFonts w:ascii="Times New Roman" w:hAnsi="Times New Roman" w:cs="Times New Roman"/>
                <w:lang w:val="en-US"/>
              </w:rPr>
            </w:pPr>
            <w:r>
              <w:rPr>
                <w:rFonts w:ascii="Times New Roman" w:hAnsi="Times New Roman" w:cs="Times New Roman"/>
                <w:lang w:val="en-US"/>
              </w:rPr>
              <w:t>Leq＝10lg∑（100.1L1+100.1L2+…100.1Lｉ）</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式中：Li——其中单个噪声源的声级数，dB（A）</w:t>
            </w:r>
          </w:p>
          <w:p>
            <w:pPr>
              <w:autoSpaceDE w:val="0"/>
              <w:autoSpaceDN w:val="0"/>
              <w:adjustRightInd w:val="0"/>
              <w:spacing w:line="360" w:lineRule="auto"/>
              <w:ind w:firstLine="480" w:firstLineChars="200"/>
              <w:rPr>
                <w:rFonts w:hint="default" w:ascii="Times New Roman" w:hAnsi="Times New Roman" w:cs="Times New Roman"/>
                <w:color w:val="000000"/>
                <w:sz w:val="24"/>
              </w:rPr>
            </w:pPr>
            <w:r>
              <w:rPr>
                <w:rFonts w:ascii="Times New Roman" w:hAnsi="Times New Roman" w:cs="Times New Roman"/>
              </w:rPr>
              <w:t>Leq——噪声源叠加后的值</w:t>
            </w:r>
            <w:r>
              <w:rPr>
                <w:sz w:val="24"/>
              </w:rPr>
              <w:t>项</w:t>
            </w:r>
            <w:r>
              <w:rPr>
                <w:rFonts w:hint="default" w:ascii="Times New Roman" w:hAnsi="Times New Roman" w:cs="Times New Roman"/>
                <w:color w:val="000000"/>
                <w:kern w:val="0"/>
                <w:sz w:val="24"/>
              </w:rPr>
              <w:t>根据</w:t>
            </w:r>
            <w:r>
              <w:rPr>
                <w:rFonts w:hint="default" w:ascii="Times New Roman" w:hAnsi="Times New Roman" w:cs="Times New Roman"/>
                <w:color w:val="000000"/>
                <w:sz w:val="24"/>
              </w:rPr>
              <w:t>计算，点声源距离衰减值见表4-</w:t>
            </w:r>
            <w:r>
              <w:rPr>
                <w:rFonts w:hint="eastAsia" w:ascii="Times New Roman" w:hAnsi="Times New Roman" w:cs="Times New Roman"/>
                <w:color w:val="000000"/>
                <w:sz w:val="24"/>
                <w:lang w:val="en-US" w:eastAsia="zh-CN"/>
              </w:rPr>
              <w:t>13</w:t>
            </w:r>
            <w:r>
              <w:rPr>
                <w:rFonts w:hint="default" w:ascii="Times New Roman" w:hAnsi="Times New Roman" w:cs="Times New Roman"/>
                <w:color w:val="000000"/>
                <w:sz w:val="24"/>
              </w:rPr>
              <w:t>。</w:t>
            </w:r>
          </w:p>
          <w:p>
            <w:pPr>
              <w:pStyle w:val="10"/>
              <w:spacing w:line="240" w:lineRule="auto"/>
              <w:ind w:firstLine="422"/>
              <w:rPr>
                <w:rFonts w:hint="default" w:ascii="Times New Roman" w:hAnsi="Times New Roman" w:cs="Times New Roman"/>
                <w:b/>
                <w:bCs w:val="0"/>
                <w:color w:val="000000"/>
              </w:rPr>
            </w:pPr>
            <w:r>
              <w:rPr>
                <w:rFonts w:hint="default" w:ascii="Times New Roman" w:hAnsi="Times New Roman" w:cs="Times New Roman"/>
                <w:b/>
                <w:bCs w:val="0"/>
                <w:color w:val="000000"/>
              </w:rPr>
              <w:t>表4-</w:t>
            </w:r>
            <w:r>
              <w:rPr>
                <w:rFonts w:hint="eastAsia" w:ascii="Times New Roman" w:hAnsi="Times New Roman" w:cs="Times New Roman"/>
                <w:b/>
                <w:bCs w:val="0"/>
                <w:color w:val="000000"/>
                <w:lang w:val="en-US" w:eastAsia="zh-CN"/>
              </w:rPr>
              <w:t>1</w:t>
            </w:r>
            <w:r>
              <w:rPr>
                <w:rFonts w:hint="eastAsia" w:cs="Times New Roman"/>
                <w:b/>
                <w:bCs w:val="0"/>
                <w:color w:val="000000"/>
                <w:lang w:val="en-US" w:eastAsia="zh-CN"/>
              </w:rPr>
              <w:t>3</w:t>
            </w:r>
            <w:r>
              <w:rPr>
                <w:rFonts w:hint="default" w:ascii="Times New Roman" w:hAnsi="Times New Roman" w:cs="Times New Roman"/>
                <w:b/>
                <w:bCs w:val="0"/>
                <w:color w:val="000000"/>
              </w:rPr>
              <w:t>点声源距离衰减值表</w:t>
            </w:r>
          </w:p>
          <w:tbl>
            <w:tblPr>
              <w:tblStyle w:val="26"/>
              <w:tblW w:w="4998"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936"/>
              <w:gridCol w:w="1926"/>
              <w:gridCol w:w="2342"/>
              <w:gridCol w:w="206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70" w:type="pct"/>
                  <w:tcBorders>
                    <w:top w:val="single" w:color="auto" w:sz="2" w:space="0"/>
                    <w:left w:val="single" w:color="auto" w:sz="2"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距离（米）</w:t>
                  </w:r>
                </w:p>
              </w:tc>
              <w:tc>
                <w:tcPr>
                  <w:tcW w:w="1164" w:type="pct"/>
                  <w:tcBorders>
                    <w:top w:val="single" w:color="auto" w:sz="2"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20lgr/r0dB(A)</w:t>
                  </w:r>
                </w:p>
              </w:tc>
              <w:tc>
                <w:tcPr>
                  <w:tcW w:w="1415" w:type="pct"/>
                  <w:tcBorders>
                    <w:top w:val="single" w:color="auto" w:sz="2"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距离（米）</w:t>
                  </w:r>
                </w:p>
              </w:tc>
              <w:tc>
                <w:tcPr>
                  <w:tcW w:w="1250" w:type="pct"/>
                  <w:tcBorders>
                    <w:top w:val="single" w:color="auto" w:sz="2" w:space="0"/>
                    <w:left w:val="single" w:color="auto" w:sz="6" w:space="0"/>
                    <w:bottom w:val="single" w:color="auto" w:sz="6" w:space="0"/>
                    <w:right w:val="single" w:color="auto" w:sz="2"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20lgr/r0dB(A)</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70" w:type="pct"/>
                  <w:tcBorders>
                    <w:top w:val="single" w:color="auto" w:sz="6" w:space="0"/>
                    <w:left w:val="single" w:color="auto" w:sz="2"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5</w:t>
                  </w:r>
                </w:p>
              </w:tc>
              <w:tc>
                <w:tcPr>
                  <w:tcW w:w="1164" w:type="pct"/>
                  <w:tcBorders>
                    <w:top w:val="single" w:color="auto" w:sz="6"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14</w:t>
                  </w:r>
                </w:p>
              </w:tc>
              <w:tc>
                <w:tcPr>
                  <w:tcW w:w="1415" w:type="pct"/>
                  <w:tcBorders>
                    <w:top w:val="single" w:color="auto" w:sz="6"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60</w:t>
                  </w:r>
                </w:p>
              </w:tc>
              <w:tc>
                <w:tcPr>
                  <w:tcW w:w="1250" w:type="pct"/>
                  <w:tcBorders>
                    <w:top w:val="single" w:color="auto" w:sz="6" w:space="0"/>
                    <w:left w:val="single" w:color="auto" w:sz="6" w:space="0"/>
                    <w:bottom w:val="single" w:color="auto" w:sz="6" w:space="0"/>
                    <w:right w:val="single" w:color="auto" w:sz="2"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35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70" w:type="pct"/>
                  <w:tcBorders>
                    <w:top w:val="single" w:color="auto" w:sz="6" w:space="0"/>
                    <w:left w:val="single" w:color="auto" w:sz="2"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10</w:t>
                  </w:r>
                </w:p>
              </w:tc>
              <w:tc>
                <w:tcPr>
                  <w:tcW w:w="1164" w:type="pct"/>
                  <w:tcBorders>
                    <w:top w:val="single" w:color="auto" w:sz="6"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20</w:t>
                  </w:r>
                </w:p>
              </w:tc>
              <w:tc>
                <w:tcPr>
                  <w:tcW w:w="1415" w:type="pct"/>
                  <w:tcBorders>
                    <w:top w:val="single" w:color="auto" w:sz="6"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80</w:t>
                  </w:r>
                </w:p>
              </w:tc>
              <w:tc>
                <w:tcPr>
                  <w:tcW w:w="1250" w:type="pct"/>
                  <w:tcBorders>
                    <w:top w:val="single" w:color="auto" w:sz="6" w:space="0"/>
                    <w:left w:val="single" w:color="auto" w:sz="6" w:space="0"/>
                    <w:bottom w:val="single" w:color="auto" w:sz="6" w:space="0"/>
                    <w:right w:val="single" w:color="auto" w:sz="2"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38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70" w:type="pct"/>
                  <w:tcBorders>
                    <w:top w:val="single" w:color="auto" w:sz="6" w:space="0"/>
                    <w:left w:val="single" w:color="auto" w:sz="2"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20</w:t>
                  </w:r>
                </w:p>
              </w:tc>
              <w:tc>
                <w:tcPr>
                  <w:tcW w:w="1164" w:type="pct"/>
                  <w:tcBorders>
                    <w:top w:val="single" w:color="auto" w:sz="6"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26</w:t>
                  </w:r>
                </w:p>
              </w:tc>
              <w:tc>
                <w:tcPr>
                  <w:tcW w:w="1415" w:type="pct"/>
                  <w:tcBorders>
                    <w:top w:val="single" w:color="auto" w:sz="6"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100</w:t>
                  </w:r>
                </w:p>
              </w:tc>
              <w:tc>
                <w:tcPr>
                  <w:tcW w:w="1250" w:type="pct"/>
                  <w:tcBorders>
                    <w:top w:val="single" w:color="auto" w:sz="6" w:space="0"/>
                    <w:left w:val="single" w:color="auto" w:sz="6" w:space="0"/>
                    <w:bottom w:val="single" w:color="auto" w:sz="6" w:space="0"/>
                    <w:right w:val="single" w:color="auto" w:sz="2"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40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70" w:type="pct"/>
                  <w:tcBorders>
                    <w:top w:val="single" w:color="auto" w:sz="6" w:space="0"/>
                    <w:left w:val="single" w:color="auto" w:sz="2"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40</w:t>
                  </w:r>
                </w:p>
              </w:tc>
              <w:tc>
                <w:tcPr>
                  <w:tcW w:w="1164" w:type="pct"/>
                  <w:tcBorders>
                    <w:top w:val="single" w:color="auto" w:sz="6"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32</w:t>
                  </w:r>
                </w:p>
              </w:tc>
              <w:tc>
                <w:tcPr>
                  <w:tcW w:w="1415" w:type="pct"/>
                  <w:tcBorders>
                    <w:top w:val="single" w:color="auto" w:sz="6" w:space="0"/>
                    <w:left w:val="single" w:color="auto" w:sz="6" w:space="0"/>
                    <w:bottom w:val="single" w:color="auto" w:sz="6"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150</w:t>
                  </w:r>
                </w:p>
              </w:tc>
              <w:tc>
                <w:tcPr>
                  <w:tcW w:w="1250" w:type="pct"/>
                  <w:tcBorders>
                    <w:top w:val="single" w:color="auto" w:sz="6" w:space="0"/>
                    <w:left w:val="single" w:color="auto" w:sz="6" w:space="0"/>
                    <w:bottom w:val="single" w:color="auto" w:sz="6" w:space="0"/>
                    <w:right w:val="single" w:color="auto" w:sz="2"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43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70" w:type="pct"/>
                  <w:tcBorders>
                    <w:top w:val="single" w:color="auto" w:sz="6" w:space="0"/>
                    <w:left w:val="single" w:color="auto" w:sz="2" w:space="0"/>
                    <w:bottom w:val="single" w:color="auto" w:sz="2"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50</w:t>
                  </w:r>
                </w:p>
              </w:tc>
              <w:tc>
                <w:tcPr>
                  <w:tcW w:w="1164" w:type="pct"/>
                  <w:tcBorders>
                    <w:top w:val="single" w:color="auto" w:sz="6" w:space="0"/>
                    <w:left w:val="single" w:color="auto" w:sz="6" w:space="0"/>
                    <w:bottom w:val="single" w:color="auto" w:sz="2"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34</w:t>
                  </w:r>
                </w:p>
              </w:tc>
              <w:tc>
                <w:tcPr>
                  <w:tcW w:w="1415" w:type="pct"/>
                  <w:tcBorders>
                    <w:top w:val="single" w:color="auto" w:sz="6" w:space="0"/>
                    <w:left w:val="single" w:color="auto" w:sz="6" w:space="0"/>
                    <w:bottom w:val="single" w:color="auto" w:sz="2" w:space="0"/>
                    <w:right w:val="single" w:color="auto" w:sz="6"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200</w:t>
                  </w:r>
                </w:p>
              </w:tc>
              <w:tc>
                <w:tcPr>
                  <w:tcW w:w="1250" w:type="pct"/>
                  <w:tcBorders>
                    <w:top w:val="single" w:color="auto" w:sz="6" w:space="0"/>
                    <w:left w:val="single" w:color="auto" w:sz="6" w:space="0"/>
                    <w:bottom w:val="single" w:color="auto" w:sz="2" w:space="0"/>
                    <w:right w:val="single" w:color="auto" w:sz="2" w:space="0"/>
                  </w:tcBorders>
                  <w:noWrap w:val="0"/>
                  <w:vAlign w:val="center"/>
                </w:tcPr>
                <w:p>
                  <w:pPr>
                    <w:pStyle w:val="47"/>
                    <w:bidi w:val="0"/>
                    <w:rPr>
                      <w:rFonts w:hint="default" w:ascii="Times New Roman" w:hAnsi="Times New Roman" w:cs="Times New Roman"/>
                      <w:b w:val="0"/>
                      <w:bCs w:val="0"/>
                      <w:color w:val="000000"/>
                    </w:rPr>
                  </w:pPr>
                  <w:r>
                    <w:rPr>
                      <w:rFonts w:hint="default" w:ascii="Times New Roman" w:hAnsi="Times New Roman" w:cs="Times New Roman"/>
                      <w:b w:val="0"/>
                      <w:bCs w:val="0"/>
                      <w:color w:val="000000"/>
                    </w:rPr>
                    <w:t>46</w:t>
                  </w:r>
                </w:p>
              </w:tc>
            </w:tr>
          </w:tbl>
          <w:p>
            <w:pPr>
              <w:pStyle w:val="10"/>
              <w:bidi w:val="0"/>
              <w:jc w:val="center"/>
              <w:rPr>
                <w:rFonts w:hint="default" w:ascii="Times New Roman" w:hAnsi="Times New Roman" w:cs="Times New Roman"/>
                <w:color w:val="000000"/>
              </w:rPr>
            </w:pPr>
            <w:r>
              <w:rPr>
                <w:rFonts w:hint="default" w:ascii="Times New Roman" w:hAnsi="Times New Roman" w:cs="Times New Roman"/>
                <w:color w:val="000000"/>
              </w:rPr>
              <w:t>表4-</w:t>
            </w:r>
            <w:r>
              <w:rPr>
                <w:rFonts w:hint="eastAsia" w:ascii="Times New Roman" w:hAnsi="Times New Roman" w:cs="Times New Roman"/>
                <w:color w:val="000000"/>
                <w:lang w:val="en-US" w:eastAsia="zh-CN"/>
              </w:rPr>
              <w:t>1</w:t>
            </w:r>
            <w:r>
              <w:rPr>
                <w:rFonts w:hint="eastAsia" w:cs="Times New Roman"/>
                <w:color w:val="000000"/>
                <w:lang w:val="en-US" w:eastAsia="zh-CN"/>
              </w:rPr>
              <w:t>4</w:t>
            </w:r>
            <w:r>
              <w:rPr>
                <w:rFonts w:hint="default" w:ascii="Times New Roman" w:hAnsi="Times New Roman" w:cs="Times New Roman"/>
                <w:color w:val="000000"/>
              </w:rPr>
              <w:t>距声源不同距离（m）时的噪声贡献值</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723"/>
              <w:gridCol w:w="732"/>
              <w:gridCol w:w="689"/>
              <w:gridCol w:w="689"/>
              <w:gridCol w:w="833"/>
              <w:gridCol w:w="689"/>
              <w:gridCol w:w="689"/>
              <w:gridCol w:w="990"/>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pct"/>
                  <w:vMerge w:val="restar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机械名称</w:t>
                  </w:r>
                </w:p>
              </w:tc>
              <w:tc>
                <w:tcPr>
                  <w:tcW w:w="438" w:type="pct"/>
                  <w:vMerge w:val="restar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源强</w:t>
                  </w:r>
                </w:p>
              </w:tc>
              <w:tc>
                <w:tcPr>
                  <w:tcW w:w="3737" w:type="pct"/>
                  <w:gridSpan w:val="8"/>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距声源不同距离（m）时的噪声贡献值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824" w:type="pct"/>
                  <w:vMerge w:val="continue"/>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rPr>
                  </w:pPr>
                </w:p>
              </w:tc>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rPr>
                  </w:pPr>
                </w:p>
              </w:tc>
              <w:tc>
                <w:tcPr>
                  <w:tcW w:w="443"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10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20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40</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50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60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80</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100</w:t>
                  </w:r>
                </w:p>
              </w:tc>
              <w:tc>
                <w:tcPr>
                  <w:tcW w:w="521"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pct"/>
                  <w:tcBorders>
                    <w:top w:val="single" w:color="auto" w:sz="4" w:space="0"/>
                    <w:left w:val="single" w:color="auto" w:sz="4" w:space="0"/>
                    <w:bottom w:val="single" w:color="auto" w:sz="4" w:space="0"/>
                    <w:right w:val="single" w:color="auto" w:sz="4" w:space="0"/>
                  </w:tcBorders>
                  <w:noWrap w:val="0"/>
                  <w:vAlign w:val="center"/>
                </w:tcPr>
                <w:p>
                  <w:pPr>
                    <w:pStyle w:val="18"/>
                    <w:adjustRightInd w:val="0"/>
                    <w:snapToGrid w:val="0"/>
                    <w:spacing w:line="340" w:lineRule="exact"/>
                    <w:ind w:firstLine="0" w:firstLineChars="0"/>
                    <w:jc w:val="center"/>
                    <w:rPr>
                      <w:rFonts w:hint="default" w:ascii="Times New Roman" w:hAnsi="Times New Roman" w:eastAsia="宋体" w:cs="Times New Roman"/>
                      <w:b w:val="0"/>
                      <w:bCs w:val="0"/>
                      <w:lang w:eastAsia="zh-CN"/>
                    </w:rPr>
                  </w:pPr>
                  <w:r>
                    <w:rPr>
                      <w:rFonts w:ascii="Times New Roman" w:hAnsi="Times New Roman" w:cs="Times New Roman"/>
                      <w:snapToGrid w:val="0"/>
                      <w:color w:val="000000" w:themeColor="text1"/>
                      <w:sz w:val="21"/>
                      <w:szCs w:val="21"/>
                      <w:lang w:val="en-US"/>
                      <w14:textFill>
                        <w14:solidFill>
                          <w14:schemeClr w14:val="tx1"/>
                        </w14:solidFill>
                      </w14:textFill>
                    </w:rPr>
                    <w:t>中空成型挤出机</w:t>
                  </w:r>
                </w:p>
              </w:tc>
              <w:tc>
                <w:tcPr>
                  <w:tcW w:w="724" w:type="dxa"/>
                  <w:tcBorders>
                    <w:top w:val="single" w:color="auto" w:sz="4" w:space="0"/>
                    <w:left w:val="single" w:color="auto" w:sz="4" w:space="0"/>
                    <w:bottom w:val="single" w:color="auto" w:sz="4" w:space="0"/>
                    <w:right w:val="single" w:color="auto" w:sz="4" w:space="0"/>
                  </w:tcBorders>
                  <w:noWrap w:val="0"/>
                  <w:vAlign w:val="center"/>
                </w:tcPr>
                <w:p>
                  <w:pPr>
                    <w:pStyle w:val="47"/>
                    <w:ind w:firstLine="0" w:firstLineChars="0"/>
                    <w:rPr>
                      <w:rFonts w:hint="default" w:ascii="Times New Roman" w:hAnsi="Times New Roman" w:eastAsia="宋体" w:cs="Times New Roman"/>
                      <w:b w:val="0"/>
                      <w:bCs w:val="0"/>
                      <w:lang w:val="en-US" w:eastAsia="zh-CN"/>
                    </w:rPr>
                  </w:pPr>
                  <w:r>
                    <w:rPr>
                      <w:rFonts w:hint="eastAsia"/>
                      <w:b w:val="0"/>
                      <w:bCs w:val="0"/>
                    </w:rPr>
                    <w:t>71</w:t>
                  </w:r>
                </w:p>
              </w:tc>
              <w:tc>
                <w:tcPr>
                  <w:tcW w:w="443"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51</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45</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39</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37</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36</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33</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31</w:t>
                  </w:r>
                </w:p>
              </w:tc>
              <w:tc>
                <w:tcPr>
                  <w:tcW w:w="521"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pct"/>
                  <w:tcBorders>
                    <w:top w:val="single" w:color="auto" w:sz="4" w:space="0"/>
                    <w:left w:val="single" w:color="auto" w:sz="4" w:space="0"/>
                    <w:bottom w:val="single" w:color="auto" w:sz="4" w:space="0"/>
                    <w:right w:val="single" w:color="auto" w:sz="4" w:space="0"/>
                  </w:tcBorders>
                  <w:noWrap w:val="0"/>
                  <w:vAlign w:val="center"/>
                </w:tcPr>
                <w:p>
                  <w:pPr>
                    <w:pStyle w:val="18"/>
                    <w:adjustRightInd w:val="0"/>
                    <w:snapToGrid w:val="0"/>
                    <w:spacing w:line="340" w:lineRule="exact"/>
                    <w:ind w:firstLine="0" w:firstLineChars="0"/>
                    <w:jc w:val="center"/>
                    <w:rPr>
                      <w:rFonts w:hint="default" w:ascii="Times New Roman" w:hAnsi="Times New Roman" w:eastAsia="宋体" w:cs="Times New Roman"/>
                      <w:b w:val="0"/>
                      <w:bCs w:val="0"/>
                      <w:lang w:eastAsia="zh-CN"/>
                    </w:rPr>
                  </w:pPr>
                  <w:r>
                    <w:rPr>
                      <w:rFonts w:ascii="Times New Roman" w:hAnsi="Times New Roman" w:cs="Times New Roman"/>
                      <w:snapToGrid w:val="0"/>
                      <w:color w:val="000000" w:themeColor="text1"/>
                      <w:sz w:val="21"/>
                      <w:szCs w:val="21"/>
                      <w:lang w:val="en-US"/>
                      <w14:textFill>
                        <w14:solidFill>
                          <w14:schemeClr w14:val="tx1"/>
                        </w14:solidFill>
                      </w14:textFill>
                    </w:rPr>
                    <w:t>自动吸料机</w:t>
                  </w:r>
                </w:p>
              </w:tc>
              <w:tc>
                <w:tcPr>
                  <w:tcW w:w="724" w:type="dxa"/>
                  <w:tcBorders>
                    <w:top w:val="single" w:color="auto" w:sz="4" w:space="0"/>
                    <w:left w:val="single" w:color="auto" w:sz="4" w:space="0"/>
                    <w:bottom w:val="single" w:color="auto" w:sz="4" w:space="0"/>
                    <w:right w:val="single" w:color="auto" w:sz="4" w:space="0"/>
                  </w:tcBorders>
                  <w:noWrap w:val="0"/>
                  <w:vAlign w:val="center"/>
                </w:tcPr>
                <w:p>
                  <w:pPr>
                    <w:pStyle w:val="47"/>
                    <w:ind w:firstLine="0" w:firstLineChars="0"/>
                    <w:rPr>
                      <w:rFonts w:hint="default" w:ascii="Times New Roman" w:hAnsi="Times New Roman" w:eastAsia="宋体" w:cs="Times New Roman"/>
                      <w:b w:val="0"/>
                      <w:bCs w:val="0"/>
                      <w:lang w:eastAsia="zh-CN"/>
                    </w:rPr>
                  </w:pPr>
                  <w:r>
                    <w:rPr>
                      <w:rFonts w:hint="eastAsia"/>
                      <w:b w:val="0"/>
                      <w:bCs w:val="0"/>
                    </w:rPr>
                    <w:t>71</w:t>
                  </w:r>
                </w:p>
              </w:tc>
              <w:tc>
                <w:tcPr>
                  <w:tcW w:w="443"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51</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45</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39</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37</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36</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33</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31</w:t>
                  </w:r>
                </w:p>
              </w:tc>
              <w:tc>
                <w:tcPr>
                  <w:tcW w:w="521"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pct"/>
                  <w:tcBorders>
                    <w:top w:val="single" w:color="auto" w:sz="4" w:space="0"/>
                    <w:left w:val="single" w:color="auto" w:sz="4" w:space="0"/>
                    <w:bottom w:val="single" w:color="auto" w:sz="4" w:space="0"/>
                    <w:right w:val="single" w:color="auto" w:sz="4" w:space="0"/>
                  </w:tcBorders>
                  <w:noWrap w:val="0"/>
                  <w:vAlign w:val="center"/>
                </w:tcPr>
                <w:p>
                  <w:pPr>
                    <w:pStyle w:val="18"/>
                    <w:adjustRightInd w:val="0"/>
                    <w:snapToGrid w:val="0"/>
                    <w:spacing w:line="340" w:lineRule="exact"/>
                    <w:ind w:firstLine="0" w:firstLineChars="0"/>
                    <w:jc w:val="center"/>
                    <w:rPr>
                      <w:rFonts w:hint="default" w:ascii="Times New Roman" w:hAnsi="Times New Roman" w:eastAsia="宋体" w:cs="Times New Roman"/>
                      <w:b w:val="0"/>
                      <w:bCs w:val="0"/>
                      <w:lang w:eastAsia="zh-CN"/>
                    </w:rPr>
                  </w:pPr>
                  <w:r>
                    <w:rPr>
                      <w:rFonts w:ascii="Times New Roman" w:hAnsi="Times New Roman" w:cs="Times New Roman"/>
                      <w:snapToGrid w:val="0"/>
                      <w:color w:val="000000" w:themeColor="text1"/>
                      <w:sz w:val="21"/>
                      <w:szCs w:val="21"/>
                      <w:lang w:val="en-US"/>
                      <w14:textFill>
                        <w14:solidFill>
                          <w14:schemeClr w14:val="tx1"/>
                        </w14:solidFill>
                      </w14:textFill>
                    </w:rPr>
                    <w:t>工业智能冷水机</w:t>
                  </w:r>
                </w:p>
              </w:tc>
              <w:tc>
                <w:tcPr>
                  <w:tcW w:w="724" w:type="dxa"/>
                  <w:tcBorders>
                    <w:top w:val="single" w:color="auto" w:sz="4" w:space="0"/>
                    <w:left w:val="single" w:color="auto" w:sz="4" w:space="0"/>
                    <w:bottom w:val="single" w:color="auto" w:sz="4" w:space="0"/>
                    <w:right w:val="single" w:color="auto" w:sz="4" w:space="0"/>
                  </w:tcBorders>
                  <w:noWrap w:val="0"/>
                  <w:vAlign w:val="center"/>
                </w:tcPr>
                <w:p>
                  <w:pPr>
                    <w:pStyle w:val="47"/>
                    <w:ind w:firstLine="0" w:firstLineChars="0"/>
                    <w:rPr>
                      <w:rFonts w:hint="default" w:ascii="Times New Roman" w:hAnsi="Times New Roman" w:eastAsia="宋体" w:cs="Times New Roman"/>
                      <w:b w:val="0"/>
                      <w:bCs w:val="0"/>
                      <w:lang w:val="en-US" w:eastAsia="zh-CN"/>
                    </w:rPr>
                  </w:pPr>
                  <w:r>
                    <w:rPr>
                      <w:rFonts w:hint="eastAsia"/>
                      <w:b w:val="0"/>
                      <w:bCs w:val="0"/>
                    </w:rPr>
                    <w:t>73.5</w:t>
                  </w:r>
                </w:p>
              </w:tc>
              <w:tc>
                <w:tcPr>
                  <w:tcW w:w="443"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53.5</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47.5</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41.5</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37.5</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36.5</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33.5</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31.5</w:t>
                  </w:r>
                </w:p>
              </w:tc>
              <w:tc>
                <w:tcPr>
                  <w:tcW w:w="521"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4" w:type="pct"/>
                  <w:tcBorders>
                    <w:top w:val="single" w:color="auto" w:sz="4" w:space="0"/>
                    <w:left w:val="single" w:color="auto" w:sz="4" w:space="0"/>
                    <w:bottom w:val="single" w:color="auto" w:sz="4" w:space="0"/>
                    <w:right w:val="single" w:color="auto" w:sz="4" w:space="0"/>
                  </w:tcBorders>
                  <w:noWrap w:val="0"/>
                  <w:vAlign w:val="center"/>
                </w:tcPr>
                <w:p>
                  <w:pPr>
                    <w:pStyle w:val="18"/>
                    <w:adjustRightInd w:val="0"/>
                    <w:snapToGrid w:val="0"/>
                    <w:spacing w:line="340" w:lineRule="exact"/>
                    <w:ind w:firstLine="0" w:firstLineChars="0"/>
                    <w:jc w:val="center"/>
                    <w:rPr>
                      <w:rFonts w:hint="default" w:ascii="Times New Roman" w:hAnsi="Times New Roman" w:eastAsia="宋体" w:cs="Times New Roman"/>
                      <w:b w:val="0"/>
                      <w:bCs w:val="0"/>
                      <w:lang w:eastAsia="zh-CN"/>
                    </w:rPr>
                  </w:pPr>
                  <w:r>
                    <w:rPr>
                      <w:rFonts w:ascii="Times New Roman" w:hAnsi="Times New Roman" w:cs="Times New Roman"/>
                      <w:snapToGrid w:val="0"/>
                      <w:color w:val="000000" w:themeColor="text1"/>
                      <w:sz w:val="21"/>
                      <w:szCs w:val="21"/>
                      <w:lang w:val="en-US"/>
                      <w14:textFill>
                        <w14:solidFill>
                          <w14:schemeClr w14:val="tx1"/>
                        </w14:solidFill>
                      </w14:textFill>
                    </w:rPr>
                    <w:t>注塑机</w:t>
                  </w:r>
                </w:p>
              </w:tc>
              <w:tc>
                <w:tcPr>
                  <w:tcW w:w="724" w:type="dxa"/>
                  <w:tcBorders>
                    <w:top w:val="single" w:color="auto" w:sz="4" w:space="0"/>
                    <w:left w:val="single" w:color="auto" w:sz="4" w:space="0"/>
                    <w:bottom w:val="single" w:color="auto" w:sz="4" w:space="0"/>
                    <w:right w:val="single" w:color="auto" w:sz="4" w:space="0"/>
                  </w:tcBorders>
                  <w:noWrap w:val="0"/>
                  <w:vAlign w:val="center"/>
                </w:tcPr>
                <w:p>
                  <w:pPr>
                    <w:pStyle w:val="47"/>
                    <w:ind w:firstLine="0" w:firstLineChars="0"/>
                    <w:rPr>
                      <w:rFonts w:hint="default" w:ascii="Times New Roman" w:hAnsi="Times New Roman" w:eastAsia="宋体" w:cs="Times New Roman"/>
                      <w:b w:val="0"/>
                      <w:bCs w:val="0"/>
                      <w:lang w:val="en-US" w:eastAsia="zh-CN"/>
                    </w:rPr>
                  </w:pPr>
                  <w:r>
                    <w:rPr>
                      <w:rFonts w:hint="eastAsia"/>
                      <w:b w:val="0"/>
                      <w:bCs w:val="0"/>
                    </w:rPr>
                    <w:t>65</w:t>
                  </w:r>
                </w:p>
              </w:tc>
              <w:tc>
                <w:tcPr>
                  <w:tcW w:w="443"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45</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39</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33</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31</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27</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25</w:t>
                  </w:r>
                </w:p>
              </w:tc>
              <w:tc>
                <w:tcPr>
                  <w:tcW w:w="521"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pct"/>
                  <w:tcBorders>
                    <w:top w:val="single" w:color="auto" w:sz="4" w:space="0"/>
                    <w:left w:val="single" w:color="auto" w:sz="4" w:space="0"/>
                    <w:bottom w:val="single" w:color="auto" w:sz="4" w:space="0"/>
                    <w:right w:val="single" w:color="auto" w:sz="4" w:space="0"/>
                  </w:tcBorders>
                  <w:noWrap w:val="0"/>
                  <w:vAlign w:val="center"/>
                </w:tcPr>
                <w:p>
                  <w:pPr>
                    <w:pStyle w:val="18"/>
                    <w:adjustRightInd w:val="0"/>
                    <w:snapToGrid w:val="0"/>
                    <w:spacing w:line="340" w:lineRule="exact"/>
                    <w:ind w:firstLine="0" w:firstLineChars="0"/>
                    <w:jc w:val="center"/>
                    <w:rPr>
                      <w:rFonts w:hint="default" w:ascii="Times New Roman" w:hAnsi="Times New Roman" w:eastAsia="宋体" w:cs="Times New Roman"/>
                      <w:b w:val="0"/>
                      <w:bCs w:val="0"/>
                      <w:lang w:eastAsia="zh-CN"/>
                    </w:rPr>
                  </w:pPr>
                  <w:r>
                    <w:rPr>
                      <w:rFonts w:ascii="Times New Roman" w:hAnsi="Times New Roman" w:cs="Times New Roman"/>
                      <w:snapToGrid w:val="0"/>
                      <w:color w:val="000000" w:themeColor="text1"/>
                      <w:sz w:val="21"/>
                      <w:szCs w:val="21"/>
                      <w:lang w:val="en-US"/>
                      <w14:textFill>
                        <w14:solidFill>
                          <w14:schemeClr w14:val="tx1"/>
                        </w14:solidFill>
                      </w14:textFill>
                    </w:rPr>
                    <w:t>真空吸料机</w:t>
                  </w:r>
                </w:p>
              </w:tc>
              <w:tc>
                <w:tcPr>
                  <w:tcW w:w="724" w:type="dxa"/>
                  <w:tcBorders>
                    <w:top w:val="single" w:color="auto" w:sz="4" w:space="0"/>
                    <w:left w:val="single" w:color="auto" w:sz="4" w:space="0"/>
                    <w:bottom w:val="single" w:color="auto" w:sz="4" w:space="0"/>
                    <w:right w:val="single" w:color="auto" w:sz="4" w:space="0"/>
                  </w:tcBorders>
                  <w:noWrap w:val="0"/>
                  <w:vAlign w:val="center"/>
                </w:tcPr>
                <w:p>
                  <w:pPr>
                    <w:pStyle w:val="47"/>
                    <w:ind w:firstLine="0" w:firstLineChars="0"/>
                    <w:rPr>
                      <w:rFonts w:hint="default" w:ascii="Times New Roman" w:hAnsi="Times New Roman" w:eastAsia="宋体" w:cs="Times New Roman"/>
                      <w:b w:val="0"/>
                      <w:bCs w:val="0"/>
                      <w:lang w:val="en-US" w:eastAsia="zh-CN"/>
                    </w:rPr>
                  </w:pPr>
                  <w:r>
                    <w:rPr>
                      <w:rFonts w:hint="eastAsia"/>
                      <w:b w:val="0"/>
                      <w:bCs w:val="0"/>
                    </w:rPr>
                    <w:t>73</w:t>
                  </w:r>
                </w:p>
              </w:tc>
              <w:tc>
                <w:tcPr>
                  <w:tcW w:w="443"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53</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47</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41</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37</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36</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33</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33</w:t>
                  </w:r>
                </w:p>
              </w:tc>
              <w:tc>
                <w:tcPr>
                  <w:tcW w:w="521"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pct"/>
                  <w:tcBorders>
                    <w:top w:val="single" w:color="auto" w:sz="4" w:space="0"/>
                    <w:left w:val="single" w:color="auto" w:sz="4" w:space="0"/>
                    <w:bottom w:val="single" w:color="auto" w:sz="4" w:space="0"/>
                    <w:right w:val="single" w:color="auto" w:sz="4" w:space="0"/>
                  </w:tcBorders>
                  <w:noWrap w:val="0"/>
                  <w:vAlign w:val="center"/>
                </w:tcPr>
                <w:p>
                  <w:pPr>
                    <w:pStyle w:val="18"/>
                    <w:adjustRightInd w:val="0"/>
                    <w:snapToGrid w:val="0"/>
                    <w:spacing w:line="340" w:lineRule="exact"/>
                    <w:ind w:firstLine="0" w:firstLineChars="0"/>
                    <w:jc w:val="center"/>
                    <w:rPr>
                      <w:rFonts w:hint="default" w:ascii="Times New Roman" w:hAnsi="Times New Roman" w:eastAsia="宋体" w:cs="Times New Roman"/>
                      <w:b w:val="0"/>
                      <w:bCs w:val="0"/>
                      <w:lang w:eastAsia="zh-CN"/>
                    </w:rPr>
                  </w:pPr>
                  <w:r>
                    <w:rPr>
                      <w:rFonts w:ascii="Times New Roman" w:hAnsi="Times New Roman" w:cs="Times New Roman"/>
                      <w:snapToGrid w:val="0"/>
                      <w:color w:val="000000" w:themeColor="text1"/>
                      <w:sz w:val="21"/>
                      <w:szCs w:val="21"/>
                      <w:lang w:val="en-US"/>
                      <w14:textFill>
                        <w14:solidFill>
                          <w14:schemeClr w14:val="tx1"/>
                        </w14:solidFill>
                      </w14:textFill>
                    </w:rPr>
                    <w:t>空气压缩机</w:t>
                  </w:r>
                </w:p>
              </w:tc>
              <w:tc>
                <w:tcPr>
                  <w:tcW w:w="724" w:type="dxa"/>
                  <w:tcBorders>
                    <w:top w:val="single" w:color="auto" w:sz="4" w:space="0"/>
                    <w:left w:val="single" w:color="auto" w:sz="4" w:space="0"/>
                    <w:bottom w:val="single" w:color="auto" w:sz="4" w:space="0"/>
                    <w:right w:val="single" w:color="auto" w:sz="4" w:space="0"/>
                  </w:tcBorders>
                  <w:noWrap w:val="0"/>
                  <w:vAlign w:val="center"/>
                </w:tcPr>
                <w:p>
                  <w:pPr>
                    <w:pStyle w:val="47"/>
                    <w:ind w:firstLine="0" w:firstLineChars="0"/>
                    <w:rPr>
                      <w:rFonts w:hint="default" w:ascii="Times New Roman" w:hAnsi="Times New Roman" w:eastAsia="宋体" w:cs="Times New Roman"/>
                      <w:b w:val="0"/>
                      <w:bCs w:val="0"/>
                      <w:lang w:val="en-US" w:eastAsia="zh-CN"/>
                    </w:rPr>
                  </w:pPr>
                  <w:r>
                    <w:rPr>
                      <w:rFonts w:hint="eastAsia"/>
                      <w:b w:val="0"/>
                      <w:bCs w:val="0"/>
                    </w:rPr>
                    <w:t>70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50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44</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38</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36</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35</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32</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30</w:t>
                  </w:r>
                </w:p>
              </w:tc>
              <w:tc>
                <w:tcPr>
                  <w:tcW w:w="521"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pct"/>
                  <w:tcBorders>
                    <w:top w:val="single" w:color="auto" w:sz="4" w:space="0"/>
                    <w:left w:val="single" w:color="auto" w:sz="4" w:space="0"/>
                    <w:bottom w:val="single" w:color="auto" w:sz="4" w:space="0"/>
                    <w:right w:val="single" w:color="auto" w:sz="4" w:space="0"/>
                  </w:tcBorders>
                  <w:noWrap w:val="0"/>
                  <w:vAlign w:val="center"/>
                </w:tcPr>
                <w:p>
                  <w:pPr>
                    <w:pStyle w:val="18"/>
                    <w:adjustRightInd w:val="0"/>
                    <w:snapToGrid w:val="0"/>
                    <w:spacing w:line="340" w:lineRule="exact"/>
                    <w:ind w:firstLine="0" w:firstLineChars="0"/>
                    <w:jc w:val="center"/>
                    <w:rPr>
                      <w:rFonts w:hint="default" w:ascii="Times New Roman" w:hAnsi="Times New Roman" w:eastAsia="宋体" w:cs="Times New Roman"/>
                      <w:b w:val="0"/>
                      <w:bCs w:val="0"/>
                      <w:lang w:val="en-US" w:eastAsia="zh-CN"/>
                    </w:rPr>
                  </w:pPr>
                  <w:r>
                    <w:rPr>
                      <w:rFonts w:ascii="Times New Roman" w:hAnsi="Times New Roman" w:cs="Times New Roman"/>
                      <w:snapToGrid w:val="0"/>
                      <w:color w:val="000000" w:themeColor="text1"/>
                      <w:sz w:val="21"/>
                      <w:szCs w:val="21"/>
                      <w:lang w:val="en-US"/>
                      <w14:textFill>
                        <w14:solidFill>
                          <w14:schemeClr w14:val="tx1"/>
                        </w14:solidFill>
                      </w14:textFill>
                    </w:rPr>
                    <w:t>破碎机</w:t>
                  </w:r>
                </w:p>
              </w:tc>
              <w:tc>
                <w:tcPr>
                  <w:tcW w:w="724" w:type="dxa"/>
                  <w:tcBorders>
                    <w:top w:val="single" w:color="auto" w:sz="4" w:space="0"/>
                    <w:left w:val="single" w:color="auto" w:sz="4" w:space="0"/>
                    <w:bottom w:val="single" w:color="auto" w:sz="4" w:space="0"/>
                    <w:right w:val="single" w:color="auto" w:sz="4" w:space="0"/>
                  </w:tcBorders>
                  <w:noWrap w:val="0"/>
                  <w:vAlign w:val="center"/>
                </w:tcPr>
                <w:p>
                  <w:pPr>
                    <w:pStyle w:val="47"/>
                    <w:ind w:firstLine="0" w:firstLineChars="0"/>
                    <w:rPr>
                      <w:rFonts w:hint="default" w:ascii="Times New Roman" w:hAnsi="Times New Roman" w:eastAsia="宋体" w:cs="Times New Roman"/>
                      <w:b w:val="0"/>
                      <w:bCs w:val="0"/>
                      <w:lang w:val="en-US" w:eastAsia="zh-CN"/>
                    </w:rPr>
                  </w:pPr>
                  <w:r>
                    <w:rPr>
                      <w:rFonts w:hint="eastAsia"/>
                      <w:b w:val="0"/>
                      <w:bCs w:val="0"/>
                    </w:rPr>
                    <w:t>70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50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44</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38</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36</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35</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32</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30</w:t>
                  </w:r>
                </w:p>
              </w:tc>
              <w:tc>
                <w:tcPr>
                  <w:tcW w:w="521" w:type="pct"/>
                  <w:tcBorders>
                    <w:top w:val="single" w:color="auto" w:sz="4" w:space="0"/>
                    <w:left w:val="single" w:color="auto" w:sz="4" w:space="0"/>
                    <w:bottom w:val="single" w:color="auto" w:sz="4" w:space="0"/>
                    <w:right w:val="single" w:color="auto" w:sz="4" w:space="0"/>
                  </w:tcBorders>
                  <w:noWrap w:val="0"/>
                  <w:vAlign w:val="center"/>
                </w:tcPr>
                <w:p>
                  <w:pPr>
                    <w:pStyle w:val="47"/>
                    <w:bidi w:val="0"/>
                    <w:rPr>
                      <w:rFonts w:hint="default" w:ascii="Times New Roman" w:hAnsi="Times New Roman" w:eastAsia="宋体" w:cs="Times New Roman"/>
                      <w:b w:val="0"/>
                      <w:bCs w:val="0"/>
                      <w:lang w:val="en-US" w:eastAsia="zh-CN"/>
                    </w:rPr>
                  </w:pPr>
                  <w:r>
                    <w:rPr>
                      <w:rFonts w:hint="eastAsia" w:eastAsia="宋体" w:cs="Times New Roman"/>
                      <w:b w:val="0"/>
                      <w:bCs w:val="0"/>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62"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rPr>
                      <w:rFonts w:ascii="Times New Roman" w:hAnsi="Times New Roman" w:cs="Times New Roman"/>
                      <w:snapToGrid w:val="0"/>
                      <w:color w:val="000000" w:themeColor="text1"/>
                      <w:sz w:val="21"/>
                      <w:szCs w:val="21"/>
                      <w:lang w:val="en-US"/>
                      <w14:textFill>
                        <w14:solidFill>
                          <w14:schemeClr w14:val="tx1"/>
                        </w14:solidFill>
                      </w14:textFill>
                    </w:rPr>
                  </w:pPr>
                  <w:r>
                    <w:rPr>
                      <w:rFonts w:hint="default" w:ascii="Times New Roman" w:hAnsi="Times New Roman" w:eastAsia="宋体" w:cs="Times New Roman"/>
                      <w:b w:val="0"/>
                      <w:bCs w:val="0"/>
                      <w:lang w:eastAsia="zh-CN"/>
                    </w:rPr>
                    <w:t>叠加值</w:t>
                  </w:r>
                </w:p>
              </w:tc>
              <w:tc>
                <w:tcPr>
                  <w:tcW w:w="724"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rPr>
                      <w:rFonts w:hint="default"/>
                      <w:b w:val="0"/>
                      <w:bCs w:val="0"/>
                      <w:lang w:val="en-US"/>
                    </w:rPr>
                  </w:pPr>
                  <w:r>
                    <w:rPr>
                      <w:rFonts w:hint="eastAsia" w:eastAsia="宋体" w:cs="Times New Roman"/>
                      <w:b w:val="0"/>
                      <w:bCs w:val="0"/>
                      <w:lang w:val="en-US" w:eastAsia="zh-CN"/>
                    </w:rPr>
                    <w:t>73.54</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rPr>
                      <w:rFonts w:hint="default" w:eastAsia="宋体" w:cs="Times New Roman"/>
                      <w:b w:val="0"/>
                      <w:bCs w:val="0"/>
                      <w:lang w:val="en-US" w:eastAsia="zh-CN"/>
                    </w:rPr>
                  </w:pPr>
                  <w:r>
                    <w:rPr>
                      <w:rFonts w:hint="eastAsia" w:eastAsia="宋体" w:cs="Times New Roman"/>
                      <w:b w:val="0"/>
                      <w:bCs w:val="0"/>
                      <w:lang w:val="en-US" w:eastAsia="zh-CN"/>
                    </w:rPr>
                    <w:t>53.54</w:t>
                  </w:r>
                </w:p>
              </w:tc>
              <w:tc>
                <w:tcPr>
                  <w:tcW w:w="688"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jc w:val="both"/>
                    <w:rPr>
                      <w:rFonts w:hint="default" w:eastAsia="宋体" w:cs="Times New Roman"/>
                      <w:b w:val="0"/>
                      <w:bCs w:val="0"/>
                      <w:lang w:val="en-US" w:eastAsia="zh-CN"/>
                    </w:rPr>
                  </w:pPr>
                  <w:r>
                    <w:rPr>
                      <w:rFonts w:hint="eastAsia" w:eastAsia="宋体" w:cs="Times New Roman"/>
                      <w:b w:val="0"/>
                      <w:bCs w:val="0"/>
                      <w:lang w:val="en-US" w:eastAsia="zh-CN"/>
                    </w:rPr>
                    <w:t>47.54</w:t>
                  </w:r>
                </w:p>
              </w:tc>
              <w:tc>
                <w:tcPr>
                  <w:tcW w:w="688"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rPr>
                      <w:rFonts w:hint="default" w:eastAsia="宋体" w:cs="Times New Roman"/>
                      <w:b w:val="0"/>
                      <w:bCs w:val="0"/>
                      <w:lang w:val="en-US" w:eastAsia="zh-CN"/>
                    </w:rPr>
                  </w:pPr>
                  <w:r>
                    <w:rPr>
                      <w:rFonts w:hint="eastAsia" w:eastAsia="宋体" w:cs="Times New Roman"/>
                      <w:b w:val="0"/>
                      <w:bCs w:val="0"/>
                      <w:lang w:val="en-US" w:eastAsia="zh-CN"/>
                    </w:rPr>
                    <w:t>41.54</w:t>
                  </w:r>
                </w:p>
              </w:tc>
              <w:tc>
                <w:tcPr>
                  <w:tcW w:w="834"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rPr>
                      <w:rFonts w:hint="default" w:eastAsia="宋体" w:cs="Times New Roman"/>
                      <w:b w:val="0"/>
                      <w:bCs w:val="0"/>
                      <w:lang w:val="en-US" w:eastAsia="zh-CN"/>
                    </w:rPr>
                  </w:pPr>
                  <w:r>
                    <w:rPr>
                      <w:rFonts w:hint="eastAsia" w:eastAsia="宋体" w:cs="Times New Roman"/>
                      <w:b w:val="0"/>
                      <w:bCs w:val="0"/>
                      <w:lang w:val="en-US" w:eastAsia="zh-CN"/>
                    </w:rPr>
                    <w:t>37.54</w:t>
                  </w:r>
                </w:p>
              </w:tc>
              <w:tc>
                <w:tcPr>
                  <w:tcW w:w="688"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rPr>
                      <w:rFonts w:hint="default" w:eastAsia="宋体" w:cs="Times New Roman"/>
                      <w:b w:val="0"/>
                      <w:bCs w:val="0"/>
                      <w:lang w:val="en-US" w:eastAsia="zh-CN"/>
                    </w:rPr>
                  </w:pPr>
                  <w:r>
                    <w:rPr>
                      <w:rFonts w:hint="eastAsia" w:eastAsia="宋体" w:cs="Times New Roman"/>
                      <w:b w:val="0"/>
                      <w:bCs w:val="0"/>
                      <w:lang w:val="en-US" w:eastAsia="zh-CN"/>
                    </w:rPr>
                    <w:t>36.54</w:t>
                  </w:r>
                </w:p>
              </w:tc>
              <w:tc>
                <w:tcPr>
                  <w:tcW w:w="688"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rPr>
                      <w:rFonts w:hint="default" w:eastAsia="宋体" w:cs="Times New Roman"/>
                      <w:b w:val="0"/>
                      <w:bCs w:val="0"/>
                      <w:lang w:val="en-US" w:eastAsia="zh-CN"/>
                    </w:rPr>
                  </w:pPr>
                  <w:r>
                    <w:rPr>
                      <w:rFonts w:hint="eastAsia" w:eastAsia="宋体" w:cs="Times New Roman"/>
                      <w:b w:val="0"/>
                      <w:bCs w:val="0"/>
                      <w:lang w:val="en-US" w:eastAsia="zh-CN"/>
                    </w:rPr>
                    <w:t>33.54</w:t>
                  </w:r>
                </w:p>
              </w:tc>
              <w:tc>
                <w:tcPr>
                  <w:tcW w:w="991"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rPr>
                      <w:rFonts w:hint="default" w:eastAsia="宋体" w:cs="Times New Roman"/>
                      <w:b w:val="0"/>
                      <w:bCs w:val="0"/>
                      <w:lang w:val="en-US" w:eastAsia="zh-CN"/>
                    </w:rPr>
                  </w:pPr>
                  <w:r>
                    <w:rPr>
                      <w:rFonts w:hint="eastAsia" w:eastAsia="宋体" w:cs="Times New Roman"/>
                      <w:b w:val="0"/>
                      <w:bCs w:val="0"/>
                      <w:lang w:val="en-US" w:eastAsia="zh-CN"/>
                    </w:rPr>
                    <w:t>31.54</w:t>
                  </w:r>
                </w:p>
              </w:tc>
              <w:tc>
                <w:tcPr>
                  <w:tcW w:w="872" w:type="dxa"/>
                  <w:tcBorders>
                    <w:top w:val="single" w:color="auto" w:sz="4" w:space="0"/>
                    <w:left w:val="single" w:color="auto" w:sz="4" w:space="0"/>
                    <w:bottom w:val="single" w:color="auto" w:sz="4" w:space="0"/>
                    <w:right w:val="single" w:color="auto" w:sz="4" w:space="0"/>
                  </w:tcBorders>
                  <w:noWrap w:val="0"/>
                  <w:vAlign w:val="center"/>
                </w:tcPr>
                <w:p>
                  <w:pPr>
                    <w:pStyle w:val="47"/>
                    <w:bidi w:val="0"/>
                    <w:ind w:firstLine="0" w:firstLineChars="0"/>
                    <w:rPr>
                      <w:rFonts w:hint="default" w:eastAsia="宋体" w:cs="Times New Roman"/>
                      <w:b w:val="0"/>
                      <w:bCs w:val="0"/>
                      <w:lang w:val="en-US" w:eastAsia="zh-CN"/>
                    </w:rPr>
                  </w:pPr>
                  <w:r>
                    <w:rPr>
                      <w:rFonts w:hint="eastAsia" w:eastAsia="宋体" w:cs="Times New Roman"/>
                      <w:b w:val="0"/>
                      <w:bCs w:val="0"/>
                      <w:lang w:val="en-US" w:eastAsia="zh-CN"/>
                    </w:rPr>
                    <w:t>25.54</w:t>
                  </w:r>
                </w:p>
              </w:tc>
            </w:tr>
          </w:tbl>
          <w:p>
            <w:pPr>
              <w:pStyle w:val="10"/>
              <w:rPr>
                <w:color w:val="000000"/>
              </w:rPr>
            </w:pPr>
            <w:r>
              <w:rPr>
                <w:color w:val="000000"/>
              </w:rPr>
              <w:t>表4-15项目厂界噪声最终预测结果一览表单位：dB(A)</w:t>
            </w:r>
          </w:p>
          <w:tbl>
            <w:tblPr>
              <w:tblStyle w:val="26"/>
              <w:tblW w:w="4991"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376"/>
              <w:gridCol w:w="1379"/>
              <w:gridCol w:w="1379"/>
              <w:gridCol w:w="1379"/>
              <w:gridCol w:w="1374"/>
              <w:gridCol w:w="137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833" w:type="pct"/>
                  <w:tcBorders>
                    <w:top w:val="single" w:color="auto" w:sz="2" w:space="0"/>
                    <w:left w:val="single" w:color="auto" w:sz="2" w:space="0"/>
                    <w:bottom w:val="single" w:color="auto" w:sz="6" w:space="0"/>
                    <w:right w:val="single" w:color="auto" w:sz="6" w:space="0"/>
                  </w:tcBorders>
                  <w:vAlign w:val="center"/>
                </w:tcPr>
                <w:p>
                  <w:pPr>
                    <w:pStyle w:val="47"/>
                    <w:rPr>
                      <w:b w:val="0"/>
                      <w:bCs w:val="0"/>
                    </w:rPr>
                  </w:pPr>
                  <w:r>
                    <w:rPr>
                      <w:b w:val="0"/>
                      <w:bCs w:val="0"/>
                    </w:rPr>
                    <w:t>厂界</w:t>
                  </w:r>
                </w:p>
              </w:tc>
              <w:tc>
                <w:tcPr>
                  <w:tcW w:w="834" w:type="pct"/>
                  <w:tcBorders>
                    <w:top w:val="single" w:color="auto" w:sz="2" w:space="0"/>
                    <w:left w:val="single" w:color="auto" w:sz="6" w:space="0"/>
                    <w:bottom w:val="single" w:color="auto" w:sz="6" w:space="0"/>
                    <w:right w:val="single" w:color="auto" w:sz="6" w:space="0"/>
                  </w:tcBorders>
                  <w:vAlign w:val="center"/>
                </w:tcPr>
                <w:p>
                  <w:pPr>
                    <w:pStyle w:val="47"/>
                    <w:rPr>
                      <w:b w:val="0"/>
                      <w:bCs w:val="0"/>
                    </w:rPr>
                  </w:pPr>
                  <w:r>
                    <w:rPr>
                      <w:b w:val="0"/>
                      <w:bCs w:val="0"/>
                    </w:rPr>
                    <w:t>时段</w:t>
                  </w:r>
                </w:p>
              </w:tc>
              <w:tc>
                <w:tcPr>
                  <w:tcW w:w="834" w:type="pct"/>
                  <w:tcBorders>
                    <w:top w:val="single" w:color="auto" w:sz="2" w:space="0"/>
                    <w:left w:val="single" w:color="auto" w:sz="6" w:space="0"/>
                    <w:bottom w:val="single" w:color="auto" w:sz="6" w:space="0"/>
                    <w:right w:val="single" w:color="auto" w:sz="6" w:space="0"/>
                  </w:tcBorders>
                  <w:vAlign w:val="center"/>
                </w:tcPr>
                <w:p>
                  <w:pPr>
                    <w:pStyle w:val="47"/>
                    <w:rPr>
                      <w:b w:val="0"/>
                      <w:bCs w:val="0"/>
                    </w:rPr>
                  </w:pPr>
                  <w:r>
                    <w:rPr>
                      <w:b w:val="0"/>
                      <w:bCs w:val="0"/>
                    </w:rPr>
                    <w:t>距离（米）</w:t>
                  </w:r>
                </w:p>
              </w:tc>
              <w:tc>
                <w:tcPr>
                  <w:tcW w:w="834" w:type="pct"/>
                  <w:tcBorders>
                    <w:top w:val="single" w:color="auto" w:sz="2" w:space="0"/>
                    <w:left w:val="single" w:color="auto" w:sz="6" w:space="0"/>
                    <w:bottom w:val="single" w:color="auto" w:sz="6" w:space="0"/>
                    <w:right w:val="single" w:color="auto" w:sz="2" w:space="0"/>
                  </w:tcBorders>
                  <w:vAlign w:val="center"/>
                </w:tcPr>
                <w:p>
                  <w:pPr>
                    <w:pStyle w:val="47"/>
                    <w:rPr>
                      <w:b w:val="0"/>
                      <w:bCs w:val="0"/>
                    </w:rPr>
                  </w:pPr>
                  <w:r>
                    <w:rPr>
                      <w:b w:val="0"/>
                      <w:bCs w:val="0"/>
                    </w:rPr>
                    <w:t>预测值</w:t>
                  </w:r>
                </w:p>
              </w:tc>
              <w:tc>
                <w:tcPr>
                  <w:tcW w:w="831" w:type="pct"/>
                  <w:tcBorders>
                    <w:top w:val="single" w:color="auto" w:sz="2" w:space="0"/>
                    <w:left w:val="single" w:color="auto" w:sz="6" w:space="0"/>
                    <w:bottom w:val="single" w:color="auto" w:sz="6" w:space="0"/>
                    <w:right w:val="single" w:color="auto" w:sz="2" w:space="0"/>
                  </w:tcBorders>
                  <w:vAlign w:val="center"/>
                </w:tcPr>
                <w:p>
                  <w:pPr>
                    <w:pStyle w:val="47"/>
                    <w:rPr>
                      <w:b w:val="0"/>
                      <w:bCs w:val="0"/>
                    </w:rPr>
                  </w:pPr>
                  <w:r>
                    <w:rPr>
                      <w:b w:val="0"/>
                      <w:bCs w:val="0"/>
                    </w:rPr>
                    <w:t>标准值</w:t>
                  </w:r>
                </w:p>
              </w:tc>
              <w:tc>
                <w:tcPr>
                  <w:tcW w:w="831" w:type="pct"/>
                  <w:tcBorders>
                    <w:top w:val="single" w:color="auto" w:sz="2" w:space="0"/>
                    <w:left w:val="single" w:color="auto" w:sz="6" w:space="0"/>
                    <w:bottom w:val="single" w:color="auto" w:sz="6" w:space="0"/>
                    <w:right w:val="single" w:color="auto" w:sz="2" w:space="0"/>
                  </w:tcBorders>
                  <w:vAlign w:val="center"/>
                </w:tcPr>
                <w:p>
                  <w:pPr>
                    <w:pStyle w:val="47"/>
                    <w:rPr>
                      <w:b w:val="0"/>
                      <w:bCs w:val="0"/>
                    </w:rPr>
                  </w:pPr>
                  <w:r>
                    <w:rPr>
                      <w:b w:val="0"/>
                      <w:bCs w:val="0"/>
                    </w:rPr>
                    <w:t>达标情况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833" w:type="pct"/>
                  <w:vMerge w:val="restart"/>
                  <w:tcBorders>
                    <w:top w:val="single" w:color="auto" w:sz="6" w:space="0"/>
                    <w:left w:val="single" w:color="auto" w:sz="2" w:space="0"/>
                    <w:right w:val="single" w:color="auto" w:sz="6" w:space="0"/>
                  </w:tcBorders>
                  <w:vAlign w:val="center"/>
                </w:tcPr>
                <w:p>
                  <w:pPr>
                    <w:pStyle w:val="47"/>
                    <w:rPr>
                      <w:b w:val="0"/>
                      <w:bCs w:val="0"/>
                    </w:rPr>
                  </w:pPr>
                  <w:r>
                    <w:rPr>
                      <w:b w:val="0"/>
                      <w:bCs w:val="0"/>
                    </w:rPr>
                    <w:t>厂界东</w:t>
                  </w: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b w:val="0"/>
                      <w:bCs w:val="0"/>
                    </w:rPr>
                  </w:pPr>
                  <w:r>
                    <w:rPr>
                      <w:b w:val="0"/>
                      <w:bCs w:val="0"/>
                    </w:rPr>
                    <w:t>昼间</w:t>
                  </w: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rFonts w:hint="default" w:eastAsia="宋体"/>
                      <w:b w:val="0"/>
                      <w:bCs w:val="0"/>
                      <w:lang w:val="en-US" w:eastAsia="zh-CN"/>
                    </w:rPr>
                  </w:pPr>
                  <w:r>
                    <w:rPr>
                      <w:rFonts w:hint="eastAsia"/>
                      <w:b w:val="0"/>
                      <w:bCs w:val="0"/>
                      <w:lang w:val="en-US" w:eastAsia="zh-CN"/>
                    </w:rPr>
                    <w:t>10</w:t>
                  </w:r>
                </w:p>
              </w:tc>
              <w:tc>
                <w:tcPr>
                  <w:tcW w:w="834" w:type="pct"/>
                  <w:tcBorders>
                    <w:top w:val="single" w:color="auto" w:sz="6" w:space="0"/>
                    <w:left w:val="single" w:color="auto" w:sz="6" w:space="0"/>
                    <w:bottom w:val="single" w:color="auto" w:sz="6" w:space="0"/>
                    <w:right w:val="single" w:color="auto" w:sz="2" w:space="0"/>
                  </w:tcBorders>
                  <w:vAlign w:val="center"/>
                </w:tcPr>
                <w:p>
                  <w:pPr>
                    <w:pStyle w:val="47"/>
                    <w:rPr>
                      <w:rFonts w:hint="default" w:eastAsia="宋体"/>
                      <w:b w:val="0"/>
                      <w:bCs w:val="0"/>
                      <w:lang w:val="en-US" w:eastAsia="zh-CN"/>
                    </w:rPr>
                  </w:pPr>
                  <w:r>
                    <w:rPr>
                      <w:rFonts w:hint="eastAsia"/>
                      <w:b w:val="0"/>
                      <w:bCs w:val="0"/>
                      <w:lang w:val="en-US" w:eastAsia="zh-CN"/>
                    </w:rPr>
                    <w:t>53.54</w:t>
                  </w:r>
                </w:p>
              </w:tc>
              <w:tc>
                <w:tcPr>
                  <w:tcW w:w="831"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65</w:t>
                  </w:r>
                </w:p>
              </w:tc>
              <w:tc>
                <w:tcPr>
                  <w:tcW w:w="831"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833" w:type="pct"/>
                  <w:vMerge w:val="continue"/>
                  <w:tcBorders>
                    <w:left w:val="single" w:color="auto" w:sz="2" w:space="0"/>
                    <w:bottom w:val="single" w:color="auto" w:sz="6" w:space="0"/>
                    <w:right w:val="single" w:color="auto" w:sz="6" w:space="0"/>
                  </w:tcBorders>
                  <w:vAlign w:val="center"/>
                </w:tcPr>
                <w:p>
                  <w:pPr>
                    <w:pStyle w:val="47"/>
                    <w:rPr>
                      <w:b w:val="0"/>
                      <w:bCs w:val="0"/>
                    </w:rPr>
                  </w:pP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b w:val="0"/>
                      <w:bCs w:val="0"/>
                    </w:rPr>
                  </w:pPr>
                  <w:r>
                    <w:rPr>
                      <w:b w:val="0"/>
                      <w:bCs w:val="0"/>
                    </w:rPr>
                    <w:t>夜间</w:t>
                  </w: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rFonts w:hint="default" w:eastAsia="宋体"/>
                      <w:b w:val="0"/>
                      <w:bCs w:val="0"/>
                      <w:lang w:val="en-US" w:eastAsia="zh-CN"/>
                    </w:rPr>
                  </w:pPr>
                  <w:r>
                    <w:rPr>
                      <w:rFonts w:hint="eastAsia"/>
                      <w:b w:val="0"/>
                      <w:bCs w:val="0"/>
                      <w:lang w:val="en-US" w:eastAsia="zh-CN"/>
                    </w:rPr>
                    <w:t>10</w:t>
                  </w:r>
                </w:p>
              </w:tc>
              <w:tc>
                <w:tcPr>
                  <w:tcW w:w="834" w:type="pct"/>
                  <w:tcBorders>
                    <w:top w:val="single" w:color="auto" w:sz="6" w:space="0"/>
                    <w:left w:val="single" w:color="auto" w:sz="6" w:space="0"/>
                    <w:bottom w:val="single" w:color="auto" w:sz="6" w:space="0"/>
                    <w:right w:val="single" w:color="auto" w:sz="2" w:space="0"/>
                  </w:tcBorders>
                  <w:vAlign w:val="center"/>
                </w:tcPr>
                <w:p>
                  <w:pPr>
                    <w:pStyle w:val="47"/>
                    <w:rPr>
                      <w:rFonts w:hint="default" w:eastAsia="宋体"/>
                      <w:b w:val="0"/>
                      <w:bCs w:val="0"/>
                      <w:lang w:val="en-US" w:eastAsia="zh-CN"/>
                    </w:rPr>
                  </w:pPr>
                  <w:r>
                    <w:rPr>
                      <w:rFonts w:hint="eastAsia"/>
                      <w:b w:val="0"/>
                      <w:bCs w:val="0"/>
                      <w:lang w:val="en-US" w:eastAsia="zh-CN"/>
                    </w:rPr>
                    <w:t>53.54</w:t>
                  </w:r>
                </w:p>
              </w:tc>
              <w:tc>
                <w:tcPr>
                  <w:tcW w:w="831"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55</w:t>
                  </w:r>
                </w:p>
              </w:tc>
              <w:tc>
                <w:tcPr>
                  <w:tcW w:w="831"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restart"/>
                  <w:tcBorders>
                    <w:top w:val="single" w:color="auto" w:sz="6" w:space="0"/>
                    <w:left w:val="single" w:color="auto" w:sz="2" w:space="0"/>
                    <w:right w:val="single" w:color="auto" w:sz="6" w:space="0"/>
                  </w:tcBorders>
                  <w:vAlign w:val="center"/>
                </w:tcPr>
                <w:p>
                  <w:pPr>
                    <w:pStyle w:val="47"/>
                    <w:rPr>
                      <w:b w:val="0"/>
                      <w:bCs w:val="0"/>
                    </w:rPr>
                  </w:pPr>
                  <w:r>
                    <w:rPr>
                      <w:b w:val="0"/>
                      <w:bCs w:val="0"/>
                    </w:rPr>
                    <w:t>厂界西</w:t>
                  </w:r>
                </w:p>
              </w:tc>
              <w:tc>
                <w:tcPr>
                  <w:tcW w:w="1322" w:type="dxa"/>
                  <w:tcBorders>
                    <w:top w:val="single" w:color="auto" w:sz="6" w:space="0"/>
                    <w:left w:val="single" w:color="auto" w:sz="6" w:space="0"/>
                    <w:bottom w:val="single" w:color="auto" w:sz="6" w:space="0"/>
                    <w:right w:val="single" w:color="auto" w:sz="6" w:space="0"/>
                  </w:tcBorders>
                  <w:vAlign w:val="center"/>
                </w:tcPr>
                <w:p>
                  <w:pPr>
                    <w:pStyle w:val="47"/>
                    <w:rPr>
                      <w:b w:val="0"/>
                      <w:bCs w:val="0"/>
                    </w:rPr>
                  </w:pPr>
                  <w:r>
                    <w:rPr>
                      <w:b w:val="0"/>
                      <w:bCs w:val="0"/>
                    </w:rPr>
                    <w:t>昼间</w:t>
                  </w: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rFonts w:hint="default" w:eastAsia="宋体"/>
                      <w:b w:val="0"/>
                      <w:bCs w:val="0"/>
                      <w:lang w:val="en-US" w:eastAsia="zh-CN"/>
                    </w:rPr>
                  </w:pPr>
                  <w:r>
                    <w:rPr>
                      <w:rFonts w:hint="eastAsia"/>
                      <w:b w:val="0"/>
                      <w:bCs w:val="0"/>
                      <w:lang w:val="en-US" w:eastAsia="zh-CN"/>
                    </w:rPr>
                    <w:t>40</w:t>
                  </w:r>
                </w:p>
              </w:tc>
              <w:tc>
                <w:tcPr>
                  <w:tcW w:w="834" w:type="pct"/>
                  <w:tcBorders>
                    <w:top w:val="single" w:color="auto" w:sz="6" w:space="0"/>
                    <w:left w:val="single" w:color="auto" w:sz="6" w:space="0"/>
                    <w:bottom w:val="single" w:color="auto" w:sz="6" w:space="0"/>
                    <w:right w:val="single" w:color="auto" w:sz="2" w:space="0"/>
                  </w:tcBorders>
                  <w:vAlign w:val="center"/>
                </w:tcPr>
                <w:p>
                  <w:pPr>
                    <w:pStyle w:val="47"/>
                    <w:rPr>
                      <w:rFonts w:hint="default" w:eastAsia="宋体"/>
                      <w:b w:val="0"/>
                      <w:bCs w:val="0"/>
                      <w:lang w:val="en-US" w:eastAsia="zh-CN"/>
                    </w:rPr>
                  </w:pPr>
                  <w:r>
                    <w:rPr>
                      <w:rFonts w:hint="eastAsia"/>
                      <w:b w:val="0"/>
                      <w:bCs w:val="0"/>
                      <w:lang w:val="en-US" w:eastAsia="zh-CN"/>
                    </w:rPr>
                    <w:t>41.54</w:t>
                  </w:r>
                </w:p>
              </w:tc>
              <w:tc>
                <w:tcPr>
                  <w:tcW w:w="831"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65</w:t>
                  </w:r>
                </w:p>
              </w:tc>
              <w:tc>
                <w:tcPr>
                  <w:tcW w:w="831"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833" w:type="pct"/>
                  <w:vMerge w:val="continue"/>
                  <w:tcBorders>
                    <w:left w:val="single" w:color="auto" w:sz="2" w:space="0"/>
                    <w:bottom w:val="single" w:color="auto" w:sz="6" w:space="0"/>
                    <w:right w:val="single" w:color="auto" w:sz="6" w:space="0"/>
                  </w:tcBorders>
                  <w:vAlign w:val="center"/>
                </w:tcPr>
                <w:p>
                  <w:pPr>
                    <w:pStyle w:val="47"/>
                    <w:rPr>
                      <w:b w:val="0"/>
                      <w:bCs w:val="0"/>
                    </w:rPr>
                  </w:pPr>
                </w:p>
              </w:tc>
              <w:tc>
                <w:tcPr>
                  <w:tcW w:w="1322" w:type="dxa"/>
                  <w:tcBorders>
                    <w:top w:val="single" w:color="auto" w:sz="6" w:space="0"/>
                    <w:left w:val="single" w:color="auto" w:sz="6" w:space="0"/>
                    <w:bottom w:val="single" w:color="auto" w:sz="6" w:space="0"/>
                    <w:right w:val="single" w:color="auto" w:sz="6" w:space="0"/>
                  </w:tcBorders>
                  <w:vAlign w:val="center"/>
                </w:tcPr>
                <w:p>
                  <w:pPr>
                    <w:pStyle w:val="47"/>
                    <w:rPr>
                      <w:b w:val="0"/>
                      <w:bCs w:val="0"/>
                    </w:rPr>
                  </w:pPr>
                  <w:r>
                    <w:rPr>
                      <w:b w:val="0"/>
                      <w:bCs w:val="0"/>
                    </w:rPr>
                    <w:t>夜间</w:t>
                  </w: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rFonts w:hint="default" w:eastAsia="宋体"/>
                      <w:b w:val="0"/>
                      <w:bCs w:val="0"/>
                      <w:lang w:val="en-US" w:eastAsia="zh-CN"/>
                    </w:rPr>
                  </w:pPr>
                  <w:r>
                    <w:rPr>
                      <w:rFonts w:hint="eastAsia"/>
                      <w:b w:val="0"/>
                      <w:bCs w:val="0"/>
                      <w:lang w:val="en-US" w:eastAsia="zh-CN"/>
                    </w:rPr>
                    <w:t>40</w:t>
                  </w:r>
                </w:p>
              </w:tc>
              <w:tc>
                <w:tcPr>
                  <w:tcW w:w="834" w:type="pct"/>
                  <w:tcBorders>
                    <w:top w:val="single" w:color="auto" w:sz="6" w:space="0"/>
                    <w:left w:val="single" w:color="auto" w:sz="6" w:space="0"/>
                    <w:bottom w:val="single" w:color="auto" w:sz="6" w:space="0"/>
                    <w:right w:val="single" w:color="auto" w:sz="2" w:space="0"/>
                  </w:tcBorders>
                  <w:vAlign w:val="center"/>
                </w:tcPr>
                <w:p>
                  <w:pPr>
                    <w:pStyle w:val="47"/>
                    <w:rPr>
                      <w:rFonts w:hint="default" w:eastAsia="宋体"/>
                      <w:b w:val="0"/>
                      <w:bCs w:val="0"/>
                      <w:lang w:val="en-US" w:eastAsia="zh-CN"/>
                    </w:rPr>
                  </w:pPr>
                  <w:r>
                    <w:rPr>
                      <w:rFonts w:hint="eastAsia"/>
                      <w:b w:val="0"/>
                      <w:bCs w:val="0"/>
                      <w:lang w:val="en-US" w:eastAsia="zh-CN"/>
                    </w:rPr>
                    <w:t>41.54</w:t>
                  </w:r>
                </w:p>
              </w:tc>
              <w:tc>
                <w:tcPr>
                  <w:tcW w:w="831"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55</w:t>
                  </w:r>
                </w:p>
              </w:tc>
              <w:tc>
                <w:tcPr>
                  <w:tcW w:w="831"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354" w:hRule="atLeast"/>
                <w:jc w:val="center"/>
              </w:trPr>
              <w:tc>
                <w:tcPr>
                  <w:tcW w:w="833" w:type="pct"/>
                  <w:vMerge w:val="restart"/>
                  <w:tcBorders>
                    <w:top w:val="single" w:color="auto" w:sz="6" w:space="0"/>
                    <w:left w:val="single" w:color="auto" w:sz="2" w:space="0"/>
                    <w:right w:val="single" w:color="auto" w:sz="6" w:space="0"/>
                  </w:tcBorders>
                  <w:vAlign w:val="center"/>
                </w:tcPr>
                <w:p>
                  <w:pPr>
                    <w:pStyle w:val="47"/>
                    <w:rPr>
                      <w:b w:val="0"/>
                      <w:bCs w:val="0"/>
                    </w:rPr>
                  </w:pPr>
                  <w:r>
                    <w:rPr>
                      <w:b w:val="0"/>
                      <w:bCs w:val="0"/>
                    </w:rPr>
                    <w:t>厂界南</w:t>
                  </w:r>
                </w:p>
              </w:tc>
              <w:tc>
                <w:tcPr>
                  <w:tcW w:w="1322" w:type="dxa"/>
                  <w:tcBorders>
                    <w:top w:val="single" w:color="auto" w:sz="6" w:space="0"/>
                    <w:left w:val="single" w:color="auto" w:sz="6" w:space="0"/>
                    <w:bottom w:val="single" w:color="auto" w:sz="6" w:space="0"/>
                    <w:right w:val="single" w:color="auto" w:sz="6" w:space="0"/>
                  </w:tcBorders>
                  <w:vAlign w:val="center"/>
                </w:tcPr>
                <w:p>
                  <w:pPr>
                    <w:pStyle w:val="47"/>
                    <w:rPr>
                      <w:b w:val="0"/>
                      <w:bCs w:val="0"/>
                    </w:rPr>
                  </w:pPr>
                  <w:r>
                    <w:rPr>
                      <w:b w:val="0"/>
                      <w:bCs w:val="0"/>
                    </w:rPr>
                    <w:t>昼间</w:t>
                  </w: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rFonts w:hint="default" w:eastAsia="宋体"/>
                      <w:b w:val="0"/>
                      <w:bCs w:val="0"/>
                      <w:lang w:val="en-US" w:eastAsia="zh-CN"/>
                    </w:rPr>
                  </w:pPr>
                  <w:r>
                    <w:rPr>
                      <w:rFonts w:hint="eastAsia"/>
                      <w:b w:val="0"/>
                      <w:bCs w:val="0"/>
                      <w:lang w:val="en-US" w:eastAsia="zh-CN"/>
                    </w:rPr>
                    <w:t>10</w:t>
                  </w:r>
                </w:p>
              </w:tc>
              <w:tc>
                <w:tcPr>
                  <w:tcW w:w="834" w:type="pct"/>
                  <w:tcBorders>
                    <w:top w:val="single" w:color="auto" w:sz="6" w:space="0"/>
                    <w:left w:val="single" w:color="auto" w:sz="6" w:space="0"/>
                    <w:bottom w:val="single" w:color="auto" w:sz="6" w:space="0"/>
                    <w:right w:val="single" w:color="auto" w:sz="2" w:space="0"/>
                  </w:tcBorders>
                  <w:vAlign w:val="center"/>
                </w:tcPr>
                <w:p>
                  <w:pPr>
                    <w:pStyle w:val="47"/>
                    <w:rPr>
                      <w:rFonts w:hint="default" w:eastAsia="宋体"/>
                      <w:b w:val="0"/>
                      <w:bCs w:val="0"/>
                      <w:lang w:val="en-US" w:eastAsia="zh-CN"/>
                    </w:rPr>
                  </w:pPr>
                  <w:r>
                    <w:rPr>
                      <w:rFonts w:hint="eastAsia"/>
                      <w:b w:val="0"/>
                      <w:bCs w:val="0"/>
                      <w:lang w:val="en-US" w:eastAsia="zh-CN"/>
                    </w:rPr>
                    <w:t>53.54</w:t>
                  </w:r>
                </w:p>
              </w:tc>
              <w:tc>
                <w:tcPr>
                  <w:tcW w:w="1319" w:type="dxa"/>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65</w:t>
                  </w:r>
                </w:p>
              </w:tc>
              <w:tc>
                <w:tcPr>
                  <w:tcW w:w="1318" w:type="dxa"/>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833" w:type="pct"/>
                  <w:vMerge w:val="continue"/>
                  <w:tcBorders>
                    <w:left w:val="single" w:color="auto" w:sz="2" w:space="0"/>
                    <w:bottom w:val="single" w:color="auto" w:sz="6" w:space="0"/>
                    <w:right w:val="single" w:color="auto" w:sz="6" w:space="0"/>
                  </w:tcBorders>
                  <w:vAlign w:val="center"/>
                </w:tcPr>
                <w:p>
                  <w:pPr>
                    <w:pStyle w:val="47"/>
                    <w:rPr>
                      <w:b w:val="0"/>
                      <w:bCs w:val="0"/>
                    </w:rPr>
                  </w:pPr>
                </w:p>
              </w:tc>
              <w:tc>
                <w:tcPr>
                  <w:tcW w:w="1322" w:type="dxa"/>
                  <w:tcBorders>
                    <w:top w:val="single" w:color="auto" w:sz="6" w:space="0"/>
                    <w:left w:val="single" w:color="auto" w:sz="6" w:space="0"/>
                    <w:bottom w:val="single" w:color="auto" w:sz="6" w:space="0"/>
                    <w:right w:val="single" w:color="auto" w:sz="6" w:space="0"/>
                  </w:tcBorders>
                  <w:vAlign w:val="center"/>
                </w:tcPr>
                <w:p>
                  <w:pPr>
                    <w:pStyle w:val="47"/>
                    <w:rPr>
                      <w:b w:val="0"/>
                      <w:bCs w:val="0"/>
                    </w:rPr>
                  </w:pPr>
                  <w:r>
                    <w:rPr>
                      <w:b w:val="0"/>
                      <w:bCs w:val="0"/>
                    </w:rPr>
                    <w:t>夜间</w:t>
                  </w: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rFonts w:hint="default" w:eastAsia="宋体"/>
                      <w:b w:val="0"/>
                      <w:bCs w:val="0"/>
                      <w:lang w:val="en-US" w:eastAsia="zh-CN"/>
                    </w:rPr>
                  </w:pPr>
                  <w:r>
                    <w:rPr>
                      <w:rFonts w:hint="eastAsia"/>
                      <w:b w:val="0"/>
                      <w:bCs w:val="0"/>
                      <w:lang w:val="en-US" w:eastAsia="zh-CN"/>
                    </w:rPr>
                    <w:t>10</w:t>
                  </w:r>
                </w:p>
              </w:tc>
              <w:tc>
                <w:tcPr>
                  <w:tcW w:w="834" w:type="pct"/>
                  <w:tcBorders>
                    <w:top w:val="single" w:color="auto" w:sz="6" w:space="0"/>
                    <w:left w:val="single" w:color="auto" w:sz="6" w:space="0"/>
                    <w:bottom w:val="single" w:color="auto" w:sz="6" w:space="0"/>
                    <w:right w:val="single" w:color="auto" w:sz="2" w:space="0"/>
                  </w:tcBorders>
                  <w:vAlign w:val="center"/>
                </w:tcPr>
                <w:p>
                  <w:pPr>
                    <w:pStyle w:val="47"/>
                    <w:rPr>
                      <w:rFonts w:hint="default" w:eastAsia="宋体"/>
                      <w:b w:val="0"/>
                      <w:bCs w:val="0"/>
                      <w:lang w:val="en-US" w:eastAsia="zh-CN"/>
                    </w:rPr>
                  </w:pPr>
                  <w:r>
                    <w:rPr>
                      <w:rFonts w:hint="eastAsia"/>
                      <w:b w:val="0"/>
                      <w:bCs w:val="0"/>
                      <w:lang w:val="en-US" w:eastAsia="zh-CN"/>
                    </w:rPr>
                    <w:t>53.54</w:t>
                  </w:r>
                </w:p>
              </w:tc>
              <w:tc>
                <w:tcPr>
                  <w:tcW w:w="1319" w:type="dxa"/>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55</w:t>
                  </w:r>
                </w:p>
              </w:tc>
              <w:tc>
                <w:tcPr>
                  <w:tcW w:w="1318" w:type="dxa"/>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833" w:type="pct"/>
                  <w:vMerge w:val="restart"/>
                  <w:tcBorders>
                    <w:top w:val="single" w:color="auto" w:sz="6" w:space="0"/>
                    <w:left w:val="single" w:color="auto" w:sz="2" w:space="0"/>
                    <w:right w:val="single" w:color="auto" w:sz="6" w:space="0"/>
                  </w:tcBorders>
                  <w:vAlign w:val="center"/>
                </w:tcPr>
                <w:p>
                  <w:pPr>
                    <w:pStyle w:val="47"/>
                    <w:rPr>
                      <w:b w:val="0"/>
                      <w:bCs w:val="0"/>
                    </w:rPr>
                  </w:pPr>
                  <w:r>
                    <w:rPr>
                      <w:b w:val="0"/>
                      <w:bCs w:val="0"/>
                    </w:rPr>
                    <w:t>厂界北</w:t>
                  </w:r>
                </w:p>
              </w:tc>
              <w:tc>
                <w:tcPr>
                  <w:tcW w:w="1322" w:type="dxa"/>
                  <w:tcBorders>
                    <w:top w:val="single" w:color="auto" w:sz="6" w:space="0"/>
                    <w:left w:val="single" w:color="auto" w:sz="6" w:space="0"/>
                    <w:bottom w:val="single" w:color="auto" w:sz="6" w:space="0"/>
                    <w:right w:val="single" w:color="auto" w:sz="6" w:space="0"/>
                  </w:tcBorders>
                  <w:vAlign w:val="center"/>
                </w:tcPr>
                <w:p>
                  <w:pPr>
                    <w:pStyle w:val="47"/>
                    <w:rPr>
                      <w:b w:val="0"/>
                      <w:bCs w:val="0"/>
                    </w:rPr>
                  </w:pPr>
                  <w:r>
                    <w:rPr>
                      <w:b w:val="0"/>
                      <w:bCs w:val="0"/>
                    </w:rPr>
                    <w:t>昼间</w:t>
                  </w: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rFonts w:hint="default" w:eastAsia="宋体"/>
                      <w:b w:val="0"/>
                      <w:bCs w:val="0"/>
                      <w:lang w:val="en-US" w:eastAsia="zh-CN"/>
                    </w:rPr>
                  </w:pPr>
                  <w:r>
                    <w:rPr>
                      <w:rFonts w:hint="eastAsia"/>
                      <w:b w:val="0"/>
                      <w:bCs w:val="0"/>
                      <w:lang w:val="en-US" w:eastAsia="zh-CN"/>
                    </w:rPr>
                    <w:t>10</w:t>
                  </w:r>
                </w:p>
              </w:tc>
              <w:tc>
                <w:tcPr>
                  <w:tcW w:w="834"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rFonts w:hint="eastAsia"/>
                      <w:b w:val="0"/>
                      <w:bCs w:val="0"/>
                      <w:lang w:val="en-US" w:eastAsia="zh-CN"/>
                    </w:rPr>
                    <w:t>53.54</w:t>
                  </w:r>
                </w:p>
              </w:tc>
              <w:tc>
                <w:tcPr>
                  <w:tcW w:w="1319" w:type="dxa"/>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65</w:t>
                  </w:r>
                </w:p>
              </w:tc>
              <w:tc>
                <w:tcPr>
                  <w:tcW w:w="1318" w:type="dxa"/>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833" w:type="pct"/>
                  <w:vMerge w:val="continue"/>
                  <w:tcBorders>
                    <w:left w:val="single" w:color="auto" w:sz="2" w:space="0"/>
                    <w:bottom w:val="single" w:color="auto" w:sz="6" w:space="0"/>
                    <w:right w:val="single" w:color="auto" w:sz="6" w:space="0"/>
                  </w:tcBorders>
                  <w:vAlign w:val="center"/>
                </w:tcPr>
                <w:p>
                  <w:pPr>
                    <w:pStyle w:val="47"/>
                    <w:rPr>
                      <w:b w:val="0"/>
                      <w:bCs w:val="0"/>
                    </w:rPr>
                  </w:pPr>
                </w:p>
              </w:tc>
              <w:tc>
                <w:tcPr>
                  <w:tcW w:w="1322" w:type="dxa"/>
                  <w:tcBorders>
                    <w:top w:val="single" w:color="auto" w:sz="6" w:space="0"/>
                    <w:left w:val="single" w:color="auto" w:sz="6" w:space="0"/>
                    <w:bottom w:val="single" w:color="auto" w:sz="6" w:space="0"/>
                    <w:right w:val="single" w:color="auto" w:sz="6" w:space="0"/>
                  </w:tcBorders>
                  <w:vAlign w:val="center"/>
                </w:tcPr>
                <w:p>
                  <w:pPr>
                    <w:pStyle w:val="47"/>
                    <w:rPr>
                      <w:b w:val="0"/>
                      <w:bCs w:val="0"/>
                    </w:rPr>
                  </w:pPr>
                  <w:r>
                    <w:rPr>
                      <w:b w:val="0"/>
                      <w:bCs w:val="0"/>
                    </w:rPr>
                    <w:t>夜间</w:t>
                  </w:r>
                </w:p>
              </w:tc>
              <w:tc>
                <w:tcPr>
                  <w:tcW w:w="834" w:type="pct"/>
                  <w:tcBorders>
                    <w:top w:val="single" w:color="auto" w:sz="6" w:space="0"/>
                    <w:left w:val="single" w:color="auto" w:sz="6" w:space="0"/>
                    <w:bottom w:val="single" w:color="auto" w:sz="6" w:space="0"/>
                    <w:right w:val="single" w:color="auto" w:sz="6" w:space="0"/>
                  </w:tcBorders>
                  <w:vAlign w:val="center"/>
                </w:tcPr>
                <w:p>
                  <w:pPr>
                    <w:pStyle w:val="47"/>
                    <w:rPr>
                      <w:rFonts w:hint="default" w:eastAsia="宋体"/>
                      <w:b w:val="0"/>
                      <w:bCs w:val="0"/>
                      <w:lang w:val="en-US" w:eastAsia="zh-CN"/>
                    </w:rPr>
                  </w:pPr>
                  <w:r>
                    <w:rPr>
                      <w:rFonts w:hint="eastAsia"/>
                      <w:b w:val="0"/>
                      <w:bCs w:val="0"/>
                      <w:lang w:val="en-US" w:eastAsia="zh-CN"/>
                    </w:rPr>
                    <w:t>10</w:t>
                  </w:r>
                </w:p>
              </w:tc>
              <w:tc>
                <w:tcPr>
                  <w:tcW w:w="834" w:type="pct"/>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rFonts w:hint="eastAsia"/>
                      <w:b w:val="0"/>
                      <w:bCs w:val="0"/>
                      <w:lang w:val="en-US" w:eastAsia="zh-CN"/>
                    </w:rPr>
                    <w:t>53.54</w:t>
                  </w:r>
                </w:p>
              </w:tc>
              <w:tc>
                <w:tcPr>
                  <w:tcW w:w="1319" w:type="dxa"/>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55</w:t>
                  </w:r>
                </w:p>
              </w:tc>
              <w:tc>
                <w:tcPr>
                  <w:tcW w:w="1318" w:type="dxa"/>
                  <w:tcBorders>
                    <w:top w:val="single" w:color="auto" w:sz="6" w:space="0"/>
                    <w:left w:val="single" w:color="auto" w:sz="6" w:space="0"/>
                    <w:bottom w:val="single" w:color="auto" w:sz="6" w:space="0"/>
                    <w:right w:val="single" w:color="auto" w:sz="2" w:space="0"/>
                  </w:tcBorders>
                  <w:vAlign w:val="center"/>
                </w:tcPr>
                <w:p>
                  <w:pPr>
                    <w:pStyle w:val="47"/>
                    <w:rPr>
                      <w:b w:val="0"/>
                      <w:bCs w:val="0"/>
                    </w:rPr>
                  </w:pPr>
                  <w:r>
                    <w:rPr>
                      <w:b w:val="0"/>
                      <w:bCs w:val="0"/>
                    </w:rPr>
                    <w:t>达标</w:t>
                  </w:r>
                </w:p>
              </w:tc>
            </w:tr>
          </w:tbl>
          <w:p>
            <w:pPr>
              <w:autoSpaceDE/>
              <w:autoSpaceDN/>
              <w:spacing w:line="360" w:lineRule="auto"/>
              <w:ind w:firstLine="480" w:firstLineChars="200"/>
              <w:rPr>
                <w:rFonts w:ascii="Times New Roman" w:hAnsi="Times New Roman" w:cs="Times New Roman"/>
                <w:b/>
                <w:bCs/>
                <w:kern w:val="28"/>
                <w:lang w:val="en-US" w:bidi="ar-SA"/>
              </w:rPr>
            </w:pPr>
            <w:r>
              <w:rPr>
                <w:rStyle w:val="77"/>
              </w:rPr>
              <w:t>由上表可知，项目运营期间东、南、西、北四面厂界噪声贡献值昼间均可达（GB12348-2008）《工业企业厂界环境噪声排放标准》中3类区标准。</w:t>
            </w:r>
          </w:p>
          <w:p>
            <w:pPr>
              <w:autoSpaceDE/>
              <w:autoSpaceDN/>
              <w:spacing w:line="360" w:lineRule="auto"/>
              <w:ind w:firstLine="480" w:firstLineChars="200"/>
              <w:rPr>
                <w:rStyle w:val="77"/>
              </w:rPr>
            </w:pPr>
            <w:r>
              <w:rPr>
                <w:rStyle w:val="77"/>
              </w:rPr>
              <w:t>综上，本项目实施后，用地范围内的噪声污染源，在采取本环评报告的工程及管理措施后，项目建成后噪声也可做到达标排放，不会对该区域声环境质量造成大的影响。</w:t>
            </w:r>
          </w:p>
          <w:p>
            <w:pPr>
              <w:autoSpaceDE/>
              <w:autoSpaceDN/>
              <w:spacing w:line="360" w:lineRule="auto"/>
              <w:ind w:firstLine="480" w:firstLineChars="200"/>
              <w:rPr>
                <w:rStyle w:val="77"/>
              </w:rPr>
            </w:pPr>
            <w:r>
              <w:rPr>
                <w:rStyle w:val="77"/>
              </w:rPr>
              <w:t>为了进一步减轻噪声对环境的影响，环评要求建设单位做到以下几点：</w:t>
            </w:r>
          </w:p>
          <w:p>
            <w:pPr>
              <w:autoSpaceDE/>
              <w:autoSpaceDN/>
              <w:spacing w:line="360" w:lineRule="auto"/>
              <w:ind w:firstLine="480" w:firstLineChars="200"/>
              <w:rPr>
                <w:rStyle w:val="77"/>
              </w:rPr>
            </w:pPr>
            <w:r>
              <w:rPr>
                <w:rStyle w:val="77"/>
              </w:rPr>
              <w:t>1）针对噪声较高的设备安装减震垫，引风机包裹进风口管道等。</w:t>
            </w:r>
          </w:p>
          <w:p>
            <w:pPr>
              <w:autoSpaceDE/>
              <w:autoSpaceDN/>
              <w:spacing w:line="360" w:lineRule="auto"/>
              <w:ind w:firstLine="480" w:firstLineChars="200"/>
              <w:rPr>
                <w:rStyle w:val="77"/>
              </w:rPr>
            </w:pPr>
            <w:r>
              <w:rPr>
                <w:rStyle w:val="77"/>
              </w:rPr>
              <w:t>2）加强对生产设备的管理和维护。随着使用年限的增加，生产设备噪声可能有些增加，定期检查、监测，发现噪声超标要及时治理和维修。</w:t>
            </w:r>
          </w:p>
          <w:p>
            <w:pPr>
              <w:autoSpaceDE/>
              <w:autoSpaceDN/>
              <w:spacing w:line="360" w:lineRule="auto"/>
              <w:ind w:firstLine="480" w:firstLineChars="200"/>
              <w:rPr>
                <w:rStyle w:val="77"/>
              </w:rPr>
            </w:pPr>
            <w:r>
              <w:rPr>
                <w:rStyle w:val="77"/>
              </w:rPr>
              <w:t>建设单位认真落实实施上述各项噪声防治与控制措施，本项目产生的噪声可得到有效的控制。</w:t>
            </w:r>
          </w:p>
          <w:p>
            <w:pPr>
              <w:pStyle w:val="14"/>
              <w:widowControl/>
              <w:autoSpaceDE/>
              <w:autoSpaceDN/>
              <w:snapToGrid w:val="0"/>
              <w:spacing w:line="360" w:lineRule="auto"/>
              <w:ind w:firstLine="482" w:firstLineChars="200"/>
              <w:rPr>
                <w:rFonts w:ascii="Times New Roman" w:hAnsi="Times New Roman" w:cs="Times New Roman"/>
                <w:b/>
                <w:bCs/>
                <w:color w:val="000000"/>
                <w:szCs w:val="24"/>
                <w:lang w:val="en-US"/>
              </w:rPr>
            </w:pPr>
            <w:r>
              <w:rPr>
                <w:rFonts w:ascii="Times New Roman" w:hAnsi="Times New Roman" w:eastAsia="宋体" w:cs="Times New Roman"/>
                <w:b/>
                <w:bCs/>
                <w:sz w:val="24"/>
                <w:szCs w:val="24"/>
                <w:lang w:val="en-US"/>
              </w:rPr>
              <w:t>（3）噪声监测计划</w:t>
            </w:r>
          </w:p>
          <w:p>
            <w:pPr>
              <w:autoSpaceDE/>
              <w:autoSpaceDN/>
              <w:spacing w:line="360" w:lineRule="auto"/>
              <w:ind w:firstLine="480"/>
              <w:rPr>
                <w:rFonts w:ascii="Times New Roman" w:hAnsi="Times New Roman" w:cs="Times New Roman"/>
                <w:color w:val="000000"/>
              </w:rPr>
            </w:pPr>
            <w:r>
              <w:rPr>
                <w:rFonts w:ascii="Times New Roman" w:hAnsi="Times New Roman" w:cs="Times New Roman"/>
                <w:color w:val="000000"/>
              </w:rPr>
              <w:t>根据《排污单位自行监测技术指南总则》（HJ819-2017）制定本次监测计划，详见表4-</w:t>
            </w:r>
            <w:r>
              <w:rPr>
                <w:rFonts w:ascii="Times New Roman" w:hAnsi="Times New Roman" w:cs="Times New Roman"/>
                <w:color w:val="000000"/>
                <w:lang w:val="en-US"/>
              </w:rPr>
              <w:t>16</w:t>
            </w:r>
            <w:r>
              <w:rPr>
                <w:rFonts w:ascii="Times New Roman" w:hAnsi="Times New Roman" w:cs="Times New Roman"/>
                <w:color w:val="000000"/>
              </w:rPr>
              <w:t>。</w:t>
            </w:r>
          </w:p>
          <w:p>
            <w:pPr>
              <w:pStyle w:val="10"/>
            </w:pPr>
            <w:r>
              <w:t>表4-16噪声监测计划表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014"/>
              <w:gridCol w:w="2293"/>
              <w:gridCol w:w="1109"/>
              <w:gridCol w:w="1702"/>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pStyle w:val="47"/>
                    <w:rPr>
                      <w:b w:val="0"/>
                      <w:bCs w:val="0"/>
                    </w:rPr>
                  </w:pPr>
                  <w:r>
                    <w:rPr>
                      <w:b w:val="0"/>
                      <w:bCs w:val="0"/>
                    </w:rPr>
                    <w:t>监测点位</w:t>
                  </w:r>
                </w:p>
              </w:tc>
              <w:tc>
                <w:tcPr>
                  <w:tcW w:w="1014" w:type="dxa"/>
                  <w:vAlign w:val="center"/>
                </w:tcPr>
                <w:p>
                  <w:pPr>
                    <w:pStyle w:val="47"/>
                    <w:rPr>
                      <w:b w:val="0"/>
                      <w:bCs w:val="0"/>
                    </w:rPr>
                  </w:pPr>
                  <w:r>
                    <w:rPr>
                      <w:b w:val="0"/>
                      <w:bCs w:val="0"/>
                    </w:rPr>
                    <w:t>污染物名称</w:t>
                  </w:r>
                </w:p>
              </w:tc>
              <w:tc>
                <w:tcPr>
                  <w:tcW w:w="2293" w:type="dxa"/>
                  <w:vAlign w:val="center"/>
                </w:tcPr>
                <w:p>
                  <w:pPr>
                    <w:pStyle w:val="47"/>
                    <w:rPr>
                      <w:b w:val="0"/>
                      <w:bCs w:val="0"/>
                    </w:rPr>
                  </w:pPr>
                  <w:r>
                    <w:rPr>
                      <w:b w:val="0"/>
                      <w:bCs w:val="0"/>
                    </w:rPr>
                    <w:t>执行标准</w:t>
                  </w:r>
                </w:p>
              </w:tc>
              <w:tc>
                <w:tcPr>
                  <w:tcW w:w="1109" w:type="dxa"/>
                  <w:vAlign w:val="center"/>
                </w:tcPr>
                <w:p>
                  <w:pPr>
                    <w:pStyle w:val="47"/>
                    <w:rPr>
                      <w:b w:val="0"/>
                      <w:bCs w:val="0"/>
                    </w:rPr>
                  </w:pPr>
                  <w:r>
                    <w:rPr>
                      <w:b w:val="0"/>
                      <w:bCs w:val="0"/>
                    </w:rPr>
                    <w:t>标准限值</w:t>
                  </w:r>
                </w:p>
              </w:tc>
              <w:tc>
                <w:tcPr>
                  <w:tcW w:w="1702" w:type="dxa"/>
                  <w:vAlign w:val="center"/>
                </w:tcPr>
                <w:p>
                  <w:pPr>
                    <w:pStyle w:val="47"/>
                    <w:rPr>
                      <w:b w:val="0"/>
                      <w:bCs w:val="0"/>
                    </w:rPr>
                  </w:pPr>
                  <w:r>
                    <w:rPr>
                      <w:b w:val="0"/>
                      <w:bCs w:val="0"/>
                    </w:rPr>
                    <w:t>监测方法</w:t>
                  </w:r>
                </w:p>
              </w:tc>
              <w:tc>
                <w:tcPr>
                  <w:tcW w:w="1070" w:type="dxa"/>
                  <w:vAlign w:val="center"/>
                </w:tcPr>
                <w:p>
                  <w:pPr>
                    <w:pStyle w:val="47"/>
                    <w:rPr>
                      <w:b w:val="0"/>
                      <w:bCs w:val="0"/>
                    </w:rPr>
                  </w:pPr>
                  <w:r>
                    <w:rPr>
                      <w:b w:val="0"/>
                      <w:bCs w:val="0"/>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pStyle w:val="47"/>
                    <w:rPr>
                      <w:b w:val="0"/>
                      <w:bCs w:val="0"/>
                    </w:rPr>
                  </w:pPr>
                  <w:r>
                    <w:rPr>
                      <w:b w:val="0"/>
                      <w:bCs w:val="0"/>
                    </w:rPr>
                    <w:t>1#东</w:t>
                  </w:r>
                </w:p>
              </w:tc>
              <w:tc>
                <w:tcPr>
                  <w:tcW w:w="1014" w:type="dxa"/>
                  <w:vMerge w:val="restart"/>
                  <w:vAlign w:val="center"/>
                </w:tcPr>
                <w:p>
                  <w:pPr>
                    <w:pStyle w:val="47"/>
                    <w:rPr>
                      <w:b w:val="0"/>
                      <w:bCs w:val="0"/>
                    </w:rPr>
                  </w:pPr>
                  <w:r>
                    <w:rPr>
                      <w:b w:val="0"/>
                      <w:bCs w:val="0"/>
                    </w:rPr>
                    <w:t>Leq（A）</w:t>
                  </w:r>
                </w:p>
              </w:tc>
              <w:tc>
                <w:tcPr>
                  <w:tcW w:w="2293" w:type="dxa"/>
                  <w:vMerge w:val="restart"/>
                  <w:vAlign w:val="center"/>
                </w:tcPr>
                <w:p>
                  <w:pPr>
                    <w:pStyle w:val="47"/>
                    <w:rPr>
                      <w:b w:val="0"/>
                      <w:bCs w:val="0"/>
                    </w:rPr>
                  </w:pPr>
                  <w:r>
                    <w:rPr>
                      <w:b w:val="0"/>
                      <w:bCs w:val="0"/>
                    </w:rPr>
                    <w:t>（GB12348-2008）《工业企业厂界环境噪声排放标准》中3类区标准</w:t>
                  </w:r>
                </w:p>
              </w:tc>
              <w:tc>
                <w:tcPr>
                  <w:tcW w:w="1109" w:type="dxa"/>
                  <w:vMerge w:val="restart"/>
                  <w:vAlign w:val="center"/>
                </w:tcPr>
                <w:p>
                  <w:pPr>
                    <w:pStyle w:val="47"/>
                    <w:rPr>
                      <w:b w:val="0"/>
                      <w:bCs w:val="0"/>
                    </w:rPr>
                  </w:pPr>
                  <w:r>
                    <w:rPr>
                      <w:b w:val="0"/>
                      <w:bCs w:val="0"/>
                    </w:rPr>
                    <w:t>昼间：65dB（A）；夜间：55dB（A）</w:t>
                  </w:r>
                </w:p>
              </w:tc>
              <w:tc>
                <w:tcPr>
                  <w:tcW w:w="1702" w:type="dxa"/>
                  <w:vMerge w:val="restart"/>
                  <w:vAlign w:val="center"/>
                </w:tcPr>
                <w:p>
                  <w:pPr>
                    <w:pStyle w:val="47"/>
                    <w:rPr>
                      <w:b w:val="0"/>
                      <w:bCs w:val="0"/>
                    </w:rPr>
                  </w:pPr>
                  <w:r>
                    <w:rPr>
                      <w:b w:val="0"/>
                      <w:bCs w:val="0"/>
                    </w:rPr>
                    <w:t>《环境噪声监测技术规范城市声环境常规监测》（HJ640-2012）</w:t>
                  </w:r>
                </w:p>
              </w:tc>
              <w:tc>
                <w:tcPr>
                  <w:tcW w:w="1070" w:type="dxa"/>
                  <w:vAlign w:val="center"/>
                </w:tcPr>
                <w:p>
                  <w:pPr>
                    <w:pStyle w:val="47"/>
                    <w:rPr>
                      <w:b w:val="0"/>
                      <w:bCs w:val="0"/>
                    </w:rPr>
                  </w:pPr>
                  <w:r>
                    <w:rPr>
                      <w:b w:val="0"/>
                      <w:bCs w:val="0"/>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pStyle w:val="47"/>
                    <w:rPr>
                      <w:b w:val="0"/>
                      <w:bCs w:val="0"/>
                    </w:rPr>
                  </w:pPr>
                  <w:r>
                    <w:rPr>
                      <w:b w:val="0"/>
                      <w:bCs w:val="0"/>
                    </w:rPr>
                    <w:t>2#南</w:t>
                  </w:r>
                </w:p>
              </w:tc>
              <w:tc>
                <w:tcPr>
                  <w:tcW w:w="1014" w:type="dxa"/>
                  <w:vMerge w:val="continue"/>
                  <w:vAlign w:val="center"/>
                </w:tcPr>
                <w:p>
                  <w:pPr>
                    <w:pStyle w:val="47"/>
                    <w:rPr>
                      <w:b w:val="0"/>
                      <w:bCs w:val="0"/>
                    </w:rPr>
                  </w:pPr>
                </w:p>
              </w:tc>
              <w:tc>
                <w:tcPr>
                  <w:tcW w:w="2293" w:type="dxa"/>
                  <w:vMerge w:val="continue"/>
                  <w:vAlign w:val="center"/>
                </w:tcPr>
                <w:p>
                  <w:pPr>
                    <w:pStyle w:val="47"/>
                    <w:rPr>
                      <w:b w:val="0"/>
                      <w:bCs w:val="0"/>
                    </w:rPr>
                  </w:pPr>
                </w:p>
              </w:tc>
              <w:tc>
                <w:tcPr>
                  <w:tcW w:w="1109" w:type="dxa"/>
                  <w:vMerge w:val="continue"/>
                  <w:vAlign w:val="center"/>
                </w:tcPr>
                <w:p>
                  <w:pPr>
                    <w:pStyle w:val="47"/>
                    <w:rPr>
                      <w:b w:val="0"/>
                      <w:bCs w:val="0"/>
                    </w:rPr>
                  </w:pPr>
                </w:p>
              </w:tc>
              <w:tc>
                <w:tcPr>
                  <w:tcW w:w="1702" w:type="dxa"/>
                  <w:vMerge w:val="continue"/>
                  <w:vAlign w:val="center"/>
                </w:tcPr>
                <w:p>
                  <w:pPr>
                    <w:pStyle w:val="47"/>
                    <w:rPr>
                      <w:b w:val="0"/>
                      <w:bCs w:val="0"/>
                    </w:rPr>
                  </w:pPr>
                </w:p>
              </w:tc>
              <w:tc>
                <w:tcPr>
                  <w:tcW w:w="1070" w:type="dxa"/>
                  <w:vAlign w:val="center"/>
                </w:tcPr>
                <w:p>
                  <w:pPr>
                    <w:pStyle w:val="47"/>
                    <w:rPr>
                      <w:b w:val="0"/>
                      <w:bCs w:val="0"/>
                    </w:rPr>
                  </w:pPr>
                  <w:r>
                    <w:rPr>
                      <w:b w:val="0"/>
                      <w:bCs w:val="0"/>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pStyle w:val="47"/>
                    <w:rPr>
                      <w:b w:val="0"/>
                      <w:bCs w:val="0"/>
                    </w:rPr>
                  </w:pPr>
                  <w:r>
                    <w:rPr>
                      <w:b w:val="0"/>
                      <w:bCs w:val="0"/>
                    </w:rPr>
                    <w:t>3#西</w:t>
                  </w:r>
                </w:p>
              </w:tc>
              <w:tc>
                <w:tcPr>
                  <w:tcW w:w="1014" w:type="dxa"/>
                  <w:vMerge w:val="continue"/>
                  <w:vAlign w:val="center"/>
                </w:tcPr>
                <w:p>
                  <w:pPr>
                    <w:pStyle w:val="47"/>
                    <w:rPr>
                      <w:b w:val="0"/>
                      <w:bCs w:val="0"/>
                    </w:rPr>
                  </w:pPr>
                </w:p>
              </w:tc>
              <w:tc>
                <w:tcPr>
                  <w:tcW w:w="2293" w:type="dxa"/>
                  <w:vMerge w:val="continue"/>
                  <w:vAlign w:val="center"/>
                </w:tcPr>
                <w:p>
                  <w:pPr>
                    <w:pStyle w:val="47"/>
                    <w:rPr>
                      <w:b w:val="0"/>
                      <w:bCs w:val="0"/>
                    </w:rPr>
                  </w:pPr>
                </w:p>
              </w:tc>
              <w:tc>
                <w:tcPr>
                  <w:tcW w:w="1109" w:type="dxa"/>
                  <w:vMerge w:val="continue"/>
                  <w:vAlign w:val="center"/>
                </w:tcPr>
                <w:p>
                  <w:pPr>
                    <w:pStyle w:val="47"/>
                    <w:rPr>
                      <w:b w:val="0"/>
                      <w:bCs w:val="0"/>
                    </w:rPr>
                  </w:pPr>
                </w:p>
              </w:tc>
              <w:tc>
                <w:tcPr>
                  <w:tcW w:w="1702" w:type="dxa"/>
                  <w:vMerge w:val="continue"/>
                  <w:vAlign w:val="center"/>
                </w:tcPr>
                <w:p>
                  <w:pPr>
                    <w:pStyle w:val="47"/>
                    <w:rPr>
                      <w:b w:val="0"/>
                      <w:bCs w:val="0"/>
                    </w:rPr>
                  </w:pPr>
                </w:p>
              </w:tc>
              <w:tc>
                <w:tcPr>
                  <w:tcW w:w="1070" w:type="dxa"/>
                  <w:vAlign w:val="center"/>
                </w:tcPr>
                <w:p>
                  <w:pPr>
                    <w:pStyle w:val="47"/>
                    <w:rPr>
                      <w:b w:val="0"/>
                      <w:bCs w:val="0"/>
                    </w:rPr>
                  </w:pPr>
                  <w:r>
                    <w:rPr>
                      <w:b w:val="0"/>
                      <w:bCs w:val="0"/>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pStyle w:val="47"/>
                    <w:rPr>
                      <w:b w:val="0"/>
                      <w:bCs w:val="0"/>
                    </w:rPr>
                  </w:pPr>
                  <w:r>
                    <w:rPr>
                      <w:b w:val="0"/>
                      <w:bCs w:val="0"/>
                    </w:rPr>
                    <w:t>4#北</w:t>
                  </w:r>
                </w:p>
              </w:tc>
              <w:tc>
                <w:tcPr>
                  <w:tcW w:w="1014" w:type="dxa"/>
                  <w:vMerge w:val="continue"/>
                  <w:vAlign w:val="center"/>
                </w:tcPr>
                <w:p>
                  <w:pPr>
                    <w:pStyle w:val="47"/>
                    <w:rPr>
                      <w:b w:val="0"/>
                      <w:bCs w:val="0"/>
                    </w:rPr>
                  </w:pPr>
                </w:p>
              </w:tc>
              <w:tc>
                <w:tcPr>
                  <w:tcW w:w="2293" w:type="dxa"/>
                  <w:vMerge w:val="continue"/>
                  <w:vAlign w:val="center"/>
                </w:tcPr>
                <w:p>
                  <w:pPr>
                    <w:pStyle w:val="47"/>
                    <w:rPr>
                      <w:b w:val="0"/>
                      <w:bCs w:val="0"/>
                    </w:rPr>
                  </w:pPr>
                </w:p>
              </w:tc>
              <w:tc>
                <w:tcPr>
                  <w:tcW w:w="1109" w:type="dxa"/>
                  <w:vMerge w:val="continue"/>
                  <w:vAlign w:val="center"/>
                </w:tcPr>
                <w:p>
                  <w:pPr>
                    <w:pStyle w:val="47"/>
                    <w:rPr>
                      <w:b w:val="0"/>
                      <w:bCs w:val="0"/>
                    </w:rPr>
                  </w:pPr>
                </w:p>
              </w:tc>
              <w:tc>
                <w:tcPr>
                  <w:tcW w:w="1702" w:type="dxa"/>
                  <w:vMerge w:val="continue"/>
                  <w:vAlign w:val="center"/>
                </w:tcPr>
                <w:p>
                  <w:pPr>
                    <w:pStyle w:val="47"/>
                    <w:rPr>
                      <w:b w:val="0"/>
                      <w:bCs w:val="0"/>
                    </w:rPr>
                  </w:pPr>
                </w:p>
              </w:tc>
              <w:tc>
                <w:tcPr>
                  <w:tcW w:w="1070" w:type="dxa"/>
                  <w:vAlign w:val="center"/>
                </w:tcPr>
                <w:p>
                  <w:pPr>
                    <w:pStyle w:val="47"/>
                    <w:rPr>
                      <w:b w:val="0"/>
                      <w:bCs w:val="0"/>
                    </w:rPr>
                  </w:pPr>
                  <w:r>
                    <w:rPr>
                      <w:b w:val="0"/>
                      <w:bCs w:val="0"/>
                    </w:rPr>
                    <w:t>1次/季</w:t>
                  </w:r>
                </w:p>
              </w:tc>
            </w:tr>
          </w:tbl>
          <w:p>
            <w:pPr>
              <w:pStyle w:val="7"/>
              <w:snapToGrid w:val="0"/>
              <w:spacing w:line="360" w:lineRule="auto"/>
              <w:ind w:left="0" w:firstLine="482" w:firstLineChars="200"/>
              <w:rPr>
                <w:rFonts w:ascii="Times New Roman" w:hAnsi="Times New Roman" w:cs="Times New Roman"/>
              </w:rPr>
            </w:pPr>
            <w:r>
              <w:rPr>
                <w:rFonts w:ascii="Times New Roman" w:hAnsi="Times New Roman" w:cs="Times New Roman"/>
              </w:rPr>
              <w:t>四、运营期固废环境影响及保护措施</w:t>
            </w:r>
          </w:p>
          <w:p>
            <w:pPr>
              <w:pStyle w:val="14"/>
              <w:snapToGrid w:val="0"/>
              <w:spacing w:line="360" w:lineRule="auto"/>
              <w:ind w:right="165" w:firstLine="48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本项目营运期固体废物主要为：生产过程中产生的职工办公垃圾、</w:t>
            </w:r>
            <w:r>
              <w:rPr>
                <w:rFonts w:hint="eastAsia" w:ascii="Times New Roman" w:hAnsi="Times New Roman" w:eastAsia="宋体" w:cs="Times New Roman"/>
                <w:sz w:val="24"/>
                <w:szCs w:val="24"/>
                <w:lang w:val="en-US"/>
              </w:rPr>
              <w:t>废边角料及不合格产品</w:t>
            </w:r>
            <w:r>
              <w:rPr>
                <w:rFonts w:ascii="Times New Roman" w:hAnsi="Times New Roman" w:eastAsia="宋体" w:cs="Times New Roman"/>
                <w:sz w:val="24"/>
                <w:szCs w:val="24"/>
                <w:lang w:val="en-US"/>
              </w:rPr>
              <w:t>、废包装材料、废机油、废活性炭</w:t>
            </w:r>
            <w:r>
              <w:rPr>
                <w:rFonts w:hint="eastAsia" w:ascii="Times New Roman" w:hAnsi="Times New Roman" w:eastAsia="宋体" w:cs="Times New Roman"/>
                <w:sz w:val="24"/>
                <w:szCs w:val="24"/>
                <w:lang w:val="en-US"/>
              </w:rPr>
              <w:t>、废UV灯管</w:t>
            </w:r>
            <w:r>
              <w:rPr>
                <w:rFonts w:ascii="Times New Roman" w:hAnsi="Times New Roman" w:eastAsia="宋体" w:cs="Times New Roman"/>
                <w:sz w:val="24"/>
                <w:szCs w:val="24"/>
                <w:lang w:val="en-US"/>
              </w:rPr>
              <w:t>；具体分析如下：</w:t>
            </w:r>
          </w:p>
          <w:p>
            <w:pPr>
              <w:snapToGrid w:val="0"/>
              <w:spacing w:line="360" w:lineRule="auto"/>
              <w:rPr>
                <w:rFonts w:ascii="Times New Roman" w:hAnsi="Times New Roman" w:cs="Times New Roman"/>
              </w:rPr>
            </w:pPr>
            <w:r>
              <w:rPr>
                <w:rFonts w:ascii="Times New Roman" w:hAnsi="Times New Roman" w:cs="Times New Roman"/>
              </w:rPr>
              <w:t>（1）一般固废</w:t>
            </w:r>
          </w:p>
          <w:p>
            <w:pPr>
              <w:pStyle w:val="14"/>
              <w:snapToGrid w:val="0"/>
              <w:spacing w:line="360" w:lineRule="auto"/>
              <w:ind w:right="165"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①职工办公垃圾</w:t>
            </w:r>
          </w:p>
          <w:p>
            <w:pPr>
              <w:pStyle w:val="14"/>
              <w:snapToGrid w:val="0"/>
              <w:spacing w:line="360" w:lineRule="auto"/>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项目定员20人，办公垃圾按0.5kg/人·天计，则项目办公垃圾产生总量为2.1t/a；根据《一般固体废物分类与代码》，职工办公垃圾属于一般固体废物（其他废物），经统一收集后、定期清运至园区垃圾收集点堆存、由环卫部门定期处置；</w:t>
            </w:r>
          </w:p>
          <w:p>
            <w:pPr>
              <w:pStyle w:val="14"/>
              <w:snapToGrid w:val="0"/>
              <w:spacing w:line="360" w:lineRule="auto"/>
              <w:ind w:right="105" w:firstLine="48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②废边角料及不合格产品</w:t>
            </w:r>
          </w:p>
          <w:p>
            <w:pPr>
              <w:pStyle w:val="14"/>
              <w:snapToGrid w:val="0"/>
              <w:spacing w:line="360" w:lineRule="auto"/>
              <w:ind w:right="105" w:firstLine="48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主要为修边工序产生的废边角料及不合格产品及检验产生的不合格产品，废边角料及不合格产品经破碎工序收集后暂存与一般固废暂存间，由厂家回收利用，计算其产生量为10t/a，根据《一般固体废物分类与代码》，食品用塑料包装容器属于一般固体废物（废塑料制品），经破碎工序收集后暂存与一般固废暂存间，由厂家回收利用。</w:t>
            </w:r>
          </w:p>
          <w:p>
            <w:pPr>
              <w:pStyle w:val="14"/>
              <w:snapToGrid w:val="0"/>
              <w:spacing w:line="360" w:lineRule="auto"/>
              <w:ind w:right="108" w:firstLine="48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③</w:t>
            </w:r>
            <w:r>
              <w:rPr>
                <w:rFonts w:ascii="Times New Roman" w:hAnsi="Times New Roman" w:eastAsia="宋体" w:cs="Times New Roman"/>
                <w:sz w:val="24"/>
                <w:szCs w:val="24"/>
                <w:lang w:val="en-US" w:bidi="ar-SA"/>
              </w:rPr>
              <w:t>布袋除尘设备收集的粉尘</w:t>
            </w:r>
          </w:p>
          <w:p>
            <w:pPr>
              <w:pStyle w:val="14"/>
              <w:spacing w:line="360" w:lineRule="auto"/>
              <w:ind w:right="108"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本项目食品用塑料包装容器边角料破碎粉尘由集气罩分别收集后，通过1台布袋除尘器处理，项目布袋除尘设备收集的粉尘为0.205t/a，根据《一般固体废物分类与代码》，食品用塑料包装容器属于一般固体废物（废塑料制品），收集后由原材料厂家回收利用。</w:t>
            </w:r>
          </w:p>
          <w:p>
            <w:pPr>
              <w:pStyle w:val="14"/>
              <w:snapToGrid w:val="0"/>
              <w:spacing w:line="360" w:lineRule="auto"/>
              <w:ind w:right="105" w:firstLine="48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fldChar w:fldCharType="begin"/>
            </w:r>
            <w:r>
              <w:rPr>
                <w:rFonts w:ascii="Times New Roman" w:hAnsi="Times New Roman" w:eastAsia="宋体" w:cs="Times New Roman"/>
                <w:sz w:val="24"/>
                <w:szCs w:val="24"/>
                <w:lang w:val="en-US"/>
              </w:rPr>
              <w:instrText xml:space="preserve"> = 4 \* GB3 \* MERGEFORMAT </w:instrText>
            </w:r>
            <w:r>
              <w:rPr>
                <w:rFonts w:ascii="Times New Roman" w:hAnsi="Times New Roman" w:eastAsia="宋体" w:cs="Times New Roman"/>
                <w:sz w:val="24"/>
                <w:szCs w:val="24"/>
                <w:lang w:val="en-US"/>
              </w:rPr>
              <w:fldChar w:fldCharType="separate"/>
            </w:r>
            <w:r>
              <w:rPr>
                <w:rFonts w:ascii="Times New Roman" w:hAnsi="Times New Roman" w:eastAsia="宋体" w:cs="Times New Roman"/>
                <w:sz w:val="24"/>
                <w:szCs w:val="24"/>
                <w:lang w:val="en-US"/>
              </w:rPr>
              <w:t>④</w:t>
            </w:r>
            <w:r>
              <w:rPr>
                <w:rFonts w:ascii="Times New Roman" w:hAnsi="Times New Roman" w:eastAsia="宋体" w:cs="Times New Roman"/>
                <w:sz w:val="24"/>
                <w:szCs w:val="24"/>
                <w:lang w:val="en-US"/>
              </w:rPr>
              <w:fldChar w:fldCharType="end"/>
            </w:r>
            <w:r>
              <w:rPr>
                <w:rFonts w:ascii="Times New Roman" w:hAnsi="Times New Roman" w:eastAsia="宋体" w:cs="Times New Roman"/>
                <w:sz w:val="24"/>
                <w:szCs w:val="24"/>
                <w:lang w:val="en-US"/>
              </w:rPr>
              <w:t>废包装材料</w:t>
            </w:r>
          </w:p>
          <w:p>
            <w:pPr>
              <w:pStyle w:val="14"/>
              <w:snapToGrid w:val="0"/>
              <w:spacing w:line="360" w:lineRule="auto"/>
              <w:ind w:right="105" w:firstLine="480"/>
              <w:rPr>
                <w:rFonts w:ascii="Times New Roman" w:hAnsi="Times New Roman" w:eastAsia="宋体" w:cs="Times New Roman"/>
                <w:spacing w:val="-5"/>
                <w:sz w:val="24"/>
                <w:szCs w:val="24"/>
                <w:lang w:val="en-US"/>
              </w:rPr>
            </w:pPr>
            <w:r>
              <w:rPr>
                <w:rFonts w:ascii="Times New Roman" w:hAnsi="Times New Roman" w:eastAsia="宋体" w:cs="Times New Roman"/>
                <w:sz w:val="24"/>
                <w:szCs w:val="24"/>
                <w:lang w:val="en-US"/>
              </w:rPr>
              <w:t>项目废包装材料主要为一般废包装材料料，根据企业提供的资料，本项目废包装材料产生量约为0.5t/a，根据《一般固体废物分类与代码》，废包装材料属于一般固体废物（废复合包装），废包装材料</w:t>
            </w:r>
            <w:r>
              <w:rPr>
                <w:rFonts w:ascii="Times New Roman" w:hAnsi="Times New Roman" w:eastAsia="宋体" w:cs="Times New Roman"/>
                <w:spacing w:val="-5"/>
                <w:sz w:val="24"/>
                <w:szCs w:val="24"/>
                <w:lang w:val="en-US"/>
              </w:rPr>
              <w:t>暂存于一般固废暂存间，定期外售综合利用。</w:t>
            </w:r>
          </w:p>
          <w:p>
            <w:pPr>
              <w:snapToGrid w:val="0"/>
              <w:spacing w:line="360" w:lineRule="auto"/>
              <w:rPr>
                <w:rFonts w:ascii="Times New Roman" w:hAnsi="Times New Roman" w:cs="Times New Roman"/>
              </w:rPr>
            </w:pPr>
            <w:r>
              <w:rPr>
                <w:rFonts w:ascii="Times New Roman" w:hAnsi="Times New Roman" w:cs="Times New Roman"/>
              </w:rPr>
              <w:t>（2）危险固废</w:t>
            </w:r>
          </w:p>
          <w:p>
            <w:pPr>
              <w:pStyle w:val="14"/>
              <w:snapToGrid w:val="0"/>
              <w:spacing w:line="360" w:lineRule="auto"/>
              <w:ind w:right="105" w:firstLine="48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①废机油</w:t>
            </w:r>
          </w:p>
          <w:p>
            <w:pPr>
              <w:pStyle w:val="14"/>
              <w:snapToGrid w:val="0"/>
              <w:spacing w:line="360" w:lineRule="auto"/>
              <w:ind w:right="105" w:firstLine="48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项目设备维护保养过程会产生一定量的废机油，产生量约0.03t/a，根据《国家危险废物名录》（2021年版），废机油属于危险废物（HW08），废物代码为900-249-08，废机油暂存于危废暂存间，定期委托有资质单位清运。</w:t>
            </w:r>
          </w:p>
          <w:p>
            <w:pPr>
              <w:pStyle w:val="14"/>
              <w:snapToGrid w:val="0"/>
              <w:spacing w:line="360" w:lineRule="auto"/>
              <w:ind w:right="105" w:firstLine="48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②废活性炭</w:t>
            </w:r>
          </w:p>
          <w:p>
            <w:pPr>
              <w:pStyle w:val="14"/>
              <w:snapToGrid w:val="0"/>
              <w:spacing w:line="360" w:lineRule="auto"/>
              <w:ind w:right="105" w:firstLine="48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本项目食品用塑料包装容器挤出废气、食品用塑料包装容器注塑废气、使用到活性炭进行吸附处理，根据《国家危险废物名录》（2021年版），废活性炭属于危险废物（HW49其他废物），废物代码为900-041-49，活性炭吸附能力约为20kg（废气）/100kg（活性炭），食品用塑料包装容器挤出废气、食品用塑料包装容器注塑废气产生总量为0.6075t/a，需要使用活性炭量为3.0375t/a，因此本项目产生废活性炭量约为3.645t/a。</w:t>
            </w:r>
          </w:p>
          <w:p>
            <w:pPr>
              <w:spacing w:line="360" w:lineRule="auto"/>
              <w:ind w:firstLine="480"/>
              <w:rPr>
                <w:rFonts w:ascii="Times New Roman" w:hAnsi="Times New Roman" w:cs="Times New Roman"/>
                <w:lang w:val="en-US"/>
              </w:rPr>
            </w:pPr>
            <w:r>
              <w:rPr>
                <w:rFonts w:ascii="Times New Roman" w:hAnsi="Times New Roman" w:cs="Times New Roman"/>
                <w:lang w:val="en-US"/>
              </w:rPr>
              <w:t>废活性炭暂存于项目危险废物暂存间，定期交由有资质的单位处理</w:t>
            </w:r>
            <w:r>
              <w:rPr>
                <w:rFonts w:hint="eastAsia" w:ascii="Times New Roman" w:hAnsi="Times New Roman" w:cs="Times New Roman"/>
                <w:lang w:val="en-US"/>
              </w:rPr>
              <w:t>。</w:t>
            </w:r>
          </w:p>
          <w:p>
            <w:pPr>
              <w:pStyle w:val="14"/>
              <w:snapToGrid w:val="0"/>
              <w:spacing w:line="360" w:lineRule="auto"/>
              <w:ind w:right="105" w:firstLine="480"/>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③废UV灯管</w:t>
            </w:r>
          </w:p>
          <w:p>
            <w:pPr>
              <w:pStyle w:val="14"/>
              <w:snapToGrid w:val="0"/>
              <w:spacing w:line="360" w:lineRule="auto"/>
              <w:ind w:right="105" w:firstLine="480"/>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本项目光氧设备中的UV灯管约半年更换一次，产生量约0.01t/a，根据《国家危险废物名录》（2021），废UV灯管属于危险废物（HW29含汞废物），废物代码为900-023-29，暂存于项目危险废物暂存间，定期委托有资质单位处置。</w:t>
            </w:r>
          </w:p>
          <w:p>
            <w:pPr>
              <w:pStyle w:val="47"/>
              <w:rPr>
                <w:sz w:val="24"/>
                <w:szCs w:val="24"/>
              </w:rPr>
            </w:pPr>
            <w:r>
              <w:t>表4-17项目固废产生情况及处置一览表</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985"/>
              <w:gridCol w:w="968"/>
              <w:gridCol w:w="844"/>
              <w:gridCol w:w="1499"/>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2"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废物类别</w:t>
                  </w:r>
                </w:p>
              </w:tc>
              <w:tc>
                <w:tcPr>
                  <w:tcW w:w="1956"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项目</w:t>
                  </w:r>
                </w:p>
              </w:tc>
              <w:tc>
                <w:tcPr>
                  <w:tcW w:w="954"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产生量</w:t>
                  </w:r>
                </w:p>
              </w:tc>
              <w:tc>
                <w:tcPr>
                  <w:tcW w:w="832"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废物代码</w:t>
                  </w:r>
                </w:p>
              </w:tc>
              <w:tc>
                <w:tcPr>
                  <w:tcW w:w="1477" w:type="dxa"/>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危险废物编号</w:t>
                  </w:r>
                </w:p>
              </w:tc>
              <w:tc>
                <w:tcPr>
                  <w:tcW w:w="1737"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2" w:type="dxa"/>
                  <w:vMerge w:val="restart"/>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一般固废</w:t>
                  </w:r>
                </w:p>
              </w:tc>
              <w:tc>
                <w:tcPr>
                  <w:tcW w:w="1956"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bCs/>
                      <w:color w:val="000000"/>
                      <w:szCs w:val="21"/>
                      <w:lang w:val="en-US"/>
                    </w:rPr>
                    <w:t>职工办公垃圾</w:t>
                  </w:r>
                </w:p>
              </w:tc>
              <w:tc>
                <w:tcPr>
                  <w:tcW w:w="954"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bCs/>
                      <w:color w:val="000000"/>
                      <w:szCs w:val="21"/>
                      <w:lang w:val="en-US"/>
                    </w:rPr>
                    <w:t>2.1t/a</w:t>
                  </w:r>
                </w:p>
              </w:tc>
              <w:tc>
                <w:tcPr>
                  <w:tcW w:w="832"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99</w:t>
                  </w:r>
                </w:p>
              </w:tc>
              <w:tc>
                <w:tcPr>
                  <w:tcW w:w="1477" w:type="dxa"/>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900-999-99</w:t>
                  </w:r>
                </w:p>
              </w:tc>
              <w:tc>
                <w:tcPr>
                  <w:tcW w:w="1737"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2" w:type="dxa"/>
                  <w:vMerge w:val="continue"/>
                  <w:tcMar>
                    <w:left w:w="6" w:type="dxa"/>
                    <w:right w:w="6" w:type="dxa"/>
                  </w:tcMar>
                  <w:vAlign w:val="center"/>
                </w:tcPr>
                <w:p>
                  <w:pPr>
                    <w:pStyle w:val="43"/>
                    <w:tabs>
                      <w:tab w:val="left" w:pos="5530"/>
                    </w:tabs>
                    <w:spacing w:line="240" w:lineRule="exact"/>
                    <w:rPr>
                      <w:rFonts w:cs="Times New Roman"/>
                      <w:color w:val="000000"/>
                      <w:szCs w:val="21"/>
                      <w:lang w:val="en-US"/>
                    </w:rPr>
                  </w:pPr>
                </w:p>
              </w:tc>
              <w:tc>
                <w:tcPr>
                  <w:tcW w:w="1956"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hint="eastAsia" w:cs="Times New Roman"/>
                      <w:color w:val="000000"/>
                      <w:szCs w:val="21"/>
                      <w:lang w:val="en-US"/>
                    </w:rPr>
                    <w:t>废边角料及不合格产品</w:t>
                  </w:r>
                </w:p>
              </w:tc>
              <w:tc>
                <w:tcPr>
                  <w:tcW w:w="954"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10t/a</w:t>
                  </w:r>
                </w:p>
              </w:tc>
              <w:tc>
                <w:tcPr>
                  <w:tcW w:w="832"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10</w:t>
                  </w:r>
                </w:p>
              </w:tc>
              <w:tc>
                <w:tcPr>
                  <w:tcW w:w="1477" w:type="dxa"/>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292-001-06</w:t>
                  </w:r>
                </w:p>
              </w:tc>
              <w:tc>
                <w:tcPr>
                  <w:tcW w:w="1737"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hint="eastAsia" w:cs="Times New Roman"/>
                      <w:lang w:val="en-US"/>
                    </w:rPr>
                    <w:t>原材料厂家回收利用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2" w:type="dxa"/>
                  <w:vMerge w:val="continue"/>
                  <w:tcMar>
                    <w:left w:w="6" w:type="dxa"/>
                    <w:right w:w="6" w:type="dxa"/>
                  </w:tcMar>
                  <w:vAlign w:val="center"/>
                </w:tcPr>
                <w:p>
                  <w:pPr>
                    <w:pStyle w:val="43"/>
                    <w:tabs>
                      <w:tab w:val="left" w:pos="5530"/>
                    </w:tabs>
                    <w:spacing w:line="240" w:lineRule="exact"/>
                    <w:rPr>
                      <w:rFonts w:cs="Times New Roman"/>
                      <w:color w:val="000000"/>
                      <w:szCs w:val="21"/>
                      <w:lang w:val="en-US"/>
                    </w:rPr>
                  </w:pPr>
                </w:p>
              </w:tc>
              <w:tc>
                <w:tcPr>
                  <w:tcW w:w="1956" w:type="dxa"/>
                  <w:tcMar>
                    <w:left w:w="6" w:type="dxa"/>
                    <w:right w:w="6" w:type="dxa"/>
                  </w:tcMar>
                  <w:vAlign w:val="center"/>
                </w:tcPr>
                <w:p>
                  <w:pPr>
                    <w:pStyle w:val="43"/>
                    <w:rPr>
                      <w:rFonts w:cs="Times New Roman"/>
                      <w:lang w:val="en-US"/>
                    </w:rPr>
                  </w:pPr>
                  <w:r>
                    <w:rPr>
                      <w:rFonts w:cs="Times New Roman"/>
                    </w:rPr>
                    <w:t>布袋除尘设备收集的粉尘</w:t>
                  </w:r>
                </w:p>
              </w:tc>
              <w:tc>
                <w:tcPr>
                  <w:tcW w:w="954"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0.205t/a</w:t>
                  </w:r>
                </w:p>
              </w:tc>
              <w:tc>
                <w:tcPr>
                  <w:tcW w:w="832"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08</w:t>
                  </w:r>
                </w:p>
              </w:tc>
              <w:tc>
                <w:tcPr>
                  <w:tcW w:w="1477" w:type="dxa"/>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292-001-06</w:t>
                  </w:r>
                </w:p>
              </w:tc>
              <w:tc>
                <w:tcPr>
                  <w:tcW w:w="1737"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hint="eastAsia" w:cs="Times New Roman"/>
                      <w:lang w:val="en-US"/>
                    </w:rPr>
                    <w:t>原材料厂家回收利用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2" w:type="dxa"/>
                  <w:vMerge w:val="continue"/>
                  <w:tcMar>
                    <w:left w:w="6" w:type="dxa"/>
                    <w:right w:w="6" w:type="dxa"/>
                  </w:tcMar>
                  <w:vAlign w:val="center"/>
                </w:tcPr>
                <w:p>
                  <w:pPr>
                    <w:pStyle w:val="43"/>
                    <w:tabs>
                      <w:tab w:val="left" w:pos="5530"/>
                    </w:tabs>
                    <w:spacing w:line="240" w:lineRule="exact"/>
                    <w:rPr>
                      <w:rFonts w:cs="Times New Roman"/>
                      <w:color w:val="000000"/>
                      <w:szCs w:val="21"/>
                      <w:lang w:val="en-US"/>
                    </w:rPr>
                  </w:pPr>
                </w:p>
              </w:tc>
              <w:tc>
                <w:tcPr>
                  <w:tcW w:w="1956"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废包装材料</w:t>
                  </w:r>
                </w:p>
              </w:tc>
              <w:tc>
                <w:tcPr>
                  <w:tcW w:w="954"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bCs/>
                      <w:color w:val="000000"/>
                      <w:szCs w:val="21"/>
                      <w:lang w:val="en-US"/>
                    </w:rPr>
                    <w:t>1t/a</w:t>
                  </w:r>
                </w:p>
              </w:tc>
              <w:tc>
                <w:tcPr>
                  <w:tcW w:w="832"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07</w:t>
                  </w:r>
                </w:p>
              </w:tc>
              <w:tc>
                <w:tcPr>
                  <w:tcW w:w="1477" w:type="dxa"/>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223-009-07</w:t>
                  </w:r>
                </w:p>
              </w:tc>
              <w:tc>
                <w:tcPr>
                  <w:tcW w:w="1737" w:type="dxa"/>
                  <w:tcMar>
                    <w:left w:w="6" w:type="dxa"/>
                    <w:right w:w="6" w:type="dxa"/>
                  </w:tcMar>
                  <w:vAlign w:val="center"/>
                </w:tcPr>
                <w:p>
                  <w:pPr>
                    <w:adjustRightInd w:val="0"/>
                    <w:snapToGrid w:val="0"/>
                    <w:spacing w:line="240" w:lineRule="exact"/>
                    <w:jc w:val="center"/>
                    <w:rPr>
                      <w:rFonts w:ascii="Times New Roman" w:hAnsi="Times New Roman" w:cs="Times New Roman"/>
                      <w:color w:val="000000"/>
                      <w:szCs w:val="21"/>
                      <w:lang w:val="en-US"/>
                    </w:rPr>
                  </w:pPr>
                  <w:r>
                    <w:rPr>
                      <w:rFonts w:ascii="Times New Roman" w:hAnsi="Times New Roman" w:cs="Times New Roman"/>
                      <w:color w:val="000000"/>
                      <w:sz w:val="21"/>
                      <w:szCs w:val="21"/>
                    </w:rPr>
                    <w:t>定期外售综合利用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2" w:type="dxa"/>
                  <w:vMerge w:val="restart"/>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危险废物</w:t>
                  </w:r>
                </w:p>
              </w:tc>
              <w:tc>
                <w:tcPr>
                  <w:tcW w:w="1956"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废机油</w:t>
                  </w:r>
                </w:p>
              </w:tc>
              <w:tc>
                <w:tcPr>
                  <w:tcW w:w="954"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0.03t/a</w:t>
                  </w:r>
                </w:p>
              </w:tc>
              <w:tc>
                <w:tcPr>
                  <w:tcW w:w="832"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bCs/>
                      <w:color w:val="000000"/>
                      <w:szCs w:val="21"/>
                      <w:lang w:val="en-US"/>
                    </w:rPr>
                    <w:t>HW08</w:t>
                  </w:r>
                </w:p>
              </w:tc>
              <w:tc>
                <w:tcPr>
                  <w:tcW w:w="1477" w:type="dxa"/>
                  <w:vAlign w:val="center"/>
                </w:tcPr>
                <w:p>
                  <w:pPr>
                    <w:pStyle w:val="43"/>
                    <w:tabs>
                      <w:tab w:val="left" w:pos="5530"/>
                    </w:tabs>
                    <w:spacing w:line="240" w:lineRule="exact"/>
                    <w:rPr>
                      <w:rFonts w:cs="Times New Roman"/>
                      <w:color w:val="000000"/>
                      <w:szCs w:val="21"/>
                      <w:lang w:val="en-US"/>
                    </w:rPr>
                  </w:pPr>
                  <w:r>
                    <w:rPr>
                      <w:rFonts w:cs="Times New Roman"/>
                      <w:bCs/>
                      <w:color w:val="000000"/>
                      <w:szCs w:val="21"/>
                      <w:lang w:val="en-US"/>
                    </w:rPr>
                    <w:t>900-214-08</w:t>
                  </w:r>
                </w:p>
              </w:tc>
              <w:tc>
                <w:tcPr>
                  <w:tcW w:w="1737" w:type="dxa"/>
                  <w:vMerge w:val="restart"/>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2" w:type="dxa"/>
                  <w:vMerge w:val="continue"/>
                  <w:tcMar>
                    <w:left w:w="6" w:type="dxa"/>
                    <w:right w:w="6" w:type="dxa"/>
                  </w:tcMar>
                  <w:vAlign w:val="center"/>
                </w:tcPr>
                <w:p>
                  <w:pPr>
                    <w:pStyle w:val="43"/>
                    <w:tabs>
                      <w:tab w:val="left" w:pos="5530"/>
                    </w:tabs>
                    <w:spacing w:line="240" w:lineRule="exact"/>
                    <w:rPr>
                      <w:rFonts w:cs="Times New Roman"/>
                      <w:color w:val="000000"/>
                      <w:szCs w:val="21"/>
                      <w:lang w:val="en-US"/>
                    </w:rPr>
                  </w:pPr>
                </w:p>
              </w:tc>
              <w:tc>
                <w:tcPr>
                  <w:tcW w:w="1956"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废活性炭</w:t>
                  </w:r>
                </w:p>
              </w:tc>
              <w:tc>
                <w:tcPr>
                  <w:tcW w:w="954"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cs="Times New Roman"/>
                      <w:color w:val="000000"/>
                      <w:szCs w:val="21"/>
                      <w:lang w:val="en-US"/>
                    </w:rPr>
                    <w:t>3.645t/a</w:t>
                  </w:r>
                </w:p>
              </w:tc>
              <w:tc>
                <w:tcPr>
                  <w:tcW w:w="832" w:type="dxa"/>
                  <w:tcMar>
                    <w:left w:w="6" w:type="dxa"/>
                    <w:right w:w="6" w:type="dxa"/>
                  </w:tcMar>
                  <w:vAlign w:val="center"/>
                </w:tcPr>
                <w:p>
                  <w:pPr>
                    <w:pStyle w:val="43"/>
                    <w:tabs>
                      <w:tab w:val="left" w:pos="5530"/>
                    </w:tabs>
                    <w:spacing w:line="240" w:lineRule="exact"/>
                    <w:rPr>
                      <w:rFonts w:cs="Times New Roman"/>
                      <w:bCs/>
                      <w:color w:val="000000"/>
                      <w:szCs w:val="21"/>
                      <w:lang w:val="en-US"/>
                    </w:rPr>
                  </w:pPr>
                  <w:r>
                    <w:rPr>
                      <w:rFonts w:cs="Times New Roman"/>
                      <w:bCs/>
                      <w:color w:val="000000"/>
                      <w:szCs w:val="21"/>
                      <w:lang w:val="en-US"/>
                    </w:rPr>
                    <w:t>HW49</w:t>
                  </w:r>
                </w:p>
              </w:tc>
              <w:tc>
                <w:tcPr>
                  <w:tcW w:w="1477" w:type="dxa"/>
                  <w:vAlign w:val="center"/>
                </w:tcPr>
                <w:p>
                  <w:pPr>
                    <w:pStyle w:val="43"/>
                    <w:tabs>
                      <w:tab w:val="left" w:pos="5530"/>
                    </w:tabs>
                    <w:spacing w:line="240" w:lineRule="exact"/>
                    <w:rPr>
                      <w:rFonts w:cs="Times New Roman"/>
                      <w:bCs/>
                      <w:color w:val="000000"/>
                      <w:szCs w:val="21"/>
                      <w:lang w:val="en-US"/>
                    </w:rPr>
                  </w:pPr>
                  <w:r>
                    <w:rPr>
                      <w:rFonts w:cs="Times New Roman"/>
                      <w:bCs/>
                      <w:color w:val="000000"/>
                      <w:szCs w:val="21"/>
                      <w:lang w:val="en-US"/>
                    </w:rPr>
                    <w:t>900-041-49</w:t>
                  </w:r>
                </w:p>
              </w:tc>
              <w:tc>
                <w:tcPr>
                  <w:tcW w:w="1737" w:type="dxa"/>
                  <w:vMerge w:val="continue"/>
                  <w:tcMar>
                    <w:left w:w="6" w:type="dxa"/>
                    <w:right w:w="6" w:type="dxa"/>
                  </w:tcMar>
                  <w:vAlign w:val="center"/>
                </w:tcPr>
                <w:p>
                  <w:pPr>
                    <w:pStyle w:val="43"/>
                    <w:tabs>
                      <w:tab w:val="left" w:pos="5530"/>
                    </w:tabs>
                    <w:spacing w:line="240" w:lineRule="exact"/>
                    <w:rPr>
                      <w:rFonts w:cs="Times New Roman"/>
                      <w:color w:val="000000"/>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2" w:type="dxa"/>
                  <w:vMerge w:val="continue"/>
                  <w:tcMar>
                    <w:left w:w="6" w:type="dxa"/>
                    <w:right w:w="6" w:type="dxa"/>
                  </w:tcMar>
                  <w:vAlign w:val="center"/>
                </w:tcPr>
                <w:p>
                  <w:pPr>
                    <w:pStyle w:val="43"/>
                    <w:tabs>
                      <w:tab w:val="left" w:pos="5530"/>
                    </w:tabs>
                    <w:spacing w:line="240" w:lineRule="exact"/>
                    <w:rPr>
                      <w:rFonts w:cs="Times New Roman"/>
                      <w:color w:val="000000"/>
                      <w:szCs w:val="21"/>
                      <w:lang w:val="en-US"/>
                    </w:rPr>
                  </w:pPr>
                </w:p>
              </w:tc>
              <w:tc>
                <w:tcPr>
                  <w:tcW w:w="1956"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hint="eastAsia" w:cs="Times New Roman"/>
                      <w:color w:val="000000"/>
                      <w:szCs w:val="21"/>
                      <w:lang w:val="en-US"/>
                    </w:rPr>
                    <w:t>废UV灯管</w:t>
                  </w:r>
                </w:p>
              </w:tc>
              <w:tc>
                <w:tcPr>
                  <w:tcW w:w="954" w:type="dxa"/>
                  <w:tcMar>
                    <w:left w:w="6" w:type="dxa"/>
                    <w:right w:w="6" w:type="dxa"/>
                  </w:tcMar>
                  <w:vAlign w:val="center"/>
                </w:tcPr>
                <w:p>
                  <w:pPr>
                    <w:pStyle w:val="43"/>
                    <w:tabs>
                      <w:tab w:val="left" w:pos="5530"/>
                    </w:tabs>
                    <w:spacing w:line="240" w:lineRule="exact"/>
                    <w:rPr>
                      <w:rFonts w:cs="Times New Roman"/>
                      <w:color w:val="000000"/>
                      <w:szCs w:val="21"/>
                      <w:lang w:val="en-US"/>
                    </w:rPr>
                  </w:pPr>
                  <w:r>
                    <w:rPr>
                      <w:rFonts w:hint="eastAsia" w:cs="Times New Roman"/>
                      <w:color w:val="000000"/>
                      <w:szCs w:val="21"/>
                      <w:lang w:val="en-US"/>
                    </w:rPr>
                    <w:t>0.01t/a</w:t>
                  </w:r>
                </w:p>
              </w:tc>
              <w:tc>
                <w:tcPr>
                  <w:tcW w:w="832" w:type="dxa"/>
                  <w:tcMar>
                    <w:left w:w="6" w:type="dxa"/>
                    <w:right w:w="6" w:type="dxa"/>
                  </w:tcMar>
                  <w:vAlign w:val="center"/>
                </w:tcPr>
                <w:p>
                  <w:pPr>
                    <w:pStyle w:val="43"/>
                    <w:tabs>
                      <w:tab w:val="left" w:pos="5530"/>
                    </w:tabs>
                    <w:spacing w:line="240" w:lineRule="exact"/>
                    <w:rPr>
                      <w:rFonts w:cs="Times New Roman"/>
                      <w:bCs/>
                      <w:color w:val="000000"/>
                      <w:szCs w:val="21"/>
                      <w:lang w:val="en-US"/>
                    </w:rPr>
                  </w:pPr>
                  <w:r>
                    <w:rPr>
                      <w:rFonts w:hint="eastAsia" w:cs="Times New Roman"/>
                      <w:bCs/>
                      <w:color w:val="000000"/>
                      <w:szCs w:val="21"/>
                      <w:lang w:val="en-US"/>
                    </w:rPr>
                    <w:t>HW29</w:t>
                  </w:r>
                </w:p>
              </w:tc>
              <w:tc>
                <w:tcPr>
                  <w:tcW w:w="1477" w:type="dxa"/>
                  <w:vAlign w:val="center"/>
                </w:tcPr>
                <w:p>
                  <w:pPr>
                    <w:pStyle w:val="43"/>
                    <w:tabs>
                      <w:tab w:val="left" w:pos="5530"/>
                    </w:tabs>
                    <w:spacing w:line="240" w:lineRule="exact"/>
                    <w:rPr>
                      <w:rFonts w:cs="Times New Roman"/>
                      <w:bCs/>
                      <w:color w:val="000000"/>
                      <w:szCs w:val="21"/>
                      <w:lang w:val="en-US"/>
                    </w:rPr>
                  </w:pPr>
                  <w:r>
                    <w:rPr>
                      <w:rFonts w:hint="eastAsia" w:cs="Times New Roman"/>
                      <w:bCs/>
                      <w:color w:val="000000"/>
                      <w:szCs w:val="21"/>
                      <w:lang w:val="en-US"/>
                    </w:rPr>
                    <w:t>900-023-29</w:t>
                  </w:r>
                </w:p>
              </w:tc>
              <w:tc>
                <w:tcPr>
                  <w:tcW w:w="1737" w:type="dxa"/>
                  <w:vMerge w:val="continue"/>
                  <w:tcMar>
                    <w:left w:w="6" w:type="dxa"/>
                    <w:right w:w="6" w:type="dxa"/>
                  </w:tcMar>
                  <w:vAlign w:val="center"/>
                </w:tcPr>
                <w:p>
                  <w:pPr>
                    <w:pStyle w:val="43"/>
                    <w:tabs>
                      <w:tab w:val="left" w:pos="5530"/>
                    </w:tabs>
                    <w:spacing w:line="240" w:lineRule="exact"/>
                    <w:rPr>
                      <w:rFonts w:cs="Times New Roman"/>
                      <w:color w:val="000000"/>
                      <w:szCs w:val="21"/>
                      <w:lang w:val="en-US"/>
                    </w:rPr>
                  </w:pPr>
                </w:p>
              </w:tc>
            </w:tr>
          </w:tbl>
          <w:p>
            <w:pPr>
              <w:pStyle w:val="46"/>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本项目产生的危险固废和一般固废均得到合理有效处置，处置方式均可行，处理率达100%。</w:t>
            </w:r>
          </w:p>
          <w:p>
            <w:pPr>
              <w:pStyle w:val="46"/>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鉴于各类废物将会在厂区内贮存一段时间，特别是危险废物，应采取积极有效的安全措施，严格控制，避免发生二次污染。危险废物暂存时应按照《危险废物贮存污染控制标准》（GB18597-2001）及其修改单的要求进行贮存，项目危废暂存间设置要求如下：</w:t>
            </w:r>
          </w:p>
          <w:p>
            <w:pPr>
              <w:pStyle w:val="46"/>
              <w:numPr>
                <w:ilvl w:val="0"/>
                <w:numId w:val="8"/>
              </w:numPr>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项目产生的废机油、废活性炭、废UV灯管暂存危废暂存间中，并粘附危险固废标签，并标明类别、性质及注意事项。</w:t>
            </w:r>
          </w:p>
          <w:p>
            <w:pPr>
              <w:pStyle w:val="46"/>
              <w:numPr>
                <w:ilvl w:val="0"/>
                <w:numId w:val="8"/>
              </w:numPr>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项目区危废间地面严格进行防渗、防漏、防腐处理。重点防渗区处理方式为：地面和裙脚采用硬化+三布五油处理（地面粘附3层玻璃纤维布，同时涂覆5次防腐涂料）+高密度聚乙烯敷设的方式进行防腐防渗设计；一般防渗区处理方式为：地面和裙脚采用硬化+两布三油处理（地面粘附2层玻璃纤维布，同时涂覆3次防腐涂料）+高密度聚乙烯敷设的方式进行防腐防渗设计。危废暂存间采用分区防渗，重点防渗区为废液桶堆放区、收集池区域及导流沟，一般防渗区为以上区域除外的区域。重点防渗区须达到《危险废物贮存污染控制标准》（GB18597-2001）中6.3.1条“防渗层为至少2mm厚高密度聚乙烯，渗透系数≤10</w:t>
            </w:r>
            <w:r>
              <w:rPr>
                <w:rFonts w:hint="eastAsia" w:ascii="Times New Roman" w:hAnsi="Times New Roman" w:cs="Times New Roman"/>
                <w:vertAlign w:val="superscript"/>
                <w:lang w:val="en-US"/>
              </w:rPr>
              <w:t>-10</w:t>
            </w:r>
            <w:r>
              <w:rPr>
                <w:rFonts w:hint="eastAsia" w:ascii="Times New Roman" w:hAnsi="Times New Roman" w:cs="Times New Roman"/>
                <w:lang w:val="en-US"/>
              </w:rPr>
              <w:t>cm/s”的技术要求，一般防渗区渗透系数≤10</w:t>
            </w:r>
            <w:r>
              <w:rPr>
                <w:rFonts w:hint="eastAsia" w:ascii="Times New Roman" w:hAnsi="Times New Roman" w:cs="Times New Roman"/>
                <w:vertAlign w:val="superscript"/>
                <w:lang w:val="en-US"/>
              </w:rPr>
              <w:t>-7</w:t>
            </w:r>
            <w:r>
              <w:rPr>
                <w:rFonts w:hint="eastAsia" w:ascii="Times New Roman" w:hAnsi="Times New Roman" w:cs="Times New Roman"/>
                <w:lang w:val="en-US"/>
              </w:rPr>
              <w:t>cm/s。</w:t>
            </w:r>
          </w:p>
          <w:p>
            <w:pPr>
              <w:pStyle w:val="46"/>
              <w:numPr>
                <w:ilvl w:val="0"/>
                <w:numId w:val="8"/>
              </w:numPr>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在存放区周边设置导流沟，同时在暂存间内设置1个收集池，导流沟及收集池均按要求做好防腐防渗并加盖板。</w:t>
            </w:r>
          </w:p>
          <w:p>
            <w:pPr>
              <w:pStyle w:val="46"/>
              <w:numPr>
                <w:ilvl w:val="0"/>
                <w:numId w:val="8"/>
              </w:numPr>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暂存间内设计建设堵截泄漏的裙脚。根据GB18597-2001及其修改单要求，总贮存量不超过300kg（L）的危险废物要放入符合标准的容器内，加上标签，容器放入坚固的柜或箱中，危险废物贮存容器要求必须完好无损，且强度满足相应的强度要求，材质与危险废物相容（不相互反应）。本次环评要求设置专门的危废贮存间，危废贮存间面积为5m</w:t>
            </w:r>
            <w:r>
              <w:rPr>
                <w:rFonts w:hint="eastAsia" w:ascii="Times New Roman" w:hAnsi="Times New Roman" w:cs="Times New Roman"/>
                <w:vertAlign w:val="superscript"/>
                <w:lang w:val="en-US"/>
              </w:rPr>
              <w:t>2</w:t>
            </w:r>
            <w:r>
              <w:rPr>
                <w:rFonts w:hint="eastAsia" w:ascii="Times New Roman" w:hAnsi="Times New Roman" w:cs="Times New Roman"/>
                <w:lang w:val="en-US"/>
              </w:rPr>
              <w:t>，为密闭建筑，贮存间具备防渗防漏、防扩散、防雨淋、防流失的措施。项目产生的危险废物收集暂存于危废贮存间内，并设置危险废物识别标志，上锁，钥匙由专人进行管理，危废暂存间建设中防渗等隐蔽工程纳入环境监理。</w:t>
            </w:r>
          </w:p>
          <w:p>
            <w:pPr>
              <w:pStyle w:val="46"/>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根据《危险废物转移联单管理办法》的有关规定，企业产生的危险废物应交由有资质的单位清运处置或由供应厂家回收处置。为便于项目建成后运行管理，公司应与有资质的处置单位签订处置合同或协议，危险废物清运建立转移联单登记，记录危险废物数量、废物属性、转移时间、去向等，保证将生产中产生的危险废物得到安全、经济的处理处置，最大限制地降低其对环境的影响。采取以上措施后，本项目危废间能够满足《危险废物贮存污染控制标准》（GB18597-2001）中相关规定。</w:t>
            </w:r>
          </w:p>
          <w:p>
            <w:pPr>
              <w:pStyle w:val="46"/>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综上所述，项目的固体废物在采取以上措施后，对周围的环境影响较小。</w:t>
            </w:r>
          </w:p>
          <w:p>
            <w:pPr>
              <w:pStyle w:val="46"/>
              <w:snapToGrid w:val="0"/>
              <w:spacing w:line="360" w:lineRule="auto"/>
              <w:ind w:firstLine="482" w:firstLineChars="200"/>
              <w:jc w:val="both"/>
              <w:rPr>
                <w:rFonts w:ascii="Times New Roman" w:hAnsi="Times New Roman" w:cs="Times New Roman"/>
                <w:b/>
                <w:bCs/>
                <w:lang w:val="en-US" w:bidi="ar-SA"/>
              </w:rPr>
            </w:pPr>
            <w:r>
              <w:rPr>
                <w:rFonts w:ascii="Times New Roman" w:hAnsi="Times New Roman" w:cs="Times New Roman"/>
                <w:b/>
                <w:bCs/>
                <w:lang w:val="en-US" w:bidi="ar-SA"/>
              </w:rPr>
              <w:t>五、环境风险分析及防范措施</w:t>
            </w:r>
          </w:p>
          <w:p>
            <w:pPr>
              <w:adjustRightInd w:val="0"/>
              <w:spacing w:line="360" w:lineRule="auto"/>
              <w:ind w:firstLine="482" w:firstLineChars="200"/>
              <w:rPr>
                <w:rFonts w:ascii="Times New Roman" w:hAnsi="Times New Roman" w:cs="Times New Roman"/>
                <w:b/>
                <w:bCs/>
                <w:color w:val="000000"/>
                <w:szCs w:val="21"/>
                <w:lang w:val="en-US"/>
              </w:rPr>
            </w:pPr>
            <w:r>
              <w:rPr>
                <w:rFonts w:ascii="Times New Roman" w:hAnsi="Times New Roman" w:cs="Times New Roman"/>
                <w:b/>
                <w:bCs/>
                <w:color w:val="000000"/>
              </w:rPr>
              <w:t>（1）</w:t>
            </w:r>
            <w:r>
              <w:rPr>
                <w:rFonts w:ascii="Times New Roman" w:hAnsi="Times New Roman" w:cs="Times New Roman"/>
                <w:b/>
                <w:bCs/>
                <w:color w:val="000000"/>
                <w:lang w:val="en-US"/>
              </w:rPr>
              <w:t>风险物质调查</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1）风险评价的目的</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环境风险评价将在分析项目运行期间可能发生的突发性事件或事故（一般不包括人为破坏及自然灾害）或者引起有毒有害和易燃易爆等物质泄漏等事故的可能性，在此基础上预测事故造成的人身安全与环境影响和损害程度，提出合理可行的防范、应急与减缓措施，以使建设项目事故率、损失和环境影响达到可接受水平。</w:t>
            </w:r>
          </w:p>
          <w:p>
            <w:pPr>
              <w:adjustRightInd w:val="0"/>
              <w:spacing w:line="360" w:lineRule="auto"/>
              <w:ind w:firstLine="482" w:firstLineChars="200"/>
              <w:rPr>
                <w:rFonts w:ascii="Times New Roman" w:hAnsi="Times New Roman" w:cs="Times New Roman"/>
                <w:b/>
                <w:bCs/>
                <w:color w:val="000000"/>
              </w:rPr>
            </w:pPr>
            <w:r>
              <w:rPr>
                <w:rFonts w:hint="eastAsia" w:ascii="Times New Roman" w:hAnsi="Times New Roman" w:cs="Times New Roman"/>
                <w:b/>
                <w:bCs/>
                <w:color w:val="000000"/>
              </w:rPr>
              <w:t>（</w:t>
            </w:r>
            <w:r>
              <w:rPr>
                <w:rFonts w:hint="eastAsia" w:ascii="Times New Roman" w:hAnsi="Times New Roman" w:cs="Times New Roman"/>
                <w:b/>
                <w:bCs/>
                <w:color w:val="000000"/>
                <w:lang w:val="en-US"/>
              </w:rPr>
              <w:t>2</w:t>
            </w:r>
            <w:r>
              <w:rPr>
                <w:rFonts w:hint="eastAsia" w:ascii="Times New Roman" w:hAnsi="Times New Roman" w:cs="Times New Roman"/>
                <w:b/>
                <w:bCs/>
                <w:color w:val="000000"/>
              </w:rPr>
              <w:t>）</w:t>
            </w:r>
            <w:r>
              <w:rPr>
                <w:rFonts w:ascii="Times New Roman" w:hAnsi="Times New Roman" w:cs="Times New Roman"/>
                <w:b/>
                <w:bCs/>
                <w:color w:val="000000"/>
              </w:rPr>
              <w:t>环境风险识别</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①主要物料风险识别</w:t>
            </w:r>
          </w:p>
          <w:p>
            <w:pPr>
              <w:adjustRightInd w:val="0"/>
              <w:spacing w:line="360" w:lineRule="auto"/>
              <w:ind w:firstLine="480" w:firstLineChars="200"/>
              <w:rPr>
                <w:rFonts w:ascii="Times New Roman" w:hAnsi="Times New Roman" w:cs="Times New Roman"/>
                <w:color w:val="000000"/>
                <w:lang w:val="en-US"/>
              </w:rPr>
            </w:pPr>
            <w:r>
              <w:rPr>
                <w:rFonts w:ascii="Times New Roman" w:hAnsi="Times New Roman" w:cs="Times New Roman"/>
                <w:color w:val="000000"/>
              </w:rPr>
              <w:t>依据《建设项目环境风险评价技术导则》（HJ169-2018）本项目风险物质主要为</w:t>
            </w:r>
            <w:r>
              <w:rPr>
                <w:rFonts w:ascii="Times New Roman" w:hAnsi="Times New Roman" w:cs="Times New Roman"/>
                <w:color w:val="000000"/>
                <w:lang w:val="en-US"/>
              </w:rPr>
              <w:t>废机油。</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②重大危险源辨识标准</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根据《危险化学品重大危险源识别》（GB18218-2018）标准及《建设项目环境风险评价导则》（GB18218-2018）附录B进行辨识。本项目生产</w:t>
            </w:r>
            <w:r>
              <w:rPr>
                <w:rFonts w:ascii="Times New Roman" w:hAnsi="Times New Roman" w:cs="Times New Roman"/>
                <w:color w:val="000000"/>
                <w:lang w:val="en-US"/>
              </w:rPr>
              <w:t>涉及废机油</w:t>
            </w:r>
            <w:r>
              <w:rPr>
                <w:rFonts w:ascii="Times New Roman" w:hAnsi="Times New Roman" w:cs="Times New Roman"/>
                <w:color w:val="000000"/>
              </w:rPr>
              <w:t>属于环境风险物质，但不属于重大危险源。</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③P的分级确定</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i、危险物质数量与临界量比值（Q）</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根据《建设项目环境风险评价导则》（GB18218-2018）附录B进行对比，</w:t>
            </w:r>
            <w:r>
              <w:rPr>
                <w:rFonts w:ascii="Times New Roman" w:hAnsi="Times New Roman" w:cs="Times New Roman"/>
                <w:color w:val="000000"/>
                <w:lang w:val="en-US"/>
              </w:rPr>
              <w:t>废机油油临界量为2500t。本项目废机油最大存储量0.03t</w:t>
            </w:r>
            <w:r>
              <w:rPr>
                <w:rFonts w:ascii="Times New Roman" w:hAnsi="Times New Roman" w:cs="Times New Roman"/>
                <w:color w:val="000000"/>
              </w:rPr>
              <w:t>。环境风险物质的总数量与其临界量比值，即为Q:</w:t>
            </w:r>
          </w:p>
          <w:p>
            <w:pPr>
              <w:adjustRightInd w:val="0"/>
              <w:spacing w:line="360" w:lineRule="auto"/>
              <w:ind w:firstLine="480" w:firstLineChars="200"/>
              <w:rPr>
                <w:rFonts w:ascii="Times New Roman" w:hAnsi="Times New Roman" w:cs="Times New Roman"/>
                <w:color w:val="000000"/>
                <w:lang w:val="en-US"/>
              </w:rPr>
            </w:pPr>
            <w:r>
              <w:rPr>
                <w:rFonts w:ascii="Times New Roman" w:hAnsi="Times New Roman" w:cs="Times New Roman"/>
                <w:color w:val="000000"/>
              </w:rPr>
              <w:t>Q=</w:t>
            </w:r>
            <w:r>
              <w:rPr>
                <w:rFonts w:ascii="Times New Roman" w:hAnsi="Times New Roman" w:cs="Times New Roman"/>
                <w:color w:val="000000"/>
                <w:lang w:val="en-US"/>
              </w:rPr>
              <w:t>0.03/2500</w:t>
            </w:r>
            <w:r>
              <w:rPr>
                <w:rFonts w:ascii="Times New Roman" w:hAnsi="Times New Roman" w:cs="Times New Roman"/>
                <w:color w:val="000000"/>
              </w:rPr>
              <w:t>=0.</w:t>
            </w:r>
            <w:r>
              <w:rPr>
                <w:rFonts w:ascii="Times New Roman" w:hAnsi="Times New Roman" w:cs="Times New Roman"/>
                <w:color w:val="000000"/>
                <w:lang w:val="en-US"/>
              </w:rPr>
              <w:t>000012&lt;1.</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Q小于1，本项目环境风险潜势为I。</w:t>
            </w:r>
          </w:p>
          <w:p>
            <w:pPr>
              <w:pStyle w:val="10"/>
              <w:rPr>
                <w:color w:val="000000"/>
              </w:rPr>
            </w:pPr>
            <w:r>
              <w:rPr>
                <w:color w:val="000000"/>
              </w:rPr>
              <w:t>表4-18评价工作等级划分表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652"/>
              <w:gridCol w:w="1652"/>
              <w:gridCol w:w="1653"/>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99" w:type="pct"/>
                  <w:tcBorders>
                    <w:top w:val="single" w:color="auto" w:sz="4" w:space="0"/>
                    <w:left w:val="single" w:color="auto" w:sz="4" w:space="0"/>
                    <w:bottom w:val="single" w:color="auto" w:sz="4" w:space="0"/>
                    <w:right w:val="single" w:color="auto" w:sz="4" w:space="0"/>
                  </w:tcBorders>
                  <w:vAlign w:val="center"/>
                </w:tcPr>
                <w:p>
                  <w:pPr>
                    <w:pStyle w:val="47"/>
                  </w:pPr>
                  <w:r>
                    <w:t>环境风险潜势</w:t>
                  </w:r>
                </w:p>
              </w:tc>
              <w:tc>
                <w:tcPr>
                  <w:tcW w:w="999" w:type="pct"/>
                  <w:tcBorders>
                    <w:top w:val="single" w:color="auto" w:sz="4" w:space="0"/>
                    <w:left w:val="single" w:color="auto" w:sz="4" w:space="0"/>
                    <w:bottom w:val="single" w:color="auto" w:sz="4" w:space="0"/>
                    <w:right w:val="single" w:color="auto" w:sz="4" w:space="0"/>
                  </w:tcBorders>
                  <w:vAlign w:val="center"/>
                </w:tcPr>
                <w:p>
                  <w:pPr>
                    <w:pStyle w:val="47"/>
                  </w:pPr>
                  <w:r>
                    <w:t>IV、IV+</w:t>
                  </w:r>
                </w:p>
              </w:tc>
              <w:tc>
                <w:tcPr>
                  <w:tcW w:w="999" w:type="pct"/>
                  <w:tcBorders>
                    <w:top w:val="single" w:color="auto" w:sz="4" w:space="0"/>
                    <w:left w:val="single" w:color="auto" w:sz="4" w:space="0"/>
                    <w:bottom w:val="single" w:color="auto" w:sz="4" w:space="0"/>
                    <w:right w:val="single" w:color="auto" w:sz="4" w:space="0"/>
                  </w:tcBorders>
                  <w:vAlign w:val="center"/>
                </w:tcPr>
                <w:p>
                  <w:pPr>
                    <w:pStyle w:val="47"/>
                  </w:pPr>
                  <w:r>
                    <w:t>III</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t>II</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t>评价工作等级</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t>一</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t>二</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t>三</w:t>
                  </w:r>
                </w:p>
              </w:tc>
              <w:tc>
                <w:tcPr>
                  <w:tcW w:w="1000" w:type="pct"/>
                  <w:tcBorders>
                    <w:top w:val="single" w:color="auto" w:sz="4" w:space="0"/>
                    <w:left w:val="single" w:color="auto" w:sz="4" w:space="0"/>
                    <w:bottom w:val="single" w:color="auto" w:sz="4" w:space="0"/>
                    <w:right w:val="single" w:color="auto" w:sz="4" w:space="0"/>
                  </w:tcBorders>
                  <w:shd w:val="clear" w:color="auto" w:fill="FFC000"/>
                  <w:vAlign w:val="center"/>
                </w:tcPr>
                <w:p>
                  <w:pPr>
                    <w:pStyle w:val="47"/>
                  </w:pPr>
                  <w: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pPr>
                    <w:pStyle w:val="47"/>
                  </w:pPr>
                  <w:r>
                    <w:t>a是相对于详细评价工作内容而言，在描述危险物质、环境影响途径、环境危害后果、风险防范措施等方面给出定性说明。</w:t>
                  </w:r>
                </w:p>
              </w:tc>
            </w:tr>
          </w:tbl>
          <w:p>
            <w:pPr>
              <w:adjustRightInd w:val="0"/>
              <w:spacing w:line="360" w:lineRule="auto"/>
              <w:ind w:firstLine="480" w:firstLineChars="200"/>
              <w:rPr>
                <w:rFonts w:ascii="Times New Roman" w:hAnsi="Times New Roman" w:cs="Times New Roman"/>
                <w:color w:val="000000"/>
                <w:szCs w:val="21"/>
              </w:rPr>
            </w:pPr>
            <w:r>
              <w:rPr>
                <w:rFonts w:ascii="Times New Roman" w:hAnsi="Times New Roman" w:cs="Times New Roman"/>
                <w:color w:val="000000"/>
              </w:rPr>
              <w:t>根据上文对项目环境风险潜势进行判断，项目运行期间不涉及到有毒有害、危险化学品和致病源，环境风险潜势为I，环境风险评价工作等级按导则划分为简单分析。</w:t>
            </w:r>
          </w:p>
          <w:p>
            <w:pPr>
              <w:widowControl/>
              <w:spacing w:line="360" w:lineRule="auto"/>
              <w:ind w:firstLine="480" w:firstLineChars="200"/>
              <w:rPr>
                <w:rFonts w:hint="default" w:ascii="Times New Roman" w:hAnsi="Times New Roman" w:eastAsia="宋体" w:cs="Times New Roman"/>
                <w:bCs/>
              </w:rPr>
            </w:pPr>
            <w:r>
              <w:rPr>
                <w:rFonts w:hint="default" w:ascii="Times New Roman" w:hAnsi="Times New Roman" w:eastAsia="宋体" w:cs="Times New Roman"/>
                <w:bCs/>
              </w:rPr>
              <w:t>（</w:t>
            </w:r>
            <w:r>
              <w:rPr>
                <w:rFonts w:hint="default" w:ascii="Times New Roman" w:hAnsi="Times New Roman" w:eastAsia="宋体" w:cs="Times New Roman"/>
                <w:bCs/>
                <w:lang w:val="en-US"/>
              </w:rPr>
              <w:t>3</w:t>
            </w:r>
            <w:r>
              <w:rPr>
                <w:rFonts w:hint="default" w:ascii="Times New Roman" w:hAnsi="Times New Roman" w:eastAsia="宋体" w:cs="Times New Roman"/>
                <w:bCs/>
              </w:rPr>
              <w:t>）风险识别及分析</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①火灾事故</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项目暂存的废机油具有易燃特性，在存储和使用过程中，如有操作不当，会引发火灾、爆炸。发生该类事故对外环境的影响主要表现为辐射热以及燃烧废气的排放。</w:t>
            </w:r>
          </w:p>
          <w:p>
            <w:pPr>
              <w:spacing w:line="360" w:lineRule="auto"/>
              <w:ind w:firstLine="480" w:firstLineChars="200"/>
              <w:rPr>
                <w:rFonts w:hint="default" w:ascii="Times New Roman" w:hAnsi="Times New Roman" w:cs="Times New Roman"/>
              </w:rPr>
            </w:pPr>
            <w:r>
              <w:rPr>
                <w:rFonts w:hint="default" w:ascii="Times New Roman" w:hAnsi="Times New Roman" w:cs="Times New Roman"/>
                <w:bCs/>
              </w:rPr>
              <w:t>②</w:t>
            </w:r>
            <w:r>
              <w:rPr>
                <w:rFonts w:hint="default" w:ascii="Times New Roman" w:hAnsi="Times New Roman" w:cs="Times New Roman"/>
              </w:rPr>
              <w:t>大气环境风险</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废机油遇明火发生火灾事故，产生CO和CO</w:t>
            </w:r>
            <w:r>
              <w:rPr>
                <w:rFonts w:hint="default" w:ascii="Times New Roman" w:hAnsi="Times New Roman" w:cs="Times New Roman"/>
                <w:vertAlign w:val="subscript"/>
              </w:rPr>
              <w:t>2</w:t>
            </w:r>
            <w:r>
              <w:rPr>
                <w:rFonts w:hint="default" w:ascii="Times New Roman" w:hAnsi="Times New Roman" w:cs="Times New Roman"/>
              </w:rPr>
              <w:t>等污染物，排放到大气环境中会污染大气环境，项目区存储量较小，发生火灾爆炸事故的概率较小，在发生火灾时能够及时采取措施在最短时间内将火扑灭，废气产生量很小，在扑灭后经空气扩散稀释后对大气环境影响较小。废气治理设施因停电或故障未能正常运行时，有机废气未经处理直接排放，造成局部大气不良影响。</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③地表水、地下水、土壤环境风险</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废机油存在泄露风险，使用或存储过程如发生泄露，则泄露物料可能会进入雨水管道、地表水体，对地表水体环境产生一定影响，甚至通过下渗对地下水和土壤造成影响；废机油泄漏一旦进入周边水体，将造成水体的污染，由于废机油难溶于水，大部分上浮在水层表面，形成一层油膜使空气隔离，造成水中溶解氧浓度降低，逐渐形成死水，致使水中生物死亡。且废机油、废拉丝油、拉丝油遇明火发生火灾事故时需使用大量水来灭火，此过程会产生大量消防废水，消防废水一旦进入周边地表水体，将造成地表水体的污染。</w:t>
            </w:r>
          </w:p>
          <w:p>
            <w:pPr>
              <w:widowControl/>
              <w:spacing w:line="360" w:lineRule="auto"/>
              <w:ind w:firstLine="480" w:firstLineChars="200"/>
              <w:rPr>
                <w:rFonts w:hint="default" w:ascii="Times New Roman" w:hAnsi="Times New Roman" w:eastAsia="宋体" w:cs="Times New Roman"/>
                <w:bCs/>
              </w:rPr>
            </w:pPr>
            <w:r>
              <w:rPr>
                <w:rFonts w:hint="default" w:ascii="Times New Roman" w:hAnsi="Times New Roman" w:eastAsia="宋体" w:cs="Times New Roman"/>
                <w:bCs/>
              </w:rPr>
              <w:t>（</w:t>
            </w:r>
            <w:r>
              <w:rPr>
                <w:rFonts w:hint="default" w:ascii="Times New Roman" w:hAnsi="Times New Roman" w:eastAsia="宋体" w:cs="Times New Roman"/>
                <w:bCs/>
                <w:lang w:val="en-US"/>
              </w:rPr>
              <w:t>4</w:t>
            </w:r>
            <w:r>
              <w:rPr>
                <w:rFonts w:hint="default" w:ascii="Times New Roman" w:hAnsi="Times New Roman" w:eastAsia="宋体" w:cs="Times New Roman"/>
                <w:bCs/>
              </w:rPr>
              <w:t>）风险防范措施</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本次环评提出以下风险管理措施：</w:t>
            </w:r>
          </w:p>
          <w:p>
            <w:pPr>
              <w:widowControl/>
              <w:spacing w:line="360" w:lineRule="auto"/>
              <w:ind w:firstLine="480" w:firstLineChars="200"/>
              <w:rPr>
                <w:rFonts w:hint="default" w:ascii="Times New Roman" w:hAnsi="Times New Roman" w:eastAsia="宋体" w:cs="Times New Roman"/>
                <w:lang w:bidi="ar"/>
              </w:rPr>
            </w:pPr>
            <w:r>
              <w:rPr>
                <w:rFonts w:hint="default" w:ascii="Times New Roman" w:hAnsi="Times New Roman" w:eastAsia="宋体" w:cs="Times New Roman"/>
                <w:lang w:bidi="ar"/>
              </w:rPr>
              <w:t>火灾事故：</w:t>
            </w:r>
          </w:p>
          <w:p>
            <w:pPr>
              <w:widowControl/>
              <w:spacing w:line="360" w:lineRule="auto"/>
              <w:ind w:firstLine="480" w:firstLineChars="200"/>
              <w:rPr>
                <w:rFonts w:hint="default" w:ascii="Times New Roman" w:hAnsi="Times New Roman" w:cs="Times New Roman"/>
              </w:rPr>
            </w:pPr>
            <w:r>
              <w:rPr>
                <w:rFonts w:hint="default" w:ascii="Times New Roman" w:hAnsi="Times New Roman" w:cs="Times New Roman"/>
                <w:lang w:bidi="ar"/>
              </w:rPr>
              <w:t xml:space="preserve">①废机油储存区应设置围堰，防止泄漏外溢； </w:t>
            </w:r>
          </w:p>
          <w:p>
            <w:pPr>
              <w:widowControl/>
              <w:spacing w:line="360" w:lineRule="auto"/>
              <w:ind w:firstLine="480" w:firstLineChars="200"/>
              <w:rPr>
                <w:rFonts w:hint="default" w:ascii="Times New Roman" w:hAnsi="Times New Roman" w:cs="Times New Roman"/>
              </w:rPr>
            </w:pPr>
            <w:r>
              <w:rPr>
                <w:rFonts w:hint="default" w:ascii="Times New Roman" w:hAnsi="Times New Roman" w:cs="Times New Roman"/>
                <w:lang w:bidi="ar"/>
              </w:rPr>
              <w:t xml:space="preserve">②车间、储存区域粘贴禁止明火标识牌； </w:t>
            </w:r>
          </w:p>
          <w:p>
            <w:pPr>
              <w:widowControl/>
              <w:spacing w:line="360" w:lineRule="auto"/>
              <w:ind w:firstLine="480" w:firstLineChars="200"/>
              <w:rPr>
                <w:rFonts w:hint="default" w:ascii="Times New Roman" w:hAnsi="Times New Roman" w:cs="Times New Roman"/>
              </w:rPr>
            </w:pPr>
            <w:r>
              <w:rPr>
                <w:rFonts w:hint="default" w:ascii="Times New Roman" w:hAnsi="Times New Roman" w:cs="Times New Roman"/>
                <w:lang w:bidi="ar"/>
              </w:rPr>
              <w:t xml:space="preserve">③定期查看有无泄漏情况； </w:t>
            </w:r>
          </w:p>
          <w:p>
            <w:pPr>
              <w:widowControl/>
              <w:spacing w:line="360" w:lineRule="auto"/>
              <w:ind w:firstLine="480" w:firstLineChars="200"/>
              <w:rPr>
                <w:rFonts w:hint="default" w:ascii="Times New Roman" w:hAnsi="Times New Roman" w:cs="Times New Roman"/>
              </w:rPr>
            </w:pPr>
            <w:r>
              <w:rPr>
                <w:rFonts w:hint="default" w:ascii="Times New Roman" w:hAnsi="Times New Roman" w:cs="Times New Roman"/>
                <w:lang w:bidi="ar"/>
              </w:rPr>
              <w:t xml:space="preserve">④生产区风险防范措施：配备完善的消防措施，加强安全管理，加强安全生产教育，加强生产安全卫生监督，加强设备、管道、阀门等密封检查与维护等； </w:t>
            </w:r>
          </w:p>
          <w:p>
            <w:pPr>
              <w:widowControl/>
              <w:spacing w:line="360" w:lineRule="auto"/>
              <w:ind w:firstLine="480" w:firstLineChars="200"/>
              <w:rPr>
                <w:rFonts w:hint="default" w:ascii="Times New Roman" w:hAnsi="Times New Roman" w:cs="Times New Roman"/>
              </w:rPr>
            </w:pPr>
            <w:r>
              <w:rPr>
                <w:rFonts w:hint="default" w:ascii="Times New Roman" w:hAnsi="Times New Roman" w:cs="Times New Roman"/>
                <w:lang w:bidi="ar"/>
              </w:rPr>
              <w:t xml:space="preserve">⑤项目区按照《建筑灭火器配置设计规范》（GB50140-2010）的要求设置消防设施及灭火器材，灭火器材应放在明显、易取的地方，应定期对消防设施及灭火器材进行检查、维护。 </w:t>
            </w:r>
          </w:p>
          <w:p>
            <w:pPr>
              <w:widowControl/>
              <w:spacing w:line="360" w:lineRule="auto"/>
              <w:ind w:firstLine="480" w:firstLineChars="200"/>
              <w:rPr>
                <w:rFonts w:hint="default" w:ascii="Times New Roman" w:hAnsi="Times New Roman" w:cs="Times New Roman"/>
                <w:lang w:bidi="ar"/>
              </w:rPr>
            </w:pPr>
            <w:r>
              <w:rPr>
                <w:rFonts w:hint="default" w:ascii="Times New Roman" w:hAnsi="Times New Roman" w:cs="Times New Roman"/>
                <w:lang w:bidi="ar"/>
              </w:rPr>
              <w:t>⑥危废暂存间进行防雨、防渗、防流失处理，房间设置明显标识，远离火种、热源。应与氧化剂分开存放，切忌混储。配备相应品种和数量的消防器材，项目产生的废润滑油采用专用收集桶收集后暂存于危废暂存间内，最终交有资质单位集中处理。</w:t>
            </w:r>
          </w:p>
          <w:p>
            <w:pPr>
              <w:widowControl/>
              <w:spacing w:line="360" w:lineRule="auto"/>
              <w:ind w:firstLine="480" w:firstLineChars="200"/>
              <w:rPr>
                <w:rFonts w:hint="default" w:ascii="Times New Roman" w:hAnsi="Times New Roman" w:cs="Times New Roman"/>
                <w:lang w:bidi="ar"/>
              </w:rPr>
            </w:pPr>
            <w:r>
              <w:rPr>
                <w:rFonts w:hint="default" w:ascii="Times New Roman" w:hAnsi="Times New Roman" w:cs="Times New Roman"/>
                <w:lang w:bidi="ar"/>
              </w:rPr>
              <w:t>⑦若发生火灾事故，会产生消防废液，消防废液禁止外排，经检测后委托有资质单位进行处置。</w:t>
            </w:r>
          </w:p>
          <w:p>
            <w:pPr>
              <w:widowControl/>
              <w:spacing w:line="360" w:lineRule="auto"/>
              <w:ind w:firstLine="480" w:firstLineChars="200"/>
              <w:rPr>
                <w:rFonts w:hint="default" w:ascii="Times New Roman" w:hAnsi="Times New Roman" w:eastAsia="宋体" w:cs="Times New Roman"/>
                <w:lang w:bidi="ar"/>
              </w:rPr>
            </w:pPr>
            <w:r>
              <w:rPr>
                <w:rFonts w:hint="default" w:ascii="Times New Roman" w:hAnsi="Times New Roman" w:eastAsia="宋体" w:cs="Times New Roman"/>
                <w:lang w:bidi="ar"/>
              </w:rPr>
              <w:t>危险物质泄露：</w:t>
            </w:r>
          </w:p>
          <w:p>
            <w:pPr>
              <w:widowControl/>
              <w:spacing w:line="360" w:lineRule="auto"/>
              <w:ind w:firstLine="480" w:firstLineChars="200"/>
              <w:rPr>
                <w:rFonts w:hint="default" w:ascii="Times New Roman" w:hAnsi="Times New Roman" w:cs="Times New Roman"/>
                <w:lang w:bidi="ar"/>
              </w:rPr>
            </w:pPr>
            <w:r>
              <w:rPr>
                <w:rFonts w:hint="default" w:ascii="Times New Roman" w:hAnsi="Times New Roman" w:cs="Times New Roman"/>
                <w:lang w:bidi="ar"/>
              </w:rPr>
              <w:t xml:space="preserve"> ①仓库、危废暂存间应做好防渗防腐处理，避免硬底化被破坏导致下渗；</w:t>
            </w:r>
          </w:p>
          <w:p>
            <w:pPr>
              <w:widowControl/>
              <w:spacing w:line="360" w:lineRule="auto"/>
              <w:ind w:firstLine="480" w:firstLineChars="200"/>
              <w:rPr>
                <w:rFonts w:hint="default" w:ascii="Times New Roman" w:hAnsi="Times New Roman" w:cs="Times New Roman"/>
                <w:lang w:bidi="ar"/>
              </w:rPr>
            </w:pPr>
            <w:r>
              <w:rPr>
                <w:rFonts w:hint="default" w:ascii="Times New Roman" w:hAnsi="Times New Roman" w:cs="Times New Roman"/>
                <w:lang w:bidi="ar"/>
              </w:rPr>
              <w:t xml:space="preserve"> ②拉丝液池和车间应做好周边防护措施，如设置一定高度围堰，防范危险物质泄露蔓延到周边区域；</w:t>
            </w:r>
          </w:p>
          <w:p>
            <w:pPr>
              <w:widowControl/>
              <w:spacing w:line="360" w:lineRule="auto"/>
              <w:ind w:firstLine="480" w:firstLineChars="200"/>
              <w:rPr>
                <w:rFonts w:hint="default" w:ascii="Times New Roman" w:hAnsi="Times New Roman" w:cs="Times New Roman"/>
                <w:lang w:bidi="ar"/>
              </w:rPr>
            </w:pPr>
            <w:r>
              <w:rPr>
                <w:rFonts w:hint="default" w:ascii="Times New Roman" w:hAnsi="Times New Roman" w:cs="Times New Roman"/>
                <w:lang w:bidi="ar"/>
              </w:rPr>
              <w:t xml:space="preserve"> ③定期检查危险物质存储的安全状态，定期检查其包装有无破损，以防止泄露。 </w:t>
            </w:r>
          </w:p>
          <w:p>
            <w:pPr>
              <w:widowControl/>
              <w:spacing w:line="360" w:lineRule="auto"/>
              <w:ind w:firstLine="480" w:firstLineChars="200"/>
              <w:rPr>
                <w:rFonts w:hint="default" w:ascii="Times New Roman" w:hAnsi="Times New Roman" w:eastAsia="宋体" w:cs="Times New Roman"/>
                <w:lang w:bidi="ar"/>
              </w:rPr>
            </w:pPr>
            <w:r>
              <w:rPr>
                <w:rFonts w:hint="default" w:ascii="Times New Roman" w:hAnsi="Times New Roman" w:eastAsia="宋体" w:cs="Times New Roman"/>
                <w:lang w:bidi="ar"/>
              </w:rPr>
              <w:t>废气事故排放：</w:t>
            </w:r>
          </w:p>
          <w:p>
            <w:pPr>
              <w:widowControl/>
              <w:spacing w:line="360" w:lineRule="auto"/>
              <w:ind w:firstLine="480" w:firstLineChars="200"/>
              <w:rPr>
                <w:rFonts w:hint="default" w:ascii="Times New Roman" w:hAnsi="Times New Roman" w:cs="Times New Roman"/>
                <w:lang w:bidi="ar"/>
              </w:rPr>
            </w:pPr>
            <w:r>
              <w:rPr>
                <w:rFonts w:hint="default" w:ascii="Times New Roman" w:hAnsi="Times New Roman" w:cs="Times New Roman"/>
                <w:lang w:bidi="ar"/>
              </w:rPr>
              <w:t xml:space="preserve"> ①加强废气治理设施的日常维护管理，确保废气治理系统处在良好的运转状 态；</w:t>
            </w:r>
          </w:p>
          <w:p>
            <w:pPr>
              <w:widowControl/>
              <w:spacing w:line="360" w:lineRule="auto"/>
              <w:ind w:firstLine="480" w:firstLineChars="200"/>
              <w:rPr>
                <w:rFonts w:hint="default" w:ascii="Times New Roman" w:hAnsi="Times New Roman" w:cs="Times New Roman"/>
                <w:lang w:bidi="ar"/>
              </w:rPr>
            </w:pPr>
            <w:r>
              <w:rPr>
                <w:rFonts w:hint="default" w:ascii="Times New Roman" w:hAnsi="Times New Roman" w:cs="Times New Roman"/>
                <w:lang w:bidi="ar"/>
              </w:rPr>
              <w:t>②委托有资质的监测机构定期对废气排放口监测，掌握污染物的排放情况，建立废气治理措施运行台账管理制度，杜绝废气事故排放。</w:t>
            </w:r>
          </w:p>
          <w:p>
            <w:pPr>
              <w:widowControl/>
              <w:spacing w:line="360" w:lineRule="auto"/>
              <w:ind w:firstLine="480" w:firstLineChars="200"/>
              <w:rPr>
                <w:rFonts w:hint="default" w:ascii="Times New Roman" w:hAnsi="Times New Roman" w:cs="Times New Roman"/>
                <w:bCs/>
              </w:rPr>
            </w:pPr>
            <w:r>
              <w:rPr>
                <w:rFonts w:hint="default" w:ascii="Times New Roman" w:hAnsi="Times New Roman" w:cs="Times New Roman"/>
                <w:lang w:bidi="ar"/>
              </w:rPr>
              <w:t xml:space="preserve"> </w:t>
            </w:r>
            <w:r>
              <w:rPr>
                <w:rFonts w:hint="default" w:ascii="Times New Roman" w:hAnsi="Times New Roman" w:cs="Times New Roman"/>
                <w:bCs/>
              </w:rPr>
              <w:t>项目建设、运营过程中应加强管理，搞好劳动保护，采取积极的风险防范措施，降低事故发生的概率。本评价认为，只要采取环评提出的防范措施，在事故发生时依照应急预案及时处理，拟建项目造成的风险是可控制的。</w:t>
            </w:r>
          </w:p>
          <w:p>
            <w:pPr>
              <w:spacing w:line="360" w:lineRule="auto"/>
              <w:ind w:firstLine="480" w:firstLineChars="200"/>
              <w:rPr>
                <w:rFonts w:hint="default" w:ascii="Times New Roman" w:hAnsi="Times New Roman" w:eastAsia="宋体" w:cs="Times New Roman"/>
                <w:bCs/>
              </w:rPr>
            </w:pPr>
            <w:r>
              <w:rPr>
                <w:rFonts w:hint="default" w:ascii="Times New Roman" w:hAnsi="Times New Roman" w:eastAsia="宋体" w:cs="Times New Roman"/>
                <w:bCs/>
              </w:rPr>
              <w:t>（</w:t>
            </w:r>
            <w:r>
              <w:rPr>
                <w:rFonts w:hint="default" w:ascii="Times New Roman" w:hAnsi="Times New Roman" w:eastAsia="宋体" w:cs="Times New Roman"/>
                <w:bCs/>
                <w:lang w:val="en-US"/>
              </w:rPr>
              <w:t>5</w:t>
            </w:r>
            <w:r>
              <w:rPr>
                <w:rFonts w:hint="default" w:ascii="Times New Roman" w:hAnsi="Times New Roman" w:eastAsia="宋体" w:cs="Times New Roman"/>
                <w:bCs/>
              </w:rPr>
              <w:t>）事故应急预案</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针对以上的事故，为保证项目内部、社会及人民生命财产的安全，防止突发性重大化学危险品事故发生，在事故发生后迅速有效控制处理，防止事故蔓延、扩大，积极组织抢救、抢险、抢修，发挥各职能部门、社会力量的作用，使事故发生的损失减少到最低限度，总结经验，吸取教训，防患于未然。</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根据本环境风险分析的结果，按照《云南省企业单位突发环境事件应急预案指导目录和编制要点（试行）》对于本项目可能造成环境风险的突发性事故制定应急预案纲要，见下表，供项目决策人参考。</w:t>
            </w:r>
          </w:p>
          <w:p>
            <w:pPr>
              <w:spacing w:line="360" w:lineRule="auto"/>
              <w:ind w:firstLine="480" w:firstLineChars="200"/>
              <w:jc w:val="center"/>
              <w:rPr>
                <w:rFonts w:hint="default" w:ascii="Times New Roman" w:hAnsi="Times New Roman" w:eastAsia="宋体" w:cs="Times New Roman"/>
                <w:bCs/>
              </w:rPr>
            </w:pPr>
            <w:r>
              <w:rPr>
                <w:rFonts w:hint="default" w:ascii="Times New Roman" w:hAnsi="Times New Roman" w:eastAsia="宋体" w:cs="Times New Roman"/>
                <w:bCs/>
              </w:rPr>
              <w:t>表4-1</w:t>
            </w:r>
            <w:r>
              <w:rPr>
                <w:rFonts w:hint="default" w:ascii="Times New Roman" w:hAnsi="Times New Roman" w:eastAsia="宋体" w:cs="Times New Roman"/>
                <w:bCs/>
                <w:lang w:val="en-US"/>
              </w:rPr>
              <w:t>9</w:t>
            </w:r>
            <w:r>
              <w:rPr>
                <w:rFonts w:hint="default" w:ascii="Times New Roman" w:hAnsi="Times New Roman" w:eastAsia="宋体" w:cs="Times New Roman"/>
                <w:bCs/>
              </w:rPr>
              <w:t xml:space="preserve"> 环境风险的突发性事故制定应急预案</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910"/>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项目</w:t>
                  </w:r>
                </w:p>
              </w:tc>
              <w:tc>
                <w:tcPr>
                  <w:tcW w:w="5461"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1</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总则</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包括编制目的、依据，使用范围，应急预案体系，应急预案体系，应急预案编制原则。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2</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公司基本情况</w:t>
                  </w:r>
                </w:p>
              </w:tc>
              <w:tc>
                <w:tcPr>
                  <w:tcW w:w="5461" w:type="dxa"/>
                  <w:vAlign w:val="center"/>
                </w:tcPr>
                <w:p>
                  <w:pPr>
                    <w:pStyle w:val="83"/>
                    <w:keepNext w:val="0"/>
                    <w:keepLines w:val="0"/>
                    <w:tabs>
                      <w:tab w:val="left" w:pos="420"/>
                    </w:tabs>
                    <w:adjustRightInd/>
                    <w:snapToGrid/>
                    <w:spacing w:before="0" w:line="240" w:lineRule="auto"/>
                    <w:ind w:right="0"/>
                    <w:jc w:val="both"/>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包括公司概况和生产工艺基本情况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3</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环境风险源及环境风险评价</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包括主要环境风险源识别、风险源事故环境影响分析、风险事故管理。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4</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组织机构及职责</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包括应急组织体系，指挥机构及职责。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5</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预防和预警</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包括环境风险源控制，预警行动，报警、通讯及联络方式。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6</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信息报告与通报</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包括内部报告，信息上报，事故报告内容。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7</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应急响应与措施</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包括分级响应机制，响应程序，应急终止，应急终止后的行动。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8</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后期处置</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包括善后处置，保险，工作总结与评价。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9</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保障措施</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包括通信与信息保障，应急队伍保障，应急物资装备保障，经费保障，其他保障。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10</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培训与演练</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包括培训，演练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07"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11</w:t>
                  </w:r>
                </w:p>
              </w:tc>
              <w:tc>
                <w:tcPr>
                  <w:tcW w:w="1910" w:type="dxa"/>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奖惩</w:t>
                  </w:r>
                </w:p>
              </w:tc>
              <w:tc>
                <w:tcPr>
                  <w:tcW w:w="5461" w:type="dxa"/>
                  <w:vAlign w:val="center"/>
                </w:tcPr>
                <w:p>
                  <w:pPr>
                    <w:rPr>
                      <w:rFonts w:hint="default" w:ascii="Times New Roman" w:hAnsi="Times New Roman" w:cs="Times New Roman"/>
                      <w:bCs/>
                      <w:sz w:val="21"/>
                      <w:szCs w:val="21"/>
                    </w:rPr>
                  </w:pPr>
                  <w:r>
                    <w:rPr>
                      <w:rFonts w:hint="default" w:ascii="Times New Roman" w:hAnsi="Times New Roman" w:cs="Times New Roman"/>
                      <w:bCs/>
                      <w:sz w:val="21"/>
                      <w:szCs w:val="21"/>
                    </w:rPr>
                    <w:t>包括事故应急救援工作实行奖励制，事故应急救援工作实行责任追究制。</w:t>
                  </w:r>
                </w:p>
              </w:tc>
            </w:tr>
          </w:tbl>
          <w:p>
            <w:pPr>
              <w:spacing w:line="360" w:lineRule="auto"/>
              <w:ind w:firstLine="480" w:firstLineChars="200"/>
              <w:rPr>
                <w:rFonts w:hint="default" w:ascii="Times New Roman" w:hAnsi="Times New Roman" w:eastAsia="宋体" w:cs="Times New Roman"/>
                <w:bCs/>
              </w:rPr>
            </w:pPr>
            <w:r>
              <w:rPr>
                <w:rFonts w:hint="default" w:ascii="Times New Roman" w:hAnsi="Times New Roman" w:eastAsia="宋体" w:cs="Times New Roman"/>
                <w:bCs/>
              </w:rPr>
              <w:t>（</w:t>
            </w:r>
            <w:r>
              <w:rPr>
                <w:rFonts w:hint="default" w:ascii="Times New Roman" w:hAnsi="Times New Roman" w:eastAsia="宋体" w:cs="Times New Roman"/>
                <w:bCs/>
                <w:lang w:val="en-US"/>
              </w:rPr>
              <w:t>6</w:t>
            </w:r>
            <w:r>
              <w:rPr>
                <w:rFonts w:hint="default" w:ascii="Times New Roman" w:hAnsi="Times New Roman" w:eastAsia="宋体" w:cs="Times New Roman"/>
                <w:bCs/>
              </w:rPr>
              <w:t>）环境风险结论</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本项目环境风险评价工作级别为简单分析，主要风险事故为</w:t>
            </w:r>
            <w:r>
              <w:rPr>
                <w:rFonts w:hint="default" w:ascii="Times New Roman" w:hAnsi="Times New Roman" w:cs="Times New Roman"/>
                <w:bCs/>
                <w:lang w:val="en-US"/>
              </w:rPr>
              <w:t>废机油</w:t>
            </w:r>
            <w:r>
              <w:rPr>
                <w:rFonts w:hint="default" w:ascii="Times New Roman" w:hAnsi="Times New Roman" w:cs="Times New Roman"/>
                <w:bCs/>
              </w:rPr>
              <w:t>泄露事故，建设单位在采取环评提出的环境风险防控措施，将环境风险控制在可接受范围内，保证厂区工作人员和周围人们的生命财产安全。</w:t>
            </w:r>
          </w:p>
          <w:p>
            <w:pPr>
              <w:pStyle w:val="10"/>
              <w:rPr>
                <w:color w:val="000000"/>
              </w:rPr>
            </w:pPr>
            <w:r>
              <w:rPr>
                <w:color w:val="000000"/>
              </w:rPr>
              <w:t>表4-20建设项目环境风险简单分析内容表</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50"/>
              <w:gridCol w:w="1426"/>
              <w:gridCol w:w="1604"/>
              <w:gridCol w:w="881"/>
              <w:gridCol w:w="857"/>
              <w:gridCol w:w="19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937" w:type="pct"/>
                  <w:vAlign w:val="center"/>
                </w:tcPr>
                <w:p>
                  <w:pPr>
                    <w:pStyle w:val="47"/>
                    <w:spacing w:line="240" w:lineRule="atLeast"/>
                    <w:rPr>
                      <w:b w:val="0"/>
                    </w:rPr>
                  </w:pPr>
                  <w:r>
                    <w:rPr>
                      <w:b w:val="0"/>
                    </w:rPr>
                    <w:t>建设项目名称</w:t>
                  </w:r>
                </w:p>
              </w:tc>
              <w:tc>
                <w:tcPr>
                  <w:tcW w:w="4062" w:type="pct"/>
                  <w:gridSpan w:val="5"/>
                  <w:vAlign w:val="center"/>
                </w:tcPr>
                <w:p>
                  <w:pPr>
                    <w:pStyle w:val="47"/>
                    <w:spacing w:line="240" w:lineRule="atLeast"/>
                    <w:rPr>
                      <w:b w:val="0"/>
                    </w:rPr>
                  </w:pPr>
                  <w:r>
                    <w:rPr>
                      <w:b w:val="0"/>
                      <w:bCs w:val="0"/>
                    </w:rPr>
                    <w:t>年产250吨食品用塑料包装容器工具等制品生产线项目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937" w:type="pct"/>
                  <w:vAlign w:val="center"/>
                </w:tcPr>
                <w:p>
                  <w:pPr>
                    <w:pStyle w:val="47"/>
                    <w:spacing w:line="240" w:lineRule="atLeast"/>
                    <w:rPr>
                      <w:b w:val="0"/>
                    </w:rPr>
                  </w:pPr>
                  <w:r>
                    <w:rPr>
                      <w:b w:val="0"/>
                    </w:rPr>
                    <w:t>建设地点</w:t>
                  </w:r>
                </w:p>
              </w:tc>
              <w:tc>
                <w:tcPr>
                  <w:tcW w:w="862" w:type="pct"/>
                  <w:vAlign w:val="center"/>
                </w:tcPr>
                <w:p>
                  <w:pPr>
                    <w:pStyle w:val="47"/>
                    <w:spacing w:line="240" w:lineRule="atLeast"/>
                    <w:rPr>
                      <w:b w:val="0"/>
                    </w:rPr>
                  </w:pPr>
                  <w:r>
                    <w:rPr>
                      <w:b w:val="0"/>
                    </w:rPr>
                    <w:t>（云南）省</w:t>
                  </w:r>
                </w:p>
              </w:tc>
              <w:tc>
                <w:tcPr>
                  <w:tcW w:w="970" w:type="pct"/>
                  <w:vAlign w:val="center"/>
                </w:tcPr>
                <w:p>
                  <w:pPr>
                    <w:pStyle w:val="47"/>
                    <w:spacing w:line="240" w:lineRule="atLeast"/>
                    <w:rPr>
                      <w:b w:val="0"/>
                    </w:rPr>
                  </w:pPr>
                  <w:r>
                    <w:rPr>
                      <w:b w:val="0"/>
                    </w:rPr>
                    <w:t>（昆明）市</w:t>
                  </w:r>
                </w:p>
              </w:tc>
              <w:tc>
                <w:tcPr>
                  <w:tcW w:w="1051" w:type="pct"/>
                  <w:gridSpan w:val="2"/>
                  <w:vAlign w:val="center"/>
                </w:tcPr>
                <w:p>
                  <w:pPr>
                    <w:pStyle w:val="47"/>
                    <w:spacing w:line="240" w:lineRule="atLeast"/>
                    <w:rPr>
                      <w:b w:val="0"/>
                    </w:rPr>
                  </w:pPr>
                  <w:r>
                    <w:rPr>
                      <w:b w:val="0"/>
                    </w:rPr>
                    <w:t>（晋宁区）区</w:t>
                  </w:r>
                </w:p>
                <w:p>
                  <w:pPr>
                    <w:pStyle w:val="47"/>
                    <w:spacing w:line="240" w:lineRule="atLeast"/>
                    <w:rPr>
                      <w:b w:val="0"/>
                    </w:rPr>
                  </w:pPr>
                  <w:r>
                    <w:rPr>
                      <w:b w:val="0"/>
                    </w:rPr>
                    <w:t>（/）县</w:t>
                  </w:r>
                </w:p>
              </w:tc>
              <w:tc>
                <w:tcPr>
                  <w:tcW w:w="1176" w:type="pct"/>
                  <w:vAlign w:val="center"/>
                </w:tcPr>
                <w:p>
                  <w:pPr>
                    <w:pStyle w:val="47"/>
                    <w:spacing w:line="240" w:lineRule="atLeast"/>
                    <w:rPr>
                      <w:b w:val="0"/>
                    </w:rPr>
                  </w:pPr>
                  <w:r>
                    <w:rPr>
                      <w:b w:val="0"/>
                    </w:rPr>
                    <w:t>晋城基地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937" w:type="pct"/>
                  <w:vAlign w:val="center"/>
                </w:tcPr>
                <w:p>
                  <w:pPr>
                    <w:pStyle w:val="47"/>
                    <w:spacing w:line="240" w:lineRule="atLeast"/>
                    <w:rPr>
                      <w:b w:val="0"/>
                    </w:rPr>
                  </w:pPr>
                  <w:r>
                    <w:rPr>
                      <w:b w:val="0"/>
                    </w:rPr>
                    <w:t>地理坐标</w:t>
                  </w:r>
                </w:p>
              </w:tc>
              <w:tc>
                <w:tcPr>
                  <w:tcW w:w="862" w:type="pct"/>
                  <w:vAlign w:val="center"/>
                </w:tcPr>
                <w:p>
                  <w:pPr>
                    <w:pStyle w:val="47"/>
                    <w:spacing w:line="240" w:lineRule="atLeast"/>
                    <w:rPr>
                      <w:b w:val="0"/>
                      <w:color w:val="000000" w:themeColor="text1"/>
                      <w14:textFill>
                        <w14:solidFill>
                          <w14:schemeClr w14:val="tx1"/>
                        </w14:solidFill>
                      </w14:textFill>
                    </w:rPr>
                  </w:pPr>
                  <w:r>
                    <w:rPr>
                      <w:b w:val="0"/>
                      <w:color w:val="000000" w:themeColor="text1"/>
                      <w14:textFill>
                        <w14:solidFill>
                          <w14:schemeClr w14:val="tx1"/>
                        </w14:solidFill>
                      </w14:textFill>
                    </w:rPr>
                    <w:t>经度</w:t>
                  </w:r>
                </w:p>
              </w:tc>
              <w:tc>
                <w:tcPr>
                  <w:tcW w:w="970" w:type="pct"/>
                  <w:vAlign w:val="center"/>
                </w:tcPr>
                <w:p>
                  <w:pPr>
                    <w:pStyle w:val="47"/>
                    <w:spacing w:line="240" w:lineRule="atLeast"/>
                    <w:rPr>
                      <w:b w:val="0"/>
                      <w:color w:val="000000" w:themeColor="text1"/>
                      <w14:textFill>
                        <w14:solidFill>
                          <w14:schemeClr w14:val="tx1"/>
                        </w14:solidFill>
                      </w14:textFill>
                    </w:rPr>
                  </w:pPr>
                  <w:r>
                    <w:rPr>
                      <w:b w:val="0"/>
                      <w:color w:val="000000" w:themeColor="text1"/>
                      <w14:textFill>
                        <w14:solidFill>
                          <w14:schemeClr w14:val="tx1"/>
                        </w14:solidFill>
                      </w14:textFill>
                    </w:rPr>
                    <w:t>102°45′46″</w:t>
                  </w:r>
                </w:p>
              </w:tc>
              <w:tc>
                <w:tcPr>
                  <w:tcW w:w="533" w:type="pct"/>
                  <w:vAlign w:val="center"/>
                </w:tcPr>
                <w:p>
                  <w:pPr>
                    <w:pStyle w:val="47"/>
                    <w:spacing w:line="240" w:lineRule="atLeast"/>
                    <w:rPr>
                      <w:b w:val="0"/>
                      <w:color w:val="000000" w:themeColor="text1"/>
                      <w14:textFill>
                        <w14:solidFill>
                          <w14:schemeClr w14:val="tx1"/>
                        </w14:solidFill>
                      </w14:textFill>
                    </w:rPr>
                  </w:pPr>
                  <w:r>
                    <w:rPr>
                      <w:b w:val="0"/>
                      <w:color w:val="000000" w:themeColor="text1"/>
                      <w14:textFill>
                        <w14:solidFill>
                          <w14:schemeClr w14:val="tx1"/>
                        </w14:solidFill>
                      </w14:textFill>
                    </w:rPr>
                    <w:t>纬度</w:t>
                  </w:r>
                </w:p>
              </w:tc>
              <w:tc>
                <w:tcPr>
                  <w:tcW w:w="1695" w:type="pct"/>
                  <w:gridSpan w:val="2"/>
                  <w:vAlign w:val="center"/>
                </w:tcPr>
                <w:p>
                  <w:pPr>
                    <w:pStyle w:val="47"/>
                    <w:spacing w:line="240" w:lineRule="atLeast"/>
                    <w:rPr>
                      <w:b w:val="0"/>
                      <w:color w:val="000000" w:themeColor="text1"/>
                      <w14:textFill>
                        <w14:solidFill>
                          <w14:schemeClr w14:val="tx1"/>
                        </w14:solidFill>
                      </w14:textFill>
                    </w:rPr>
                  </w:pPr>
                  <w:r>
                    <w:rPr>
                      <w:b w:val="0"/>
                      <w:color w:val="000000" w:themeColor="text1"/>
                      <w14:textFill>
                        <w14:solidFill>
                          <w14:schemeClr w14:val="tx1"/>
                        </w14:solidFill>
                      </w14:textFill>
                    </w:rPr>
                    <w:t>25°39′55″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937" w:type="pct"/>
                  <w:vAlign w:val="center"/>
                </w:tcPr>
                <w:p>
                  <w:pPr>
                    <w:pStyle w:val="47"/>
                    <w:spacing w:line="240" w:lineRule="atLeast"/>
                    <w:rPr>
                      <w:b w:val="0"/>
                    </w:rPr>
                  </w:pPr>
                  <w:r>
                    <w:rPr>
                      <w:b w:val="0"/>
                    </w:rPr>
                    <w:t>主要危险物质及分布</w:t>
                  </w:r>
                </w:p>
              </w:tc>
              <w:tc>
                <w:tcPr>
                  <w:tcW w:w="4062" w:type="pct"/>
                  <w:gridSpan w:val="5"/>
                  <w:vAlign w:val="center"/>
                </w:tcPr>
                <w:p>
                  <w:pPr>
                    <w:pStyle w:val="47"/>
                    <w:spacing w:line="240" w:lineRule="atLeast"/>
                    <w:rPr>
                      <w:b w:val="0"/>
                      <w:lang w:val="zh-CN"/>
                    </w:rPr>
                  </w:pPr>
                  <w:r>
                    <w:rPr>
                      <w:b w:val="0"/>
                      <w:lang w:val="zh-CN"/>
                    </w:rPr>
                    <w:t>涉及</w:t>
                  </w:r>
                  <w:r>
                    <w:rPr>
                      <w:b w:val="0"/>
                    </w:rPr>
                    <w:t>的风险物质主要为废机油</w:t>
                  </w:r>
                  <w:r>
                    <w:rPr>
                      <w:b w:val="0"/>
                      <w:lang w:val="zh-CN"/>
                    </w:rPr>
                    <w:t>，主要危险废物暂存间进行储存和使用。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937" w:type="pct"/>
                  <w:vAlign w:val="center"/>
                </w:tcPr>
                <w:p>
                  <w:pPr>
                    <w:pStyle w:val="47"/>
                    <w:spacing w:line="240" w:lineRule="atLeast"/>
                    <w:rPr>
                      <w:b w:val="0"/>
                    </w:rPr>
                  </w:pPr>
                  <w:r>
                    <w:rPr>
                      <w:b w:val="0"/>
                    </w:rPr>
                    <w:t>环境影响途径及危害后果（大气、地表水、地下水等）</w:t>
                  </w:r>
                </w:p>
              </w:tc>
              <w:tc>
                <w:tcPr>
                  <w:tcW w:w="4062" w:type="pct"/>
                  <w:gridSpan w:val="5"/>
                  <w:vAlign w:val="center"/>
                </w:tcPr>
                <w:p>
                  <w:pPr>
                    <w:pStyle w:val="47"/>
                    <w:spacing w:line="240" w:lineRule="atLeast"/>
                    <w:rPr>
                      <w:b w:val="0"/>
                    </w:rPr>
                  </w:pPr>
                  <w:r>
                    <w:rPr>
                      <w:b w:val="0"/>
                    </w:rPr>
                    <w:t>对环境产生的影响主要是危风险物质物质泄露进入地下可能对水体和土壤造成污染；遇明火、高热发生火灾，对大气环境造成污染。本项目风险物质存储量较小，危废暂存间均进行了防渗处理，基本不会对地下水、土壤产生影响。在存储过程中远离火种、热源，避免引起火灾及爆炸。所以，本项目对大气环境风险及地下水环境风险产生的影响很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937" w:type="pct"/>
                  <w:vAlign w:val="center"/>
                </w:tcPr>
                <w:p>
                  <w:pPr>
                    <w:pStyle w:val="47"/>
                    <w:spacing w:line="240" w:lineRule="atLeast"/>
                    <w:rPr>
                      <w:b w:val="0"/>
                    </w:rPr>
                  </w:pPr>
                  <w:r>
                    <w:rPr>
                      <w:b w:val="0"/>
                    </w:rPr>
                    <w:t>风险防范措施要求</w:t>
                  </w:r>
                </w:p>
              </w:tc>
              <w:tc>
                <w:tcPr>
                  <w:tcW w:w="4062" w:type="pct"/>
                  <w:gridSpan w:val="5"/>
                  <w:vAlign w:val="center"/>
                </w:tcPr>
                <w:p>
                  <w:pPr>
                    <w:pStyle w:val="47"/>
                    <w:spacing w:line="240" w:lineRule="atLeast"/>
                    <w:rPr>
                      <w:b w:val="0"/>
                    </w:rPr>
                  </w:pPr>
                  <w:r>
                    <w:rPr>
                      <w:b w:val="0"/>
                    </w:rPr>
                    <w:t>本项目风险物质储存于阴凉、通风的库房内，远离火种、热源。危废暂存间粘贴警示标志，周边严禁烟火，防止发生火灾爆炸等危险。</w:t>
                  </w:r>
                </w:p>
                <w:p>
                  <w:pPr>
                    <w:pStyle w:val="47"/>
                    <w:spacing w:line="240" w:lineRule="atLeast"/>
                    <w:jc w:val="both"/>
                    <w:rPr>
                      <w:b w:val="0"/>
                    </w:rPr>
                  </w:pPr>
                  <w:r>
                    <w:rPr>
                      <w:b w:val="0"/>
                    </w:rPr>
                    <w:t>（2）按照《建筑灭火器配置设计规范》（GB50140-2005），库房内配置一定数量不同类型、不同规格的移动式灭火器材，以便及时扑救初始零星火灾。</w:t>
                  </w:r>
                </w:p>
                <w:p>
                  <w:pPr>
                    <w:pStyle w:val="47"/>
                    <w:spacing w:line="240" w:lineRule="atLeast"/>
                    <w:rPr>
                      <w:b w:val="0"/>
                    </w:rPr>
                  </w:pPr>
                  <w:r>
                    <w:rPr>
                      <w:b w:val="0"/>
                    </w:rPr>
                    <w:t>（3）加强日常管理，预防意外泄漏事故，储区应备有泄漏应急处理设备和合适的收容材料。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5000" w:type="pct"/>
                  <w:gridSpan w:val="6"/>
                  <w:vAlign w:val="center"/>
                </w:tcPr>
                <w:p>
                  <w:pPr>
                    <w:pStyle w:val="47"/>
                    <w:spacing w:line="240" w:lineRule="atLeast"/>
                    <w:jc w:val="both"/>
                    <w:rPr>
                      <w:b w:val="0"/>
                    </w:rPr>
                  </w:pPr>
                  <w:r>
                    <w:rPr>
                      <w:b w:val="0"/>
                    </w:rPr>
                    <w:t>填表说明（列出项目相关信息及评价说明）：</w:t>
                  </w:r>
                </w:p>
                <w:p>
                  <w:pPr>
                    <w:pStyle w:val="47"/>
                    <w:spacing w:line="240" w:lineRule="atLeast"/>
                    <w:jc w:val="both"/>
                    <w:rPr>
                      <w:b w:val="0"/>
                    </w:rPr>
                  </w:pPr>
                  <w:r>
                    <w:rPr>
                      <w:b w:val="0"/>
                    </w:rPr>
                    <w:t>根据《建设项目环境风险评价技术导则》（HJ/T169-2018）附录B，本项目所涉及的危险物质为废机油及废导热油，经计算本项目危险物质数量与临界值比值（Q）小于1，则本项目环境风险潜势为Ⅰ，环境风险评级等级为简单分析。</w:t>
                  </w:r>
                </w:p>
              </w:tc>
            </w:tr>
          </w:tbl>
          <w:p>
            <w:pPr>
              <w:spacing w:line="360" w:lineRule="auto"/>
              <w:ind w:firstLine="482" w:firstLineChars="200"/>
              <w:rPr>
                <w:rFonts w:ascii="Times New Roman" w:hAnsi="Times New Roman" w:cs="Times New Roman"/>
                <w:b/>
                <w:bCs/>
                <w:color w:val="000000"/>
              </w:rPr>
            </w:pPr>
            <w:r>
              <w:rPr>
                <w:rFonts w:ascii="Times New Roman" w:hAnsi="Times New Roman" w:cs="Times New Roman"/>
                <w:b/>
                <w:bCs/>
                <w:color w:val="000000"/>
                <w:lang w:val="en-US"/>
              </w:rPr>
              <w:t>（</w:t>
            </w:r>
            <w:r>
              <w:rPr>
                <w:rFonts w:hint="eastAsia" w:ascii="Times New Roman" w:hAnsi="Times New Roman" w:cs="Times New Roman"/>
                <w:b/>
                <w:bCs/>
                <w:color w:val="000000"/>
                <w:lang w:val="en-US"/>
              </w:rPr>
              <w:t>8</w:t>
            </w:r>
            <w:r>
              <w:rPr>
                <w:rFonts w:ascii="Times New Roman" w:hAnsi="Times New Roman" w:cs="Times New Roman"/>
                <w:b/>
                <w:bCs/>
                <w:color w:val="000000"/>
                <w:lang w:val="en-US"/>
              </w:rPr>
              <w:t>）</w:t>
            </w:r>
            <w:r>
              <w:rPr>
                <w:rFonts w:ascii="Times New Roman" w:hAnsi="Times New Roman" w:cs="Times New Roman"/>
                <w:b/>
                <w:bCs/>
                <w:color w:val="000000"/>
              </w:rPr>
              <w:t>、环境管理及监测</w:t>
            </w:r>
          </w:p>
          <w:p>
            <w:pPr>
              <w:adjustRightInd w:val="0"/>
              <w:spacing w:line="360" w:lineRule="auto"/>
              <w:ind w:firstLine="482" w:firstLineChars="200"/>
              <w:rPr>
                <w:rFonts w:ascii="Times New Roman" w:hAnsi="Times New Roman" w:cs="Times New Roman"/>
                <w:b/>
                <w:bCs/>
                <w:color w:val="000000"/>
                <w:szCs w:val="21"/>
              </w:rPr>
            </w:pPr>
            <w:r>
              <w:rPr>
                <w:rFonts w:ascii="Times New Roman" w:hAnsi="Times New Roman" w:cs="Times New Roman"/>
                <w:b/>
                <w:bCs/>
                <w:color w:val="000000"/>
              </w:rPr>
              <w:t>1）环境管理</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1环境管理内容</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建立环境保护管理机构，根据工程环境影响评价提出的施工期和营运期环境保护措施，落实环境保护工作经费，对施工期和营运期环境保护工作进行监督管理，并负责与政府环境主管部门联系和协调环境管理相关事宜。实施环境保护对策措施，为具体实施环境保护措施和采取相应补救措施提供依据和基本资料。</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2环境管理机构</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应加强施工期和营运期的环境管理和环境监理工作。在建设项目开始实施时，即应成立专门的环保机构，建立岗位责任制，制定环境管理和环境监测制度。根据需要配备专职人员负责环境管理、环保宣传、治理监督等日常工作管理等。</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3环境管理机构职责</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环境管理贯穿于施工期和营运期，是一项经常性的重要工作。环境管理的目的是为了使建设项目在整个施工期和营运期都严格遵守国家和地方的有关环境保护法律法规，监督和检查项目施工建设过程中环保措施的落实。环境管理机构职责是通过强化环境管理，使项目的建设和营运取得明显的经济效益和环境效益。为了保证环境管理正常有效的进行，项目需设有管理机构，建立健全的管理制度及管理办法。</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4环保管理人员职责</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①督促项目环保治理措施、管理措施的实施；</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②督促检查项目环保设施的建设及运行情况，并提出改善环境的建议及对策；</w:t>
            </w:r>
          </w:p>
          <w:p>
            <w:pPr>
              <w:adjustRightIn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③定期向各级主管部门汇报项目的环保工作情况。</w:t>
            </w:r>
          </w:p>
          <w:p>
            <w:pPr>
              <w:pStyle w:val="46"/>
              <w:snapToGrid w:val="0"/>
              <w:spacing w:line="360" w:lineRule="auto"/>
              <w:ind w:firstLine="420" w:firstLineChars="200"/>
              <w:rPr>
                <w:rFonts w:ascii="Times New Roman" w:hAnsi="Times New Roman" w:cs="Times New Roman"/>
                <w:sz w:val="21"/>
              </w:rPr>
            </w:pPr>
          </w:p>
        </w:tc>
      </w:tr>
    </w:tbl>
    <w:p>
      <w:pPr>
        <w:snapToGrid w:val="0"/>
        <w:rPr>
          <w:rFonts w:ascii="Times New Roman" w:hAnsi="Times New Roman" w:cs="Times New Roman"/>
          <w:sz w:val="21"/>
        </w:rPr>
        <w:sectPr>
          <w:pgSz w:w="11910" w:h="16850"/>
          <w:pgMar w:top="1440" w:right="1417" w:bottom="1440" w:left="1417" w:header="0" w:footer="816" w:gutter="0"/>
          <w:cols w:space="0" w:num="1"/>
        </w:sectPr>
      </w:pPr>
    </w:p>
    <w:p>
      <w:pPr>
        <w:pStyle w:val="14"/>
        <w:snapToGrid w:val="0"/>
        <w:ind w:right="653"/>
        <w:jc w:val="center"/>
        <w:outlineLvl w:val="0"/>
        <w:rPr>
          <w:rFonts w:ascii="Times New Roman" w:hAnsi="Times New Roman" w:cs="Times New Roman"/>
          <w:sz w:val="21"/>
        </w:rPr>
      </w:pPr>
      <w:bookmarkStart w:id="22" w:name="_Toc20354"/>
      <w:r>
        <w:rPr>
          <w:rFonts w:ascii="Times New Roman" w:hAnsi="Times New Roman" w:cs="Times New Roman"/>
        </w:rPr>
        <w:t>五、环境保护措施监督检查清单</w:t>
      </w:r>
      <w:bookmarkEnd w:id="22"/>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889"/>
        <w:gridCol w:w="1601"/>
        <w:gridCol w:w="1909"/>
        <w:gridCol w:w="1618"/>
        <w:gridCol w:w="18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gridSpan w:val="2"/>
            <w:tcBorders>
              <w:tl2br w:val="single" w:color="auto" w:sz="4" w:space="0"/>
            </w:tcBorders>
          </w:tcPr>
          <w:p>
            <w:pPr>
              <w:adjustRightInd w:val="0"/>
              <w:snapToGrid w:val="0"/>
              <w:ind w:firstLine="840"/>
              <w:rPr>
                <w:rFonts w:ascii="Times New Roman" w:hAnsi="Times New Roman" w:cs="Times New Roman"/>
                <w:sz w:val="21"/>
                <w:szCs w:val="21"/>
              </w:rPr>
            </w:pPr>
            <w:r>
              <w:rPr>
                <w:rFonts w:ascii="Times New Roman" w:hAnsi="Times New Roman" w:cs="Times New Roman"/>
                <w:sz w:val="21"/>
                <w:szCs w:val="21"/>
              </w:rPr>
              <w:t>内容</w:t>
            </w:r>
          </w:p>
          <w:p>
            <w:pPr>
              <w:adjustRightInd w:val="0"/>
              <w:snapToGrid w:val="0"/>
              <w:rPr>
                <w:rFonts w:ascii="Times New Roman" w:hAnsi="Times New Roman" w:cs="Times New Roman"/>
                <w:sz w:val="21"/>
                <w:szCs w:val="21"/>
              </w:rPr>
            </w:pPr>
            <w:r>
              <w:rPr>
                <w:rFonts w:ascii="Times New Roman" w:hAnsi="Times New Roman" w:cs="Times New Roman"/>
                <w:sz w:val="21"/>
                <w:szCs w:val="21"/>
              </w:rPr>
              <w:t>要素</w:t>
            </w:r>
          </w:p>
        </w:tc>
        <w:tc>
          <w:tcPr>
            <w:tcW w:w="160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排放口(编号、</w:t>
            </w:r>
          </w:p>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名称)/污染源</w:t>
            </w:r>
          </w:p>
        </w:tc>
        <w:tc>
          <w:tcPr>
            <w:tcW w:w="190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污染物项目</w:t>
            </w:r>
          </w:p>
        </w:tc>
        <w:tc>
          <w:tcPr>
            <w:tcW w:w="161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环境保护措施</w:t>
            </w:r>
          </w:p>
        </w:tc>
        <w:tc>
          <w:tcPr>
            <w:tcW w:w="189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9" w:type="dxa"/>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大气环境</w:t>
            </w:r>
          </w:p>
        </w:tc>
        <w:tc>
          <w:tcPr>
            <w:tcW w:w="889" w:type="dxa"/>
            <w:vMerge w:val="restart"/>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有组织</w:t>
            </w:r>
          </w:p>
        </w:tc>
        <w:tc>
          <w:tcPr>
            <w:tcW w:w="1601" w:type="dxa"/>
            <w:vAlign w:val="center"/>
          </w:tcPr>
          <w:p>
            <w:pPr>
              <w:pStyle w:val="43"/>
              <w:rPr>
                <w:rFonts w:cs="Times New Roman"/>
                <w:szCs w:val="21"/>
              </w:rPr>
            </w:pPr>
            <w:r>
              <w:rPr>
                <w:rFonts w:cs="Times New Roman"/>
                <w:lang w:val="en-US"/>
              </w:rPr>
              <w:t>排气筒DA001</w:t>
            </w:r>
          </w:p>
        </w:tc>
        <w:tc>
          <w:tcPr>
            <w:tcW w:w="190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161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集气罩+UV光氧</w:t>
            </w:r>
            <w:r>
              <w:rPr>
                <w:rFonts w:hint="eastAsia" w:ascii="Times New Roman" w:hAnsi="Times New Roman" w:cs="Times New Roman"/>
                <w:sz w:val="21"/>
                <w:szCs w:val="21"/>
                <w:lang w:val="en-US" w:eastAsia="zh-CN"/>
              </w:rPr>
              <w:t>催化</w:t>
            </w:r>
            <w:r>
              <w:rPr>
                <w:rFonts w:ascii="Times New Roman" w:hAnsi="Times New Roman" w:cs="Times New Roman"/>
                <w:sz w:val="21"/>
                <w:szCs w:val="21"/>
              </w:rPr>
              <w:t>+活性炭吸附装置+</w:t>
            </w:r>
            <w:r>
              <w:rPr>
                <w:rFonts w:ascii="Times New Roman" w:hAnsi="Times New Roman" w:cs="Times New Roman"/>
                <w:sz w:val="21"/>
                <w:szCs w:val="21"/>
                <w:lang w:val="en-US"/>
              </w:rPr>
              <w:t>30</w:t>
            </w:r>
            <w:r>
              <w:rPr>
                <w:rFonts w:ascii="Times New Roman" w:hAnsi="Times New Roman" w:cs="Times New Roman"/>
                <w:sz w:val="21"/>
                <w:szCs w:val="21"/>
              </w:rPr>
              <w:t>m高排气筒</w:t>
            </w:r>
          </w:p>
        </w:tc>
        <w:tc>
          <w:tcPr>
            <w:tcW w:w="1894" w:type="dxa"/>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GB31572-2015《合成树脂工业污染物排放标准》表</w:t>
            </w:r>
            <w:r>
              <w:rPr>
                <w:rFonts w:ascii="Times New Roman" w:hAnsi="Times New Roman" w:cs="Times New Roman"/>
                <w:sz w:val="21"/>
                <w:szCs w:val="21"/>
                <w:lang w:val="en-US"/>
              </w:rPr>
              <w:t>4</w:t>
            </w:r>
            <w:r>
              <w:rPr>
                <w:rFonts w:ascii="Times New Roman" w:hAnsi="Times New Roman" w:cs="Times New Roman"/>
                <w:sz w:val="21"/>
                <w:szCs w:val="21"/>
              </w:rPr>
              <w:t>排放限值标准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9" w:type="dxa"/>
            <w:vMerge w:val="continue"/>
            <w:vAlign w:val="center"/>
          </w:tcPr>
          <w:p>
            <w:pPr>
              <w:adjustRightInd w:val="0"/>
              <w:snapToGrid w:val="0"/>
              <w:jc w:val="center"/>
              <w:rPr>
                <w:rFonts w:ascii="Times New Roman" w:hAnsi="Times New Roman" w:cs="Times New Roman"/>
                <w:sz w:val="21"/>
                <w:szCs w:val="21"/>
              </w:rPr>
            </w:pPr>
          </w:p>
        </w:tc>
        <w:tc>
          <w:tcPr>
            <w:tcW w:w="889" w:type="dxa"/>
            <w:vMerge w:val="continue"/>
            <w:vAlign w:val="center"/>
          </w:tcPr>
          <w:p>
            <w:pPr>
              <w:adjustRightInd w:val="0"/>
              <w:snapToGrid w:val="0"/>
              <w:jc w:val="center"/>
              <w:rPr>
                <w:rFonts w:ascii="Times New Roman" w:hAnsi="Times New Roman" w:cs="Times New Roman"/>
                <w:sz w:val="21"/>
                <w:szCs w:val="21"/>
              </w:rPr>
            </w:pPr>
          </w:p>
        </w:tc>
        <w:tc>
          <w:tcPr>
            <w:tcW w:w="1601" w:type="dxa"/>
            <w:vAlign w:val="center"/>
          </w:tcPr>
          <w:p>
            <w:pPr>
              <w:pStyle w:val="43"/>
              <w:rPr>
                <w:rFonts w:cs="Times New Roman"/>
                <w:lang w:val="en-US"/>
              </w:rPr>
            </w:pPr>
            <w:r>
              <w:rPr>
                <w:rFonts w:cs="Times New Roman"/>
                <w:lang w:val="en-US"/>
              </w:rPr>
              <w:t>排气筒DA002</w:t>
            </w:r>
          </w:p>
          <w:p>
            <w:pPr>
              <w:rPr>
                <w:rFonts w:ascii="Times New Roman" w:hAnsi="Times New Roman" w:cs="Times New Roman"/>
                <w:sz w:val="21"/>
                <w:szCs w:val="21"/>
              </w:rPr>
            </w:pPr>
          </w:p>
        </w:tc>
        <w:tc>
          <w:tcPr>
            <w:tcW w:w="190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161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集气罩+UV光氧</w:t>
            </w:r>
            <w:r>
              <w:rPr>
                <w:rFonts w:hint="eastAsia" w:ascii="Times New Roman" w:hAnsi="Times New Roman" w:cs="Times New Roman"/>
                <w:sz w:val="21"/>
                <w:szCs w:val="21"/>
                <w:lang w:val="en-US" w:eastAsia="zh-CN"/>
              </w:rPr>
              <w:t>催化</w:t>
            </w:r>
            <w:r>
              <w:rPr>
                <w:rFonts w:ascii="Times New Roman" w:hAnsi="Times New Roman" w:cs="Times New Roman"/>
                <w:sz w:val="21"/>
                <w:szCs w:val="21"/>
              </w:rPr>
              <w:t>+活性炭吸附装置+</w:t>
            </w:r>
            <w:r>
              <w:rPr>
                <w:rFonts w:ascii="Times New Roman" w:hAnsi="Times New Roman" w:cs="Times New Roman"/>
                <w:sz w:val="21"/>
                <w:szCs w:val="21"/>
                <w:lang w:val="en-US"/>
              </w:rPr>
              <w:t>30</w:t>
            </w:r>
            <w:r>
              <w:rPr>
                <w:rFonts w:ascii="Times New Roman" w:hAnsi="Times New Roman" w:cs="Times New Roman"/>
                <w:sz w:val="21"/>
                <w:szCs w:val="21"/>
              </w:rPr>
              <w:t>m高排气筒</w:t>
            </w:r>
          </w:p>
        </w:tc>
        <w:tc>
          <w:tcPr>
            <w:tcW w:w="1894" w:type="dxa"/>
            <w:vMerge w:val="continue"/>
            <w:vAlign w:val="center"/>
          </w:tcPr>
          <w:p>
            <w:pPr>
              <w:adjustRightInd w:val="0"/>
              <w:snapToGrid w:val="0"/>
              <w:jc w:val="center"/>
              <w:rPr>
                <w:rFonts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9" w:type="dxa"/>
            <w:vMerge w:val="continue"/>
            <w:vAlign w:val="center"/>
          </w:tcPr>
          <w:p>
            <w:pPr>
              <w:adjustRightInd w:val="0"/>
              <w:snapToGrid w:val="0"/>
              <w:jc w:val="center"/>
              <w:rPr>
                <w:rFonts w:ascii="Times New Roman" w:hAnsi="Times New Roman" w:cs="Times New Roman"/>
                <w:sz w:val="21"/>
                <w:szCs w:val="21"/>
              </w:rPr>
            </w:pPr>
          </w:p>
        </w:tc>
        <w:tc>
          <w:tcPr>
            <w:tcW w:w="889" w:type="dxa"/>
            <w:vMerge w:val="continue"/>
            <w:vAlign w:val="center"/>
          </w:tcPr>
          <w:p>
            <w:pPr>
              <w:adjustRightInd w:val="0"/>
              <w:snapToGrid w:val="0"/>
              <w:jc w:val="center"/>
              <w:rPr>
                <w:rFonts w:ascii="Times New Roman" w:hAnsi="Times New Roman" w:cs="Times New Roman"/>
                <w:sz w:val="21"/>
                <w:szCs w:val="21"/>
              </w:rPr>
            </w:pPr>
          </w:p>
        </w:tc>
        <w:tc>
          <w:tcPr>
            <w:tcW w:w="1601" w:type="dxa"/>
            <w:vAlign w:val="center"/>
          </w:tcPr>
          <w:p>
            <w:pPr>
              <w:pStyle w:val="43"/>
              <w:rPr>
                <w:rFonts w:cs="Times New Roman"/>
                <w:szCs w:val="21"/>
              </w:rPr>
            </w:pPr>
            <w:r>
              <w:rPr>
                <w:rFonts w:cs="Times New Roman"/>
                <w:lang w:val="en-US"/>
              </w:rPr>
              <w:t>排气筒DA003</w:t>
            </w:r>
          </w:p>
        </w:tc>
        <w:tc>
          <w:tcPr>
            <w:tcW w:w="190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颗粒物</w:t>
            </w:r>
          </w:p>
        </w:tc>
        <w:tc>
          <w:tcPr>
            <w:tcW w:w="161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集气罩+</w:t>
            </w:r>
            <w:r>
              <w:rPr>
                <w:rFonts w:ascii="Times New Roman" w:hAnsi="Times New Roman" w:cs="Times New Roman"/>
                <w:sz w:val="21"/>
                <w:szCs w:val="21"/>
                <w:lang w:val="en-US"/>
              </w:rPr>
              <w:t>布袋除尘</w:t>
            </w:r>
            <w:r>
              <w:rPr>
                <w:rFonts w:ascii="Times New Roman" w:hAnsi="Times New Roman" w:cs="Times New Roman"/>
                <w:sz w:val="21"/>
                <w:szCs w:val="21"/>
              </w:rPr>
              <w:t>+</w:t>
            </w:r>
            <w:r>
              <w:rPr>
                <w:rFonts w:ascii="Times New Roman" w:hAnsi="Times New Roman" w:cs="Times New Roman"/>
                <w:sz w:val="21"/>
                <w:szCs w:val="21"/>
                <w:lang w:val="en-US"/>
              </w:rPr>
              <w:t>30</w:t>
            </w:r>
            <w:r>
              <w:rPr>
                <w:rFonts w:ascii="Times New Roman" w:hAnsi="Times New Roman" w:cs="Times New Roman"/>
                <w:sz w:val="21"/>
                <w:szCs w:val="21"/>
              </w:rPr>
              <w:t>m高排气筒</w:t>
            </w:r>
          </w:p>
        </w:tc>
        <w:tc>
          <w:tcPr>
            <w:tcW w:w="189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GB31572-2015《合成树脂工业污染物排放标准》表</w:t>
            </w:r>
            <w:r>
              <w:rPr>
                <w:rFonts w:ascii="Times New Roman" w:hAnsi="Times New Roman" w:cs="Times New Roman"/>
                <w:sz w:val="21"/>
                <w:szCs w:val="21"/>
                <w:lang w:val="en-US"/>
              </w:rPr>
              <w:t>4</w:t>
            </w:r>
            <w:r>
              <w:rPr>
                <w:rFonts w:ascii="Times New Roman" w:hAnsi="Times New Roman" w:cs="Times New Roman"/>
                <w:sz w:val="21"/>
                <w:szCs w:val="21"/>
              </w:rPr>
              <w:t>排放限值标准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9" w:type="dxa"/>
            <w:vMerge w:val="continue"/>
            <w:vAlign w:val="center"/>
          </w:tcPr>
          <w:p>
            <w:pPr>
              <w:adjustRightInd w:val="0"/>
              <w:snapToGrid w:val="0"/>
              <w:jc w:val="center"/>
              <w:rPr>
                <w:rFonts w:ascii="Times New Roman" w:hAnsi="Times New Roman" w:cs="Times New Roman"/>
                <w:sz w:val="21"/>
                <w:szCs w:val="21"/>
              </w:rPr>
            </w:pPr>
          </w:p>
        </w:tc>
        <w:tc>
          <w:tcPr>
            <w:tcW w:w="889" w:type="dxa"/>
            <w:vMerge w:val="restart"/>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无组织</w:t>
            </w:r>
          </w:p>
        </w:tc>
        <w:tc>
          <w:tcPr>
            <w:tcW w:w="1601"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异味</w:t>
            </w:r>
          </w:p>
        </w:tc>
        <w:tc>
          <w:tcPr>
            <w:tcW w:w="1909"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无组织恶臭</w:t>
            </w:r>
          </w:p>
        </w:tc>
        <w:tc>
          <w:tcPr>
            <w:tcW w:w="1618"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加强通风</w:t>
            </w:r>
          </w:p>
        </w:tc>
        <w:tc>
          <w:tcPr>
            <w:tcW w:w="1894"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臭气排放浓度执行</w:t>
            </w:r>
            <w:r>
              <w:rPr>
                <w:rFonts w:hint="eastAsia" w:ascii="Times New Roman" w:hAnsi="Times New Roman" w:cs="Times New Roman"/>
                <w:sz w:val="21"/>
                <w:szCs w:val="21"/>
              </w:rPr>
              <w:t>《恶臭污染物排放标准》（GB14554-93）中表</w:t>
            </w:r>
            <w:r>
              <w:rPr>
                <w:rFonts w:hint="eastAsia" w:ascii="Times New Roman" w:hAnsi="Times New Roman" w:cs="Times New Roman"/>
                <w:sz w:val="21"/>
                <w:szCs w:val="21"/>
                <w:lang w:val="en-US" w:eastAsia="zh-CN"/>
              </w:rPr>
              <w:t>1二级标准</w:t>
            </w:r>
            <w:r>
              <w:rPr>
                <w:rFonts w:hint="eastAsia" w:ascii="Times New Roman" w:hAnsi="Times New Roman" w:cs="Times New Roman"/>
                <w:sz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9" w:type="dxa"/>
            <w:vMerge w:val="continue"/>
            <w:vAlign w:val="center"/>
          </w:tcPr>
          <w:p>
            <w:pPr>
              <w:adjustRightInd w:val="0"/>
              <w:snapToGrid w:val="0"/>
              <w:jc w:val="center"/>
              <w:rPr>
                <w:rFonts w:ascii="Times New Roman" w:hAnsi="Times New Roman" w:cs="Times New Roman"/>
                <w:sz w:val="21"/>
                <w:szCs w:val="21"/>
              </w:rPr>
            </w:pPr>
          </w:p>
        </w:tc>
        <w:tc>
          <w:tcPr>
            <w:tcW w:w="889" w:type="dxa"/>
            <w:vMerge w:val="continue"/>
            <w:vAlign w:val="center"/>
          </w:tcPr>
          <w:p>
            <w:pPr>
              <w:adjustRightInd w:val="0"/>
              <w:snapToGrid w:val="0"/>
              <w:jc w:val="center"/>
              <w:rPr>
                <w:rFonts w:ascii="Times New Roman" w:hAnsi="Times New Roman" w:cs="Times New Roman"/>
                <w:sz w:val="21"/>
                <w:szCs w:val="21"/>
              </w:rPr>
            </w:pPr>
          </w:p>
        </w:tc>
        <w:tc>
          <w:tcPr>
            <w:tcW w:w="1601"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非甲烷总烃</w:t>
            </w:r>
          </w:p>
        </w:tc>
        <w:tc>
          <w:tcPr>
            <w:tcW w:w="1909"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无组织非甲烷总烃</w:t>
            </w:r>
          </w:p>
        </w:tc>
        <w:tc>
          <w:tcPr>
            <w:tcW w:w="1618"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lang w:val="en-US"/>
              </w:rPr>
              <w:t>加强通风</w:t>
            </w:r>
          </w:p>
        </w:tc>
        <w:tc>
          <w:tcPr>
            <w:tcW w:w="1894" w:type="dxa"/>
            <w:vAlign w:val="center"/>
          </w:tcPr>
          <w:p>
            <w:pPr>
              <w:pStyle w:val="69"/>
              <w:rPr>
                <w:rFonts w:ascii="Times New Roman" w:hAnsi="Times New Roman" w:cs="Times New Roman"/>
                <w:lang w:val="en-US"/>
              </w:rPr>
            </w:pPr>
            <w:r>
              <w:rPr>
                <w:rFonts w:hint="eastAsia" w:ascii="Times New Roman" w:hAnsi="Times New Roman" w:cs="Times New Roman"/>
                <w:lang w:val="en-US"/>
              </w:rPr>
              <w:t>厂界外</w:t>
            </w:r>
            <w:r>
              <w:rPr>
                <w:rFonts w:ascii="Times New Roman" w:hAnsi="Times New Roman" w:cs="Times New Roman"/>
                <w:color w:val="000000"/>
              </w:rPr>
              <w:t>非甲烷总烃执行</w:t>
            </w:r>
            <w:r>
              <w:rPr>
                <w:rFonts w:ascii="Times New Roman" w:hAnsi="Times New Roman" w:cs="Times New Roman"/>
              </w:rPr>
              <w:t>GB31572-2015《合成树脂工业污染物排放标准》表</w:t>
            </w:r>
            <w:r>
              <w:rPr>
                <w:rFonts w:ascii="Times New Roman" w:hAnsi="Times New Roman" w:cs="Times New Roman"/>
                <w:lang w:val="en-US"/>
              </w:rPr>
              <w:t>9</w:t>
            </w:r>
            <w:r>
              <w:rPr>
                <w:rFonts w:ascii="Times New Roman" w:hAnsi="Times New Roman" w:cs="Times New Roman"/>
              </w:rPr>
              <w:t>规定的大气污染物排放限值</w:t>
            </w:r>
            <w:r>
              <w:rPr>
                <w:rFonts w:ascii="Times New Roman" w:hAnsi="Times New Roman" w:cs="Times New Roman"/>
                <w:lang w:val="en-US"/>
              </w:rPr>
              <w:t>，</w:t>
            </w:r>
          </w:p>
          <w:p>
            <w:pPr>
              <w:pStyle w:val="69"/>
              <w:rPr>
                <w:rFonts w:ascii="Times New Roman" w:hAnsi="Times New Roman" w:cs="Times New Roman"/>
                <w:szCs w:val="21"/>
              </w:rPr>
            </w:pPr>
            <w:r>
              <w:rPr>
                <w:rFonts w:hint="eastAsia" w:ascii="Times New Roman" w:hAnsi="Times New Roman" w:cs="Times New Roman"/>
                <w:lang w:val="en-US"/>
              </w:rPr>
              <w:t>厂区内挥发性有机物无组织执行《挥发性有机物无组织排放控制标准》（</w:t>
            </w:r>
            <w:r>
              <w:rPr>
                <w:rFonts w:ascii="Times New Roman" w:hAnsi="Times New Roman" w:cs="Times New Roman"/>
                <w:lang w:val="en-US"/>
              </w:rPr>
              <w:t>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9" w:type="dxa"/>
            <w:vMerge w:val="continue"/>
            <w:vAlign w:val="center"/>
          </w:tcPr>
          <w:p>
            <w:pPr>
              <w:adjustRightInd w:val="0"/>
              <w:snapToGrid w:val="0"/>
              <w:jc w:val="center"/>
              <w:rPr>
                <w:rFonts w:ascii="Times New Roman" w:hAnsi="Times New Roman" w:cs="Times New Roman"/>
                <w:sz w:val="21"/>
                <w:szCs w:val="21"/>
              </w:rPr>
            </w:pPr>
          </w:p>
        </w:tc>
        <w:tc>
          <w:tcPr>
            <w:tcW w:w="889" w:type="dxa"/>
            <w:vMerge w:val="continue"/>
            <w:vAlign w:val="center"/>
          </w:tcPr>
          <w:p>
            <w:pPr>
              <w:adjustRightInd w:val="0"/>
              <w:snapToGrid w:val="0"/>
              <w:jc w:val="center"/>
              <w:rPr>
                <w:rFonts w:ascii="Times New Roman" w:hAnsi="Times New Roman" w:cs="Times New Roman"/>
                <w:sz w:val="21"/>
                <w:szCs w:val="21"/>
              </w:rPr>
            </w:pPr>
          </w:p>
        </w:tc>
        <w:tc>
          <w:tcPr>
            <w:tcW w:w="1601"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颗粒物</w:t>
            </w:r>
          </w:p>
        </w:tc>
        <w:tc>
          <w:tcPr>
            <w:tcW w:w="1909"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无组织颗粒物</w:t>
            </w:r>
          </w:p>
        </w:tc>
        <w:tc>
          <w:tcPr>
            <w:tcW w:w="1618"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lang w:val="en-US"/>
              </w:rPr>
              <w:t>加强通风</w:t>
            </w:r>
          </w:p>
        </w:tc>
        <w:tc>
          <w:tcPr>
            <w:tcW w:w="1894" w:type="dxa"/>
            <w:vAlign w:val="center"/>
          </w:tcPr>
          <w:p>
            <w:pPr>
              <w:pStyle w:val="43"/>
              <w:rPr>
                <w:rFonts w:cs="Times New Roman"/>
                <w:szCs w:val="21"/>
              </w:rPr>
            </w:pPr>
            <w:r>
              <w:rPr>
                <w:rFonts w:hint="eastAsia"/>
                <w:szCs w:val="21"/>
                <w:lang w:val="en-US"/>
              </w:rPr>
              <w:t>无组织颗粒物执行</w:t>
            </w:r>
            <w:r>
              <w:rPr>
                <w:rFonts w:ascii="Times New Roman" w:hAnsi="Times New Roman" w:cs="Times New Roman"/>
                <w:color w:val="000000"/>
              </w:rPr>
              <w:t>执行</w:t>
            </w:r>
            <w:r>
              <w:rPr>
                <w:rFonts w:ascii="Times New Roman" w:hAnsi="Times New Roman" w:cs="Times New Roman"/>
              </w:rPr>
              <w:t>GB31572-2015《合成树脂工业污染物排放标准》表</w:t>
            </w:r>
            <w:r>
              <w:rPr>
                <w:rFonts w:ascii="Times New Roman" w:hAnsi="Times New Roman" w:cs="Times New Roman"/>
                <w:lang w:val="en-US"/>
              </w:rPr>
              <w:t>9</w:t>
            </w:r>
            <w:r>
              <w:rPr>
                <w:rFonts w:ascii="Times New Roman" w:hAnsi="Times New Roman" w:cs="Times New Roman"/>
              </w:rPr>
              <w:t>规定的大气污染物排放限值</w:t>
            </w:r>
            <w:r>
              <w:rPr>
                <w:rFonts w:hint="eastAsia"/>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地表水环境</w:t>
            </w:r>
          </w:p>
        </w:tc>
        <w:tc>
          <w:tcPr>
            <w:tcW w:w="160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生活废水</w:t>
            </w:r>
          </w:p>
        </w:tc>
        <w:tc>
          <w:tcPr>
            <w:tcW w:w="1909" w:type="dxa"/>
            <w:vAlign w:val="center"/>
          </w:tcPr>
          <w:p>
            <w:pPr>
              <w:pStyle w:val="69"/>
              <w:rPr>
                <w:rFonts w:ascii="Times New Roman" w:hAnsi="Times New Roman" w:cs="Times New Roman"/>
                <w:szCs w:val="21"/>
              </w:rPr>
            </w:pPr>
            <w:r>
              <w:rPr>
                <w:rFonts w:ascii="Times New Roman" w:hAnsi="Times New Roman" w:cs="Times New Roman"/>
                <w:szCs w:val="21"/>
              </w:rPr>
              <w:t>pH、COD、BOD</w:t>
            </w:r>
            <w:r>
              <w:rPr>
                <w:rFonts w:ascii="Times New Roman" w:hAnsi="Times New Roman" w:cs="Times New Roman"/>
                <w:szCs w:val="21"/>
                <w:vertAlign w:val="subscript"/>
              </w:rPr>
              <w:t>5</w:t>
            </w:r>
            <w:r>
              <w:rPr>
                <w:rFonts w:ascii="Times New Roman" w:hAnsi="Times New Roman" w:cs="Times New Roman"/>
                <w:szCs w:val="21"/>
              </w:rPr>
              <w:t>、SS</w:t>
            </w:r>
          </w:p>
          <w:p>
            <w:pPr>
              <w:pStyle w:val="69"/>
              <w:rPr>
                <w:rFonts w:ascii="Times New Roman" w:hAnsi="Times New Roman" w:cs="Times New Roman"/>
                <w:szCs w:val="21"/>
              </w:rPr>
            </w:pPr>
            <w:r>
              <w:rPr>
                <w:rFonts w:ascii="Times New Roman" w:hAnsi="Times New Roman" w:cs="Times New Roman"/>
                <w:szCs w:val="21"/>
              </w:rPr>
              <w:t>氨氮、总磷、总氮</w:t>
            </w:r>
          </w:p>
          <w:p>
            <w:pPr>
              <w:pStyle w:val="69"/>
              <w:rPr>
                <w:rFonts w:ascii="Times New Roman" w:hAnsi="Times New Roman" w:cs="Times New Roman"/>
                <w:szCs w:val="21"/>
              </w:rPr>
            </w:pPr>
          </w:p>
        </w:tc>
        <w:tc>
          <w:tcPr>
            <w:tcW w:w="1618" w:type="dxa"/>
            <w:vAlign w:val="center"/>
          </w:tcPr>
          <w:p>
            <w:pPr>
              <w:pStyle w:val="69"/>
              <w:rPr>
                <w:rFonts w:ascii="Times New Roman" w:hAnsi="Times New Roman" w:cs="Times New Roman"/>
                <w:szCs w:val="21"/>
              </w:rPr>
            </w:pPr>
            <w:r>
              <w:rPr>
                <w:rFonts w:ascii="Times New Roman" w:hAnsi="Times New Roman" w:cs="Times New Roman"/>
                <w:szCs w:val="21"/>
              </w:rPr>
              <w:t>生活污水排入</w:t>
            </w:r>
            <w:r>
              <w:rPr>
                <w:rFonts w:ascii="Times New Roman" w:hAnsi="Times New Roman" w:cs="Times New Roman"/>
                <w:szCs w:val="21"/>
                <w:lang w:val="en-US"/>
              </w:rPr>
              <w:t>园区</w:t>
            </w:r>
            <w:r>
              <w:rPr>
                <w:rFonts w:ascii="Times New Roman" w:hAnsi="Times New Roman" w:cs="Times New Roman"/>
                <w:szCs w:val="21"/>
              </w:rPr>
              <w:t>化粪池处理，处理后排入园区污水管网。</w:t>
            </w:r>
          </w:p>
        </w:tc>
        <w:tc>
          <w:tcPr>
            <w:tcW w:w="1894" w:type="dxa"/>
            <w:vAlign w:val="center"/>
          </w:tcPr>
          <w:p>
            <w:pPr>
              <w:pStyle w:val="69"/>
              <w:rPr>
                <w:rFonts w:ascii="Times New Roman" w:hAnsi="Times New Roman" w:cs="Times New Roman"/>
                <w:szCs w:val="21"/>
              </w:rPr>
            </w:pPr>
            <w:r>
              <w:rPr>
                <w:rFonts w:ascii="Times New Roman" w:hAnsi="Times New Roman" w:cs="Times New Roman"/>
                <w:szCs w:val="21"/>
              </w:rPr>
              <w:t>《污水排入城镇下水道水质标准》（GB/T31962-2015）A级标准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声环境</w:t>
            </w:r>
          </w:p>
        </w:tc>
        <w:tc>
          <w:tcPr>
            <w:tcW w:w="1601" w:type="dxa"/>
            <w:vAlign w:val="center"/>
          </w:tcPr>
          <w:p>
            <w:pPr>
              <w:pStyle w:val="69"/>
              <w:rPr>
                <w:rFonts w:ascii="Times New Roman" w:hAnsi="Times New Roman" w:cs="Times New Roman"/>
                <w:szCs w:val="21"/>
              </w:rPr>
            </w:pPr>
            <w:r>
              <w:rPr>
                <w:rFonts w:ascii="Times New Roman" w:hAnsi="Times New Roman" w:cs="Times New Roman"/>
                <w:szCs w:val="21"/>
              </w:rPr>
              <w:t>生产设备</w:t>
            </w:r>
          </w:p>
        </w:tc>
        <w:tc>
          <w:tcPr>
            <w:tcW w:w="1909" w:type="dxa"/>
            <w:vAlign w:val="center"/>
          </w:tcPr>
          <w:p>
            <w:pPr>
              <w:pStyle w:val="69"/>
              <w:rPr>
                <w:rFonts w:ascii="Times New Roman" w:hAnsi="Times New Roman" w:cs="Times New Roman"/>
                <w:szCs w:val="21"/>
              </w:rPr>
            </w:pPr>
            <w:r>
              <w:rPr>
                <w:rFonts w:ascii="Times New Roman" w:hAnsi="Times New Roman" w:cs="Times New Roman"/>
                <w:szCs w:val="21"/>
              </w:rPr>
              <w:t>设备噪声</w:t>
            </w:r>
          </w:p>
        </w:tc>
        <w:tc>
          <w:tcPr>
            <w:tcW w:w="1618" w:type="dxa"/>
            <w:vAlign w:val="center"/>
          </w:tcPr>
          <w:p>
            <w:pPr>
              <w:pStyle w:val="69"/>
              <w:rPr>
                <w:rFonts w:ascii="Times New Roman" w:hAnsi="Times New Roman" w:cs="Times New Roman"/>
                <w:szCs w:val="21"/>
              </w:rPr>
            </w:pPr>
            <w:r>
              <w:rPr>
                <w:rFonts w:ascii="Times New Roman" w:hAnsi="Times New Roman" w:cs="Times New Roman"/>
                <w:szCs w:val="21"/>
              </w:rPr>
              <w:t>选用低噪声设备，在安装时，在设备基础安装减振垫；厂房隔声；出入厂区车辆减速，禁止鸣笛。</w:t>
            </w:r>
          </w:p>
        </w:tc>
        <w:tc>
          <w:tcPr>
            <w:tcW w:w="1894" w:type="dxa"/>
            <w:vAlign w:val="center"/>
          </w:tcPr>
          <w:p>
            <w:pPr>
              <w:pStyle w:val="69"/>
              <w:rPr>
                <w:rFonts w:ascii="Times New Roman" w:hAnsi="Times New Roman" w:cs="Times New Roman"/>
                <w:szCs w:val="21"/>
              </w:rPr>
            </w:pPr>
            <w:r>
              <w:rPr>
                <w:rFonts w:ascii="Times New Roman" w:hAnsi="Times New Roman" w:cs="Times New Roman"/>
                <w:szCs w:val="21"/>
              </w:rPr>
              <w:t>执行《工业企业厂界环境噪声排放标准》（GB12348-2008）3类标准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gridSpan w:val="2"/>
            <w:vMerge w:val="restar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电磁辐射</w:t>
            </w:r>
          </w:p>
        </w:tc>
        <w:tc>
          <w:tcPr>
            <w:tcW w:w="160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190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161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189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gridSpan w:val="2"/>
            <w:vMerge w:val="continue"/>
            <w:vAlign w:val="center"/>
          </w:tcPr>
          <w:p>
            <w:pPr>
              <w:adjustRightInd w:val="0"/>
              <w:snapToGrid w:val="0"/>
              <w:jc w:val="center"/>
              <w:rPr>
                <w:rFonts w:ascii="Times New Roman" w:hAnsi="Times New Roman" w:cs="Times New Roman"/>
                <w:sz w:val="21"/>
                <w:szCs w:val="21"/>
              </w:rPr>
            </w:pPr>
          </w:p>
        </w:tc>
        <w:tc>
          <w:tcPr>
            <w:tcW w:w="160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190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161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189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gridSpan w:val="2"/>
            <w:vMerge w:val="continue"/>
            <w:vAlign w:val="center"/>
          </w:tcPr>
          <w:p>
            <w:pPr>
              <w:adjustRightInd w:val="0"/>
              <w:snapToGrid w:val="0"/>
              <w:jc w:val="center"/>
              <w:rPr>
                <w:rFonts w:ascii="Times New Roman" w:hAnsi="Times New Roman" w:cs="Times New Roman"/>
                <w:sz w:val="21"/>
                <w:szCs w:val="21"/>
              </w:rPr>
            </w:pPr>
          </w:p>
        </w:tc>
        <w:tc>
          <w:tcPr>
            <w:tcW w:w="160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190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161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189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固体废物</w:t>
            </w:r>
          </w:p>
        </w:tc>
        <w:tc>
          <w:tcPr>
            <w:tcW w:w="7022" w:type="dxa"/>
            <w:gridSpan w:val="4"/>
            <w:vAlign w:val="center"/>
          </w:tcPr>
          <w:p>
            <w:pPr>
              <w:adjustRightInd w:val="0"/>
              <w:snapToGrid w:val="0"/>
              <w:rPr>
                <w:rFonts w:ascii="Times New Roman" w:hAnsi="Times New Roman" w:cs="Times New Roman"/>
                <w:sz w:val="21"/>
                <w:szCs w:val="21"/>
              </w:rPr>
            </w:pPr>
            <w:r>
              <w:rPr>
                <w:rFonts w:ascii="Times New Roman" w:hAnsi="Times New Roman" w:cs="Times New Roman"/>
                <w:sz w:val="21"/>
                <w:szCs w:val="21"/>
              </w:rPr>
              <w:t>①员工生活垃圾分类收集，定期由环卫清运；</w:t>
            </w:r>
          </w:p>
          <w:p>
            <w:pPr>
              <w:snapToGrid w:val="0"/>
              <w:rPr>
                <w:rFonts w:ascii="Times New Roman" w:hAnsi="Times New Roman" w:cs="Times New Roman"/>
                <w:sz w:val="21"/>
                <w:szCs w:val="21"/>
              </w:rPr>
            </w:pPr>
            <w:r>
              <w:rPr>
                <w:rFonts w:ascii="Times New Roman" w:hAnsi="Times New Roman" w:cs="Times New Roman"/>
                <w:sz w:val="21"/>
                <w:szCs w:val="21"/>
              </w:rPr>
              <w:t>②</w:t>
            </w:r>
            <w:r>
              <w:rPr>
                <w:rFonts w:hint="eastAsia" w:ascii="Times New Roman" w:hAnsi="Times New Roman" w:cs="Times New Roman"/>
                <w:sz w:val="21"/>
                <w:szCs w:val="21"/>
              </w:rPr>
              <w:t>废边角料及不合格产品</w:t>
            </w:r>
            <w:r>
              <w:rPr>
                <w:rFonts w:hint="eastAsia" w:ascii="Times New Roman" w:hAnsi="Times New Roman" w:cs="Times New Roman"/>
                <w:sz w:val="21"/>
                <w:szCs w:val="21"/>
                <w:lang w:val="en-US"/>
              </w:rPr>
              <w:t>破碎后</w:t>
            </w:r>
            <w:r>
              <w:rPr>
                <w:rFonts w:ascii="Times New Roman" w:hAnsi="Times New Roman" w:cs="Times New Roman"/>
                <w:sz w:val="21"/>
                <w:szCs w:val="21"/>
              </w:rPr>
              <w:t>、</w:t>
            </w:r>
            <w:r>
              <w:rPr>
                <w:rFonts w:ascii="Times New Roman" w:hAnsi="Times New Roman" w:cs="Times New Roman"/>
                <w:sz w:val="21"/>
                <w:szCs w:val="21"/>
                <w:lang w:val="en-US"/>
              </w:rPr>
              <w:t>破碎粉尘</w:t>
            </w:r>
            <w:r>
              <w:rPr>
                <w:rFonts w:hint="eastAsia" w:ascii="Times New Roman" w:hAnsi="Times New Roman" w:cs="Times New Roman"/>
                <w:sz w:val="21"/>
                <w:szCs w:val="21"/>
                <w:lang w:val="en-US"/>
              </w:rPr>
              <w:t>厂家回收</w:t>
            </w:r>
            <w:r>
              <w:rPr>
                <w:rFonts w:ascii="Times New Roman" w:hAnsi="Times New Roman" w:cs="Times New Roman"/>
                <w:sz w:val="21"/>
                <w:szCs w:val="21"/>
              </w:rPr>
              <w:t>；</w:t>
            </w:r>
          </w:p>
          <w:p>
            <w:pPr>
              <w:snapToGrid w:val="0"/>
              <w:rPr>
                <w:rFonts w:ascii="Times New Roman" w:hAnsi="Times New Roman" w:cs="Times New Roman"/>
                <w:sz w:val="21"/>
                <w:szCs w:val="21"/>
              </w:rPr>
            </w:pPr>
            <w:r>
              <w:rPr>
                <w:rFonts w:ascii="Times New Roman" w:hAnsi="Times New Roman" w:cs="Times New Roman"/>
                <w:sz w:val="21"/>
                <w:szCs w:val="21"/>
                <w:lang w:val="en-US"/>
              </w:rPr>
              <w:t>③</w:t>
            </w:r>
            <w:r>
              <w:rPr>
                <w:rFonts w:ascii="Times New Roman" w:hAnsi="Times New Roman" w:cs="Times New Roman"/>
                <w:sz w:val="21"/>
                <w:szCs w:val="21"/>
              </w:rPr>
              <w:t>废包装材料定期外售综合利用；</w:t>
            </w:r>
          </w:p>
          <w:p>
            <w:pPr>
              <w:adjustRightInd w:val="0"/>
              <w:snapToGrid w:val="0"/>
              <w:jc w:val="both"/>
              <w:rPr>
                <w:rFonts w:ascii="Times New Roman" w:hAnsi="Times New Roman" w:cs="Times New Roman"/>
                <w:sz w:val="21"/>
                <w:szCs w:val="21"/>
              </w:rPr>
            </w:pPr>
            <w:r>
              <w:rPr>
                <w:rFonts w:ascii="Times New Roman" w:hAnsi="Times New Roman" w:cs="Times New Roman"/>
                <w:sz w:val="21"/>
                <w:szCs w:val="21"/>
                <w:lang w:val="en-US"/>
              </w:rPr>
              <w:t>④</w:t>
            </w:r>
            <w:r>
              <w:rPr>
                <w:rFonts w:ascii="Times New Roman" w:hAnsi="Times New Roman" w:cs="Times New Roman"/>
                <w:sz w:val="21"/>
                <w:szCs w:val="21"/>
              </w:rPr>
              <w:t>废机油、废活性炭</w:t>
            </w:r>
            <w:r>
              <w:rPr>
                <w:rFonts w:hint="eastAsia" w:ascii="Times New Roman" w:hAnsi="Times New Roman" w:cs="Times New Roman"/>
                <w:sz w:val="21"/>
                <w:szCs w:val="21"/>
              </w:rPr>
              <w:t>、</w:t>
            </w:r>
            <w:r>
              <w:rPr>
                <w:rFonts w:hint="eastAsia" w:ascii="Times New Roman" w:hAnsi="Times New Roman" w:cs="Times New Roman"/>
                <w:sz w:val="21"/>
                <w:szCs w:val="21"/>
                <w:lang w:val="en-US"/>
              </w:rPr>
              <w:t>废UV灯管</w:t>
            </w:r>
            <w:r>
              <w:rPr>
                <w:rFonts w:ascii="Times New Roman" w:hAnsi="Times New Roman" w:cs="Times New Roman"/>
                <w:sz w:val="21"/>
                <w:szCs w:val="21"/>
              </w:rPr>
              <w:t>等暂存于危废暂存间，由有资质的单位处理；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土壤及地下水</w:t>
            </w:r>
          </w:p>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污染防治措施</w:t>
            </w:r>
          </w:p>
        </w:tc>
        <w:tc>
          <w:tcPr>
            <w:tcW w:w="7022" w:type="dxa"/>
            <w:gridSpan w:val="4"/>
            <w:vAlign w:val="center"/>
          </w:tcPr>
          <w:p>
            <w:pPr>
              <w:autoSpaceDE/>
              <w:autoSpaceDN/>
              <w:adjustRightInd w:val="0"/>
              <w:snapToGrid w:val="0"/>
              <w:spacing w:line="360" w:lineRule="auto"/>
              <w:rPr>
                <w:rStyle w:val="78"/>
                <w:rFonts w:cs="Times New Roman"/>
                <w:szCs w:val="21"/>
              </w:rPr>
            </w:pPr>
            <w:r>
              <w:rPr>
                <w:rStyle w:val="78"/>
                <w:rFonts w:cs="Times New Roman"/>
                <w:szCs w:val="21"/>
              </w:rPr>
              <w:t>①重点防渗区（危险废物暂存间）按照《危险废物贮存污染控制标准（2013年修订）》（GB18597-2001）中要求建设。</w:t>
            </w:r>
          </w:p>
          <w:p>
            <w:pPr>
              <w:autoSpaceDE/>
              <w:autoSpaceDN/>
              <w:adjustRightInd w:val="0"/>
              <w:snapToGrid w:val="0"/>
              <w:spacing w:line="360" w:lineRule="auto"/>
              <w:rPr>
                <w:rStyle w:val="78"/>
                <w:rFonts w:cs="Times New Roman"/>
                <w:szCs w:val="21"/>
              </w:rPr>
            </w:pPr>
            <w:r>
              <w:rPr>
                <w:rStyle w:val="78"/>
                <w:rFonts w:cs="Times New Roman"/>
                <w:szCs w:val="21"/>
              </w:rPr>
              <w:t>②一般防渗区（成品仓库、生产车间、污水处理设施）根据项目设计方案进行防渗</w:t>
            </w:r>
            <w:r>
              <w:rPr>
                <w:rStyle w:val="78"/>
                <w:rFonts w:hint="eastAsia" w:cs="Times New Roman"/>
                <w:szCs w:val="21"/>
              </w:rPr>
              <w:t>。</w:t>
            </w:r>
          </w:p>
          <w:p>
            <w:pPr>
              <w:adjustRightInd w:val="0"/>
              <w:snapToGrid w:val="0"/>
              <w:jc w:val="both"/>
              <w:rPr>
                <w:rFonts w:ascii="Times New Roman" w:hAnsi="Times New Roman" w:cs="Times New Roman"/>
                <w:sz w:val="21"/>
                <w:szCs w:val="21"/>
              </w:rPr>
            </w:pPr>
            <w:r>
              <w:rPr>
                <w:rStyle w:val="78"/>
                <w:rFonts w:cs="Times New Roman"/>
                <w:szCs w:val="21"/>
              </w:rPr>
              <w:t>③简单防渗区（其他区域）：混凝土硬化。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gridSpan w:val="2"/>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生态保护措施</w:t>
            </w:r>
          </w:p>
        </w:tc>
        <w:tc>
          <w:tcPr>
            <w:tcW w:w="7022" w:type="dxa"/>
            <w:gridSpan w:val="4"/>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gridSpan w:val="2"/>
            <w:vAlign w:val="center"/>
          </w:tcPr>
          <w:p>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环境风险</w:t>
            </w:r>
          </w:p>
          <w:p>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防范措施</w:t>
            </w:r>
          </w:p>
        </w:tc>
        <w:tc>
          <w:tcPr>
            <w:tcW w:w="7022" w:type="dxa"/>
            <w:gridSpan w:val="4"/>
            <w:vAlign w:val="center"/>
          </w:tcPr>
          <w:p>
            <w:pPr>
              <w:autoSpaceDE/>
              <w:autoSpaceDN/>
              <w:adjustRightInd w:val="0"/>
              <w:snapToGrid w:val="0"/>
              <w:spacing w:line="360" w:lineRule="auto"/>
              <w:rPr>
                <w:rStyle w:val="78"/>
                <w:rFonts w:cs="Times New Roman"/>
                <w:szCs w:val="21"/>
              </w:rPr>
            </w:pPr>
            <w:r>
              <w:rPr>
                <w:rStyle w:val="78"/>
                <w:rFonts w:cs="Times New Roman"/>
                <w:szCs w:val="21"/>
              </w:rPr>
              <w:t>（1）泄漏的防范措施</w:t>
            </w:r>
          </w:p>
          <w:p>
            <w:pPr>
              <w:autoSpaceDE/>
              <w:autoSpaceDN/>
              <w:adjustRightInd w:val="0"/>
              <w:snapToGrid w:val="0"/>
              <w:spacing w:line="360" w:lineRule="auto"/>
              <w:rPr>
                <w:rStyle w:val="78"/>
                <w:rFonts w:cs="Times New Roman"/>
                <w:szCs w:val="21"/>
              </w:rPr>
            </w:pPr>
            <w:r>
              <w:rPr>
                <w:rStyle w:val="78"/>
                <w:rFonts w:cs="Times New Roman"/>
                <w:szCs w:val="21"/>
              </w:rPr>
              <w:t>危险废物暂存间严格按执行《危险废物贮存污染控制标准》（GB18597-2001）及其修改单中的要求进行建设、防渗，并设置围堰，危废暂存间废</w:t>
            </w:r>
            <w:r>
              <w:rPr>
                <w:rStyle w:val="78"/>
                <w:rFonts w:cs="Times New Roman"/>
                <w:szCs w:val="21"/>
                <w:lang w:val="en-US"/>
              </w:rPr>
              <w:t>机</w:t>
            </w:r>
            <w:r>
              <w:rPr>
                <w:rStyle w:val="78"/>
                <w:rFonts w:cs="Times New Roman"/>
                <w:szCs w:val="21"/>
              </w:rPr>
              <w:t>油泄漏后经围堰封堵，不会进入外环境，因此废</w:t>
            </w:r>
            <w:r>
              <w:rPr>
                <w:rStyle w:val="78"/>
                <w:rFonts w:cs="Times New Roman"/>
                <w:szCs w:val="21"/>
                <w:lang w:val="en-US"/>
              </w:rPr>
              <w:t>机</w:t>
            </w:r>
            <w:r>
              <w:rPr>
                <w:rStyle w:val="78"/>
                <w:rFonts w:cs="Times New Roman"/>
                <w:szCs w:val="21"/>
              </w:rPr>
              <w:t>油泄漏危废间内即可妥善处理，用砂土或其它不燃材料吸附或吸收，吸附后的不燃材料或沙土单独收集作为危废处理，因此对外环境产生的影响很小。</w:t>
            </w:r>
          </w:p>
          <w:p>
            <w:pPr>
              <w:autoSpaceDE/>
              <w:autoSpaceDN/>
              <w:adjustRightInd w:val="0"/>
              <w:snapToGrid w:val="0"/>
              <w:spacing w:line="360" w:lineRule="auto"/>
              <w:rPr>
                <w:rStyle w:val="78"/>
                <w:rFonts w:cs="Times New Roman"/>
                <w:szCs w:val="21"/>
              </w:rPr>
            </w:pPr>
            <w:r>
              <w:rPr>
                <w:rStyle w:val="78"/>
                <w:rFonts w:cs="Times New Roman"/>
                <w:szCs w:val="21"/>
              </w:rPr>
              <w:t>（2）火灾及爆炸防范措施</w:t>
            </w:r>
          </w:p>
          <w:p>
            <w:pPr>
              <w:autoSpaceDE/>
              <w:autoSpaceDN/>
              <w:adjustRightInd w:val="0"/>
              <w:snapToGrid w:val="0"/>
              <w:spacing w:line="360" w:lineRule="auto"/>
              <w:rPr>
                <w:rStyle w:val="78"/>
                <w:rFonts w:cs="Times New Roman"/>
                <w:szCs w:val="21"/>
              </w:rPr>
            </w:pPr>
            <w:r>
              <w:rPr>
                <w:rStyle w:val="78"/>
                <w:rFonts w:cs="Times New Roman"/>
                <w:szCs w:val="21"/>
              </w:rPr>
              <w:t>①对装置周围可能的明火、电器火花和撞击火花进行控制管理；严禁危险区内吸烟和违章动用明火；电器设备、仪表选用防爆型；操作人员应按规定穿戴劳保用品，防止静电火花的产生。</w:t>
            </w:r>
          </w:p>
          <w:p>
            <w:pPr>
              <w:autoSpaceDE/>
              <w:autoSpaceDN/>
              <w:adjustRightInd w:val="0"/>
              <w:snapToGrid w:val="0"/>
              <w:spacing w:line="360" w:lineRule="auto"/>
              <w:rPr>
                <w:rStyle w:val="78"/>
                <w:rFonts w:cs="Times New Roman"/>
                <w:szCs w:val="21"/>
              </w:rPr>
            </w:pPr>
            <w:r>
              <w:rPr>
                <w:rStyle w:val="78"/>
                <w:rFonts w:cs="Times New Roman"/>
                <w:szCs w:val="21"/>
              </w:rPr>
              <w:t>②移动式灭火设备</w:t>
            </w:r>
          </w:p>
          <w:p>
            <w:pPr>
              <w:autoSpaceDE/>
              <w:autoSpaceDN/>
              <w:adjustRightInd w:val="0"/>
              <w:snapToGrid w:val="0"/>
              <w:spacing w:line="360" w:lineRule="auto"/>
              <w:rPr>
                <w:rStyle w:val="78"/>
                <w:rFonts w:cs="Times New Roman"/>
                <w:szCs w:val="21"/>
              </w:rPr>
            </w:pPr>
            <w:r>
              <w:rPr>
                <w:rStyle w:val="78"/>
                <w:rFonts w:cs="Times New Roman"/>
                <w:szCs w:val="21"/>
              </w:rPr>
              <w:t>按照《建筑灭火器配置设计规范》（GB50140－2005），对项目区内可能发生火灾的各类场所、工艺装置区、主要建筑物等，根据其火灾危险性、区域大小等实际情况，分别配置一定数量不同类型、不同规格的移动式灭火器材，以便及时扑救初始零星火灾。</w:t>
            </w:r>
          </w:p>
          <w:p>
            <w:pPr>
              <w:autoSpaceDE/>
              <w:autoSpaceDN/>
              <w:adjustRightInd w:val="0"/>
              <w:snapToGrid w:val="0"/>
              <w:spacing w:line="360" w:lineRule="auto"/>
              <w:rPr>
                <w:rStyle w:val="78"/>
                <w:rFonts w:cs="Times New Roman"/>
                <w:szCs w:val="21"/>
              </w:rPr>
            </w:pPr>
            <w:r>
              <w:rPr>
                <w:rStyle w:val="78"/>
                <w:rFonts w:cs="Times New Roman"/>
                <w:szCs w:val="21"/>
              </w:rPr>
              <w:t>③提高员工素质。增强安全意识。建立严格的安全管理制度，杜绝违章动火、吸烟等现象，按规定配备劳动防护用品．经常性地向职工进行安全和健康防护方面的教育。</w:t>
            </w:r>
          </w:p>
          <w:p>
            <w:pPr>
              <w:autoSpaceDE/>
              <w:autoSpaceDN/>
              <w:adjustRightInd w:val="0"/>
              <w:snapToGrid w:val="0"/>
              <w:spacing w:line="360" w:lineRule="auto"/>
              <w:rPr>
                <w:rStyle w:val="78"/>
                <w:rFonts w:cs="Times New Roman"/>
                <w:szCs w:val="21"/>
              </w:rPr>
            </w:pPr>
            <w:r>
              <w:rPr>
                <w:rStyle w:val="78"/>
                <w:rFonts w:cs="Times New Roman"/>
                <w:szCs w:val="21"/>
              </w:rPr>
              <w:t xml:space="preserve"> ④项目区内危险区域内的电气设备选型、安装、电力线路敷设等，应符合现行国家标准《爆炸和火灾危险环境电力装置设计规范》GB 50058的规定。</w:t>
            </w:r>
          </w:p>
          <w:p>
            <w:pPr>
              <w:autoSpaceDE/>
              <w:autoSpaceDN/>
              <w:adjustRightInd w:val="0"/>
              <w:snapToGrid w:val="0"/>
              <w:spacing w:line="360" w:lineRule="auto"/>
              <w:rPr>
                <w:rStyle w:val="78"/>
                <w:rFonts w:cs="Times New Roman"/>
                <w:szCs w:val="21"/>
              </w:rPr>
            </w:pPr>
            <w:r>
              <w:rPr>
                <w:rStyle w:val="78"/>
                <w:rFonts w:cs="Times New Roman"/>
                <w:szCs w:val="21"/>
              </w:rPr>
              <w:t>⑤设立事故应急及消防水池，在发生事故时紧急处理。</w:t>
            </w:r>
          </w:p>
          <w:p>
            <w:pPr>
              <w:autoSpaceDE/>
              <w:autoSpaceDN/>
              <w:adjustRightInd w:val="0"/>
              <w:snapToGrid w:val="0"/>
              <w:spacing w:line="360" w:lineRule="auto"/>
            </w:pPr>
            <w:r>
              <w:rPr>
                <w:rStyle w:val="78"/>
                <w:rFonts w:cs="Times New Roman"/>
                <w:szCs w:val="21"/>
              </w:rPr>
              <w:t>⑥勿在工作现场，使用手机、电话、调频收音机等电子设备，以免产生静电起火；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gridSpan w:val="2"/>
            <w:vAlign w:val="center"/>
          </w:tcPr>
          <w:p>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其他环境</w:t>
            </w:r>
          </w:p>
          <w:p>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管理要求</w:t>
            </w:r>
          </w:p>
        </w:tc>
        <w:tc>
          <w:tcPr>
            <w:tcW w:w="7022" w:type="dxa"/>
            <w:gridSpan w:val="4"/>
            <w:vAlign w:val="center"/>
          </w:tcPr>
          <w:p>
            <w:pPr>
              <w:autoSpaceDE/>
              <w:autoSpaceDN/>
              <w:adjustRightInd w:val="0"/>
              <w:snapToGrid w:val="0"/>
              <w:spacing w:line="360" w:lineRule="auto"/>
              <w:rPr>
                <w:rFonts w:ascii="Times New Roman" w:hAnsi="Times New Roman" w:cs="Times New Roman"/>
                <w:sz w:val="21"/>
                <w:szCs w:val="21"/>
              </w:rPr>
            </w:pPr>
            <w:r>
              <w:rPr>
                <w:rFonts w:ascii="Times New Roman" w:hAnsi="Times New Roman" w:cs="Times New Roman"/>
                <w:sz w:val="21"/>
                <w:szCs w:val="21"/>
              </w:rPr>
              <w:t>①项目在建设和营运中应认真执行国家、地方环境保护的有关规定和要求。按照当地环保部门的要求及时反映发生的环保问题，随时接受各级环保部门的检查监督。</w:t>
            </w:r>
          </w:p>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②建设单位以后如需增加本报告表所涉及之外的污染源或对其功能进行改变，则应按要求向有关环保部门进行申报，并按污染控制目标采取相应的污染治理措施。</w:t>
            </w:r>
          </w:p>
        </w:tc>
      </w:tr>
    </w:tbl>
    <w:p>
      <w:pPr>
        <w:pStyle w:val="24"/>
        <w:snapToGrid w:val="0"/>
        <w:ind w:firstLine="240"/>
        <w:rPr>
          <w:rFonts w:ascii="Times New Roman" w:hAnsi="Times New Roman" w:cs="Times New Roman"/>
        </w:rPr>
        <w:sectPr>
          <w:pgSz w:w="11910" w:h="16840"/>
          <w:pgMar w:top="1440" w:right="1417" w:bottom="1440" w:left="1417" w:header="0" w:footer="817" w:gutter="0"/>
          <w:cols w:space="720" w:num="1"/>
        </w:sectPr>
      </w:pPr>
    </w:p>
    <w:p>
      <w:pPr>
        <w:pStyle w:val="14"/>
        <w:snapToGrid w:val="0"/>
        <w:spacing w:line="240" w:lineRule="atLeast"/>
        <w:jc w:val="center"/>
        <w:outlineLvl w:val="0"/>
        <w:rPr>
          <w:rFonts w:ascii="Times New Roman" w:hAnsi="Times New Roman" w:cs="Times New Roman"/>
        </w:rPr>
      </w:pPr>
      <w:bookmarkStart w:id="23" w:name="_Toc30241"/>
      <w:r>
        <w:rPr>
          <w:rFonts w:ascii="Times New Roman" w:hAnsi="Times New Roman" w:cs="Times New Roman"/>
        </w:rPr>
        <w:t>六、结论</w:t>
      </w:r>
      <w:bookmarkEnd w:id="23"/>
    </w:p>
    <w:tbl>
      <w:tblPr>
        <w:tblStyle w:val="27"/>
        <w:tblW w:w="50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3" w:hRule="atLeast"/>
          <w:jc w:val="center"/>
        </w:trPr>
        <w:tc>
          <w:tcPr>
            <w:tcW w:w="10060" w:type="dxa"/>
          </w:tcPr>
          <w:p>
            <w:pPr>
              <w:pStyle w:val="14"/>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符合国家有关产业政策，符合当地相关政策，项目贯彻了“总量控制、节能减排、综合利用”的原则。项目厂址区域大气环境、地表水环境、声环境质量现状均能达到相应的标准。项目在各项污染治理措施实施，确保废气、噪声达标排放的前提下，不会对环境空气、声环境产生明显不利影响，能维持当地环境功能要求。只要严格按照环境影响报告表和工程设计提出的环保对策及措施，严格执行“三同时”制度，确保项目所产生的污染物达标排放，则从环保角度本项目的建设运营是可行的。</w:t>
            </w:r>
          </w:p>
          <w:p>
            <w:pPr>
              <w:snapToGrid w:val="0"/>
              <w:spacing w:line="240" w:lineRule="atLeast"/>
              <w:jc w:val="center"/>
              <w:rPr>
                <w:rFonts w:ascii="Times New Roman" w:hAnsi="Times New Roman" w:cs="Times New Roman"/>
                <w:sz w:val="18"/>
              </w:rPr>
            </w:pPr>
          </w:p>
        </w:tc>
      </w:tr>
    </w:tbl>
    <w:p>
      <w:pPr>
        <w:snapToGrid w:val="0"/>
        <w:spacing w:line="240" w:lineRule="atLeast"/>
        <w:jc w:val="center"/>
        <w:rPr>
          <w:rFonts w:ascii="Times New Roman" w:hAnsi="Times New Roman" w:cs="Times New Roman"/>
          <w:sz w:val="18"/>
        </w:rPr>
        <w:sectPr>
          <w:pgSz w:w="11910" w:h="16840"/>
          <w:pgMar w:top="1440" w:right="1417" w:bottom="1440" w:left="1417" w:header="0" w:footer="817" w:gutter="0"/>
          <w:cols w:space="720" w:num="1"/>
        </w:sectPr>
      </w:pPr>
    </w:p>
    <w:p>
      <w:pPr>
        <w:snapToGrid w:val="0"/>
        <w:spacing w:line="360" w:lineRule="auto"/>
        <w:outlineLvl w:val="0"/>
        <w:rPr>
          <w:rFonts w:ascii="Times New Roman" w:hAnsi="Times New Roman" w:eastAsia="黑体" w:cs="Times New Roman"/>
          <w:sz w:val="32"/>
        </w:rPr>
      </w:pPr>
      <w:bookmarkStart w:id="24" w:name="_Toc25215"/>
      <w:r>
        <w:rPr>
          <w:rFonts w:ascii="Times New Roman" w:hAnsi="Times New Roman" w:eastAsia="黑体" w:cs="Times New Roman"/>
          <w:sz w:val="32"/>
        </w:rPr>
        <w:t>附表</w:t>
      </w:r>
      <w:bookmarkEnd w:id="24"/>
    </w:p>
    <w:p>
      <w:pPr>
        <w:snapToGrid w:val="0"/>
        <w:spacing w:line="360" w:lineRule="auto"/>
        <w:ind w:left="151"/>
        <w:jc w:val="center"/>
        <w:outlineLvl w:val="0"/>
        <w:rPr>
          <w:rFonts w:ascii="Times New Roman" w:hAnsi="Times New Roman" w:cs="Times New Roman"/>
          <w:b/>
          <w:bCs/>
          <w:sz w:val="28"/>
          <w:szCs w:val="28"/>
        </w:rPr>
      </w:pPr>
      <w:r>
        <w:rPr>
          <w:rFonts w:ascii="Times New Roman" w:hAnsi="Times New Roman" w:cs="Times New Roman"/>
          <w:b/>
          <w:bCs/>
          <w:sz w:val="28"/>
          <w:szCs w:val="28"/>
        </w:rPr>
        <w:t>建设项目污染物排放量汇总表</w:t>
      </w:r>
    </w:p>
    <w:tbl>
      <w:tblPr>
        <w:tblStyle w:val="2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3"/>
              <w:spacing w:line="240" w:lineRule="auto"/>
              <w:jc w:val="right"/>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项目</w:t>
            </w:r>
          </w:p>
          <w:p>
            <w:pPr>
              <w:pStyle w:val="43"/>
              <w:spacing w:line="240" w:lineRule="auto"/>
              <w:jc w:val="left"/>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分类</w:t>
            </w:r>
          </w:p>
        </w:tc>
        <w:tc>
          <w:tcPr>
            <w:tcW w:w="1417" w:type="dxa"/>
            <w:tcMar>
              <w:left w:w="28" w:type="dxa"/>
              <w:right w:w="28" w:type="dxa"/>
            </w:tcMar>
            <w:vAlign w:val="center"/>
          </w:tcPr>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污染物名称</w:t>
            </w:r>
          </w:p>
        </w:tc>
        <w:tc>
          <w:tcPr>
            <w:tcW w:w="1701" w:type="dxa"/>
            <w:tcMar>
              <w:left w:w="28" w:type="dxa"/>
              <w:right w:w="28" w:type="dxa"/>
            </w:tcMar>
            <w:vAlign w:val="center"/>
          </w:tcPr>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现有工程</w:t>
            </w:r>
          </w:p>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排放量（固体废物产生量）</w:t>
            </w:r>
            <w:r>
              <w:rPr>
                <w:rFonts w:eastAsia="黑体" w:cs="Times New Roman"/>
                <w:snapToGrid w:val="0"/>
                <w:color w:val="000000"/>
                <w:spacing w:val="-6"/>
                <w:kern w:val="21"/>
                <w:szCs w:val="21"/>
                <w:lang w:val="en-US"/>
              </w:rPr>
              <w:fldChar w:fldCharType="begin"/>
            </w:r>
            <w:r>
              <w:rPr>
                <w:rFonts w:eastAsia="黑体" w:cs="Times New Roman"/>
                <w:snapToGrid w:val="0"/>
                <w:color w:val="000000"/>
                <w:spacing w:val="-6"/>
                <w:kern w:val="21"/>
                <w:szCs w:val="21"/>
                <w:lang w:val="en-US"/>
              </w:rPr>
              <w:instrText xml:space="preserve"> = 1 \* GB3 \* MERGEFORMAT </w:instrText>
            </w:r>
            <w:r>
              <w:rPr>
                <w:rFonts w:eastAsia="黑体" w:cs="Times New Roman"/>
                <w:snapToGrid w:val="0"/>
                <w:color w:val="000000"/>
                <w:spacing w:val="-6"/>
                <w:kern w:val="21"/>
                <w:szCs w:val="21"/>
                <w:lang w:val="en-US"/>
              </w:rPr>
              <w:fldChar w:fldCharType="separate"/>
            </w:r>
            <w:r>
              <w:rPr>
                <w:rFonts w:eastAsia="黑体" w:cs="Times New Roman"/>
                <w:kern w:val="2"/>
                <w:szCs w:val="21"/>
                <w:lang w:val="en-US"/>
              </w:rPr>
              <w:t>①</w:t>
            </w:r>
            <w:r>
              <w:rPr>
                <w:rFonts w:eastAsia="黑体" w:cs="Times New Roman"/>
                <w:snapToGrid w:val="0"/>
                <w:color w:val="000000"/>
                <w:spacing w:val="-6"/>
                <w:kern w:val="21"/>
                <w:szCs w:val="21"/>
                <w:lang w:val="en-US"/>
              </w:rPr>
              <w:fldChar w:fldCharType="end"/>
            </w:r>
          </w:p>
        </w:tc>
        <w:tc>
          <w:tcPr>
            <w:tcW w:w="1276" w:type="dxa"/>
            <w:tcMar>
              <w:left w:w="28" w:type="dxa"/>
              <w:right w:w="28" w:type="dxa"/>
            </w:tcMar>
            <w:vAlign w:val="center"/>
          </w:tcPr>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现有工程</w:t>
            </w:r>
          </w:p>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许可排放量</w:t>
            </w:r>
          </w:p>
          <w:p>
            <w:pPr>
              <w:pStyle w:val="43"/>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fldChar w:fldCharType="begin"/>
            </w:r>
            <w:r>
              <w:rPr>
                <w:rFonts w:eastAsia="黑体" w:cs="Times New Roman"/>
                <w:snapToGrid w:val="0"/>
                <w:color w:val="000000"/>
                <w:spacing w:val="-6"/>
                <w:kern w:val="21"/>
                <w:szCs w:val="21"/>
                <w:lang w:val="en-US"/>
              </w:rPr>
              <w:instrText xml:space="preserve"> = 2 \* GB3 \* MERGEFORMAT </w:instrText>
            </w:r>
            <w:r>
              <w:rPr>
                <w:rFonts w:eastAsia="黑体" w:cs="Times New Roman"/>
                <w:snapToGrid w:val="0"/>
                <w:color w:val="000000"/>
                <w:spacing w:val="-6"/>
                <w:kern w:val="21"/>
                <w:szCs w:val="21"/>
                <w:lang w:val="en-US"/>
              </w:rPr>
              <w:fldChar w:fldCharType="separate"/>
            </w:r>
            <w:r>
              <w:rPr>
                <w:rFonts w:eastAsia="黑体" w:cs="Times New Roman"/>
                <w:snapToGrid w:val="0"/>
                <w:color w:val="000000"/>
                <w:spacing w:val="-6"/>
                <w:kern w:val="21"/>
                <w:szCs w:val="21"/>
                <w:lang w:val="en-US"/>
              </w:rPr>
              <w:t>②</w:t>
            </w:r>
            <w:r>
              <w:rPr>
                <w:rFonts w:eastAsia="黑体" w:cs="Times New Roman"/>
                <w:snapToGrid w:val="0"/>
                <w:color w:val="000000"/>
                <w:spacing w:val="-6"/>
                <w:kern w:val="21"/>
                <w:szCs w:val="21"/>
                <w:lang w:val="en-US"/>
              </w:rPr>
              <w:fldChar w:fldCharType="end"/>
            </w:r>
          </w:p>
        </w:tc>
        <w:tc>
          <w:tcPr>
            <w:tcW w:w="1701" w:type="dxa"/>
            <w:tcMar>
              <w:left w:w="28" w:type="dxa"/>
              <w:right w:w="28" w:type="dxa"/>
            </w:tcMar>
            <w:vAlign w:val="center"/>
          </w:tcPr>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在建工程</w:t>
            </w:r>
          </w:p>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排放量（固体废物产生量）</w:t>
            </w:r>
            <w:r>
              <w:rPr>
                <w:rFonts w:eastAsia="黑体" w:cs="Times New Roman"/>
                <w:snapToGrid w:val="0"/>
                <w:color w:val="000000"/>
                <w:spacing w:val="-6"/>
                <w:kern w:val="21"/>
                <w:szCs w:val="21"/>
                <w:lang w:val="en-US"/>
              </w:rPr>
              <w:fldChar w:fldCharType="begin"/>
            </w:r>
            <w:r>
              <w:rPr>
                <w:rFonts w:eastAsia="黑体" w:cs="Times New Roman"/>
                <w:snapToGrid w:val="0"/>
                <w:color w:val="000000"/>
                <w:spacing w:val="-6"/>
                <w:kern w:val="21"/>
                <w:szCs w:val="21"/>
                <w:lang w:val="en-US"/>
              </w:rPr>
              <w:instrText xml:space="preserve"> = 3 \* GB3 \* MERGEFORMAT </w:instrText>
            </w:r>
            <w:r>
              <w:rPr>
                <w:rFonts w:eastAsia="黑体" w:cs="Times New Roman"/>
                <w:snapToGrid w:val="0"/>
                <w:color w:val="000000"/>
                <w:spacing w:val="-6"/>
                <w:kern w:val="21"/>
                <w:szCs w:val="21"/>
                <w:lang w:val="en-US"/>
              </w:rPr>
              <w:fldChar w:fldCharType="separate"/>
            </w:r>
            <w:r>
              <w:rPr>
                <w:rFonts w:eastAsia="黑体" w:cs="Times New Roman"/>
                <w:kern w:val="2"/>
                <w:szCs w:val="21"/>
                <w:lang w:val="en-US"/>
              </w:rPr>
              <w:t>③</w:t>
            </w:r>
            <w:r>
              <w:rPr>
                <w:rFonts w:eastAsia="黑体" w:cs="Times New Roman"/>
                <w:snapToGrid w:val="0"/>
                <w:color w:val="000000"/>
                <w:spacing w:val="-6"/>
                <w:kern w:val="21"/>
                <w:szCs w:val="21"/>
                <w:lang w:val="en-US"/>
              </w:rPr>
              <w:fldChar w:fldCharType="end"/>
            </w:r>
          </w:p>
        </w:tc>
        <w:tc>
          <w:tcPr>
            <w:tcW w:w="1559" w:type="dxa"/>
            <w:tcMar>
              <w:left w:w="28" w:type="dxa"/>
              <w:right w:w="28" w:type="dxa"/>
            </w:tcMar>
            <w:vAlign w:val="center"/>
          </w:tcPr>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本项目</w:t>
            </w:r>
          </w:p>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排放量（固体废物产生量）</w:t>
            </w:r>
            <w:r>
              <w:rPr>
                <w:rFonts w:eastAsia="黑体" w:cs="Times New Roman"/>
                <w:snapToGrid w:val="0"/>
                <w:color w:val="000000"/>
                <w:spacing w:val="-6"/>
                <w:kern w:val="21"/>
                <w:szCs w:val="21"/>
                <w:lang w:val="en-US"/>
              </w:rPr>
              <w:fldChar w:fldCharType="begin"/>
            </w:r>
            <w:r>
              <w:rPr>
                <w:rFonts w:eastAsia="黑体" w:cs="Times New Roman"/>
                <w:snapToGrid w:val="0"/>
                <w:color w:val="000000"/>
                <w:spacing w:val="-6"/>
                <w:kern w:val="21"/>
                <w:szCs w:val="21"/>
                <w:lang w:val="en-US"/>
              </w:rPr>
              <w:instrText xml:space="preserve"> = 4 \* GB3 \* MERGEFORMAT </w:instrText>
            </w:r>
            <w:r>
              <w:rPr>
                <w:rFonts w:eastAsia="黑体" w:cs="Times New Roman"/>
                <w:snapToGrid w:val="0"/>
                <w:color w:val="000000"/>
                <w:spacing w:val="-6"/>
                <w:kern w:val="21"/>
                <w:szCs w:val="21"/>
                <w:lang w:val="en-US"/>
              </w:rPr>
              <w:fldChar w:fldCharType="separate"/>
            </w:r>
            <w:r>
              <w:rPr>
                <w:rFonts w:eastAsia="黑体" w:cs="Times New Roman"/>
                <w:kern w:val="2"/>
                <w:szCs w:val="21"/>
                <w:lang w:val="en-US"/>
              </w:rPr>
              <w:t>④</w:t>
            </w:r>
            <w:r>
              <w:rPr>
                <w:rFonts w:eastAsia="黑体" w:cs="Times New Roman"/>
                <w:snapToGrid w:val="0"/>
                <w:color w:val="000000"/>
                <w:spacing w:val="-6"/>
                <w:kern w:val="21"/>
                <w:szCs w:val="21"/>
                <w:lang w:val="en-US"/>
              </w:rPr>
              <w:fldChar w:fldCharType="end"/>
            </w:r>
          </w:p>
        </w:tc>
        <w:tc>
          <w:tcPr>
            <w:tcW w:w="1761" w:type="dxa"/>
            <w:tcMar>
              <w:left w:w="28" w:type="dxa"/>
              <w:right w:w="28" w:type="dxa"/>
            </w:tcMar>
            <w:vAlign w:val="center"/>
          </w:tcPr>
          <w:p>
            <w:pPr>
              <w:pStyle w:val="43"/>
              <w:spacing w:line="240" w:lineRule="auto"/>
              <w:rPr>
                <w:rFonts w:eastAsia="黑体" w:cs="Times New Roman"/>
                <w:snapToGrid w:val="0"/>
                <w:color w:val="000000"/>
                <w:spacing w:val="-16"/>
                <w:kern w:val="21"/>
                <w:szCs w:val="21"/>
                <w:lang w:val="en-US"/>
              </w:rPr>
            </w:pPr>
            <w:r>
              <w:rPr>
                <w:rFonts w:eastAsia="黑体" w:cs="Times New Roman"/>
                <w:snapToGrid w:val="0"/>
                <w:color w:val="000000"/>
                <w:spacing w:val="-16"/>
                <w:kern w:val="21"/>
                <w:szCs w:val="21"/>
                <w:lang w:val="en-US"/>
              </w:rPr>
              <w:t>以新带老削减量</w:t>
            </w:r>
          </w:p>
          <w:p>
            <w:pPr>
              <w:pStyle w:val="43"/>
              <w:spacing w:line="240" w:lineRule="auto"/>
              <w:rPr>
                <w:rFonts w:eastAsia="黑体" w:cs="Times New Roman"/>
                <w:snapToGrid w:val="0"/>
                <w:color w:val="000000"/>
                <w:spacing w:val="-16"/>
                <w:kern w:val="21"/>
                <w:szCs w:val="21"/>
                <w:lang w:val="en-US"/>
              </w:rPr>
            </w:pPr>
            <w:r>
              <w:rPr>
                <w:rFonts w:eastAsia="黑体" w:cs="Times New Roman"/>
                <w:snapToGrid w:val="0"/>
                <w:color w:val="000000"/>
                <w:spacing w:val="-16"/>
                <w:kern w:val="21"/>
                <w:szCs w:val="21"/>
                <w:lang w:val="en-US"/>
              </w:rPr>
              <w:t>（新建项目不填）</w:t>
            </w:r>
            <w:r>
              <w:rPr>
                <w:rFonts w:eastAsia="黑体" w:cs="Times New Roman"/>
                <w:snapToGrid w:val="0"/>
                <w:color w:val="000000"/>
                <w:spacing w:val="-16"/>
                <w:kern w:val="21"/>
                <w:szCs w:val="21"/>
                <w:lang w:val="en-US"/>
              </w:rPr>
              <w:fldChar w:fldCharType="begin"/>
            </w:r>
            <w:r>
              <w:rPr>
                <w:rFonts w:eastAsia="黑体" w:cs="Times New Roman"/>
                <w:snapToGrid w:val="0"/>
                <w:color w:val="000000"/>
                <w:spacing w:val="-16"/>
                <w:kern w:val="21"/>
                <w:szCs w:val="21"/>
                <w:lang w:val="en-US"/>
              </w:rPr>
              <w:instrText xml:space="preserve"> = 5 \* GB3 \* MERGEFORMAT </w:instrText>
            </w:r>
            <w:r>
              <w:rPr>
                <w:rFonts w:eastAsia="黑体" w:cs="Times New Roman"/>
                <w:snapToGrid w:val="0"/>
                <w:color w:val="000000"/>
                <w:spacing w:val="-16"/>
                <w:kern w:val="21"/>
                <w:szCs w:val="21"/>
                <w:lang w:val="en-US"/>
              </w:rPr>
              <w:fldChar w:fldCharType="separate"/>
            </w:r>
            <w:r>
              <w:rPr>
                <w:rFonts w:eastAsia="黑体" w:cs="Times New Roman"/>
                <w:kern w:val="2"/>
                <w:szCs w:val="21"/>
                <w:lang w:val="en-US"/>
              </w:rPr>
              <w:t>⑤</w:t>
            </w:r>
            <w:r>
              <w:rPr>
                <w:rFonts w:eastAsia="黑体" w:cs="Times New Roman"/>
                <w:snapToGrid w:val="0"/>
                <w:color w:val="000000"/>
                <w:spacing w:val="-16"/>
                <w:kern w:val="21"/>
                <w:szCs w:val="21"/>
                <w:lang w:val="en-US"/>
              </w:rPr>
              <w:fldChar w:fldCharType="end"/>
            </w:r>
          </w:p>
        </w:tc>
        <w:tc>
          <w:tcPr>
            <w:tcW w:w="1959" w:type="dxa"/>
            <w:tcMar>
              <w:left w:w="28" w:type="dxa"/>
              <w:right w:w="28" w:type="dxa"/>
            </w:tcMar>
            <w:vAlign w:val="center"/>
          </w:tcPr>
          <w:p>
            <w:pPr>
              <w:pStyle w:val="43"/>
              <w:spacing w:line="240" w:lineRule="auto"/>
              <w:rPr>
                <w:rFonts w:eastAsia="黑体" w:cs="Times New Roman"/>
                <w:snapToGrid w:val="0"/>
                <w:color w:val="000000"/>
                <w:spacing w:val="-16"/>
                <w:kern w:val="21"/>
                <w:szCs w:val="21"/>
                <w:lang w:val="en-US"/>
              </w:rPr>
            </w:pPr>
            <w:r>
              <w:rPr>
                <w:rFonts w:eastAsia="黑体" w:cs="Times New Roman"/>
                <w:snapToGrid w:val="0"/>
                <w:color w:val="000000"/>
                <w:spacing w:val="-16"/>
                <w:kern w:val="21"/>
                <w:szCs w:val="21"/>
                <w:lang w:val="en-US"/>
              </w:rPr>
              <w:t>本项目建成后</w:t>
            </w:r>
          </w:p>
          <w:p>
            <w:pPr>
              <w:pStyle w:val="43"/>
              <w:spacing w:line="240" w:lineRule="auto"/>
              <w:rPr>
                <w:rFonts w:eastAsia="黑体" w:cs="Times New Roman"/>
                <w:snapToGrid w:val="0"/>
                <w:color w:val="000000"/>
                <w:spacing w:val="-16"/>
                <w:kern w:val="21"/>
                <w:szCs w:val="21"/>
                <w:lang w:val="en-US"/>
              </w:rPr>
            </w:pPr>
            <w:r>
              <w:rPr>
                <w:rFonts w:eastAsia="黑体" w:cs="Times New Roman"/>
                <w:snapToGrid w:val="0"/>
                <w:color w:val="000000"/>
                <w:spacing w:val="-16"/>
                <w:kern w:val="21"/>
                <w:szCs w:val="21"/>
                <w:lang w:val="en-US"/>
              </w:rPr>
              <w:t>全厂排放量（固体废物产生量）</w:t>
            </w:r>
            <w:r>
              <w:rPr>
                <w:rFonts w:eastAsia="黑体" w:cs="Times New Roman"/>
                <w:snapToGrid w:val="0"/>
                <w:color w:val="000000"/>
                <w:spacing w:val="-16"/>
                <w:kern w:val="21"/>
                <w:szCs w:val="21"/>
                <w:lang w:val="en-US"/>
              </w:rPr>
              <w:fldChar w:fldCharType="begin"/>
            </w:r>
            <w:r>
              <w:rPr>
                <w:rFonts w:eastAsia="黑体" w:cs="Times New Roman"/>
                <w:snapToGrid w:val="0"/>
                <w:color w:val="000000"/>
                <w:spacing w:val="-16"/>
                <w:kern w:val="21"/>
                <w:szCs w:val="21"/>
                <w:lang w:val="en-US"/>
              </w:rPr>
              <w:instrText xml:space="preserve"> = 6 \* GB3 \* MERGEFORMAT </w:instrText>
            </w:r>
            <w:r>
              <w:rPr>
                <w:rFonts w:eastAsia="黑体" w:cs="Times New Roman"/>
                <w:snapToGrid w:val="0"/>
                <w:color w:val="000000"/>
                <w:spacing w:val="-16"/>
                <w:kern w:val="21"/>
                <w:szCs w:val="21"/>
                <w:lang w:val="en-US"/>
              </w:rPr>
              <w:fldChar w:fldCharType="separate"/>
            </w:r>
            <w:r>
              <w:rPr>
                <w:rFonts w:eastAsia="黑体" w:cs="Times New Roman"/>
                <w:kern w:val="2"/>
                <w:szCs w:val="21"/>
                <w:lang w:val="en-US"/>
              </w:rPr>
              <w:t>⑥</w:t>
            </w:r>
            <w:r>
              <w:rPr>
                <w:rFonts w:eastAsia="黑体" w:cs="Times New Roman"/>
                <w:snapToGrid w:val="0"/>
                <w:color w:val="000000"/>
                <w:spacing w:val="-16"/>
                <w:kern w:val="21"/>
                <w:szCs w:val="21"/>
                <w:lang w:val="en-US"/>
              </w:rPr>
              <w:fldChar w:fldCharType="end"/>
            </w:r>
          </w:p>
        </w:tc>
        <w:tc>
          <w:tcPr>
            <w:tcW w:w="826" w:type="dxa"/>
            <w:tcMar>
              <w:left w:w="28" w:type="dxa"/>
              <w:right w:w="28" w:type="dxa"/>
            </w:tcMar>
            <w:vAlign w:val="center"/>
          </w:tcPr>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t>变化量</w:t>
            </w:r>
          </w:p>
          <w:p>
            <w:pPr>
              <w:pStyle w:val="43"/>
              <w:spacing w:line="240" w:lineRule="auto"/>
              <w:rPr>
                <w:rFonts w:eastAsia="黑体" w:cs="Times New Roman"/>
                <w:snapToGrid w:val="0"/>
                <w:color w:val="000000"/>
                <w:spacing w:val="-6"/>
                <w:kern w:val="21"/>
                <w:szCs w:val="21"/>
                <w:lang w:val="en-US"/>
              </w:rPr>
            </w:pPr>
            <w:r>
              <w:rPr>
                <w:rFonts w:eastAsia="黑体" w:cs="Times New Roman"/>
                <w:snapToGrid w:val="0"/>
                <w:color w:val="000000"/>
                <w:spacing w:val="-6"/>
                <w:kern w:val="21"/>
                <w:szCs w:val="21"/>
                <w:lang w:val="en-US"/>
              </w:rPr>
              <w:fldChar w:fldCharType="begin"/>
            </w:r>
            <w:r>
              <w:rPr>
                <w:rFonts w:eastAsia="黑体" w:cs="Times New Roman"/>
                <w:snapToGrid w:val="0"/>
                <w:color w:val="000000"/>
                <w:spacing w:val="-6"/>
                <w:kern w:val="21"/>
                <w:szCs w:val="21"/>
                <w:lang w:val="en-US"/>
              </w:rPr>
              <w:instrText xml:space="preserve"> = 7 \* GB3 \* MERGEFORMAT </w:instrText>
            </w:r>
            <w:r>
              <w:rPr>
                <w:rFonts w:eastAsia="黑体" w:cs="Times New Roman"/>
                <w:snapToGrid w:val="0"/>
                <w:color w:val="000000"/>
                <w:spacing w:val="-6"/>
                <w:kern w:val="21"/>
                <w:szCs w:val="21"/>
                <w:lang w:val="en-US"/>
              </w:rPr>
              <w:fldChar w:fldCharType="separate"/>
            </w:r>
            <w:r>
              <w:rPr>
                <w:rFonts w:eastAsia="黑体" w:cs="Times New Roman"/>
                <w:kern w:val="2"/>
                <w:szCs w:val="21"/>
                <w:lang w:val="en-US"/>
              </w:rPr>
              <w:t>⑦</w:t>
            </w:r>
            <w:r>
              <w:rPr>
                <w:rFonts w:eastAsia="黑体" w:cs="Times New Roman"/>
                <w:snapToGrid w:val="0"/>
                <w:color w:val="000000"/>
                <w:spacing w:val="-6"/>
                <w:kern w:val="21"/>
                <w:szCs w:val="21"/>
                <w:lang w:val="en-U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废气</w:t>
            </w:r>
          </w:p>
        </w:tc>
        <w:tc>
          <w:tcPr>
            <w:tcW w:w="1417"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废气排放总量</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Style w:val="78"/>
                <w:rFonts w:cs="Times New Roman"/>
                <w:szCs w:val="21"/>
                <w:lang w:val="en-US"/>
              </w:rPr>
              <w:t>30000</w:t>
            </w:r>
            <w:r>
              <w:rPr>
                <w:rStyle w:val="78"/>
                <w:rFonts w:hint="eastAsia" w:cs="Times New Roman"/>
                <w:szCs w:val="21"/>
                <w:lang w:val="en-US"/>
              </w:rPr>
              <w:t>万</w:t>
            </w:r>
            <w:r>
              <w:rPr>
                <w:rStyle w:val="78"/>
                <w:rFonts w:cs="Times New Roman"/>
                <w:szCs w:val="21"/>
                <w:lang w:val="en-US"/>
              </w:rPr>
              <w:t>m</w:t>
            </w:r>
            <w:r>
              <w:rPr>
                <w:rStyle w:val="78"/>
                <w:rFonts w:cs="Times New Roman"/>
                <w:szCs w:val="21"/>
                <w:vertAlign w:val="superscript"/>
                <w:lang w:val="en-US"/>
              </w:rPr>
              <w:t>3</w:t>
            </w:r>
            <w:r>
              <w:rPr>
                <w:rStyle w:val="78"/>
                <w:rFonts w:cs="Times New Roman"/>
                <w:szCs w:val="21"/>
                <w:lang w:val="en-US"/>
              </w:rPr>
              <w: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b/>
                <w:bCs/>
                <w:snapToGrid w:val="0"/>
                <w:color w:val="000000"/>
                <w:kern w:val="21"/>
                <w:szCs w:val="21"/>
                <w:lang w:val="en-US"/>
              </w:rPr>
            </w:pPr>
            <w:r>
              <w:rPr>
                <w:rStyle w:val="78"/>
                <w:rFonts w:cs="Times New Roman"/>
                <w:szCs w:val="21"/>
                <w:lang w:val="en-US"/>
              </w:rPr>
              <w:t>30000</w:t>
            </w:r>
            <w:r>
              <w:rPr>
                <w:rStyle w:val="78"/>
                <w:rFonts w:hint="eastAsia" w:cs="Times New Roman"/>
                <w:szCs w:val="21"/>
                <w:lang w:val="en-US"/>
              </w:rPr>
              <w:t>万</w:t>
            </w:r>
            <w:r>
              <w:rPr>
                <w:rStyle w:val="78"/>
                <w:rFonts w:cs="Times New Roman"/>
                <w:szCs w:val="21"/>
                <w:lang w:val="en-US"/>
              </w:rPr>
              <w:t>m</w:t>
            </w:r>
            <w:r>
              <w:rPr>
                <w:rStyle w:val="78"/>
                <w:rFonts w:cs="Times New Roman"/>
                <w:szCs w:val="21"/>
                <w:vertAlign w:val="superscript"/>
                <w:lang w:val="en-US"/>
              </w:rPr>
              <w:t>3</w:t>
            </w:r>
            <w:r>
              <w:rPr>
                <w:rStyle w:val="78"/>
                <w:rFonts w:cs="Times New Roman"/>
                <w:szCs w:val="21"/>
                <w:lang w:val="en-US"/>
              </w:rPr>
              <w: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非甲烷总烃</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Fonts w:hint="eastAsia" w:cs="Times New Roman"/>
                <w:snapToGrid w:val="0"/>
                <w:color w:val="000000"/>
                <w:kern w:val="21"/>
                <w:szCs w:val="21"/>
                <w:lang w:val="en-US"/>
              </w:rPr>
              <w:t>0.2619</w:t>
            </w:r>
            <w:r>
              <w:rPr>
                <w:rFonts w:cs="Times New Roman"/>
                <w:snapToGrid w:val="0"/>
                <w:color w:val="000000"/>
                <w:kern w:val="21"/>
                <w:szCs w:val="21"/>
                <w:lang w:val="en-US"/>
              </w:rPr>
              <w:t>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snapToGrid w:val="0"/>
                <w:color w:val="000000"/>
                <w:kern w:val="21"/>
                <w:szCs w:val="21"/>
                <w:lang w:val="en-US"/>
              </w:rPr>
            </w:pPr>
            <w:r>
              <w:rPr>
                <w:rFonts w:hint="eastAsia" w:cs="Times New Roman"/>
                <w:snapToGrid w:val="0"/>
                <w:color w:val="000000"/>
                <w:kern w:val="21"/>
                <w:szCs w:val="21"/>
                <w:lang w:val="en-US"/>
              </w:rPr>
              <w:t>0.2619</w:t>
            </w:r>
            <w:r>
              <w:rPr>
                <w:rFonts w:cs="Times New Roman"/>
                <w:snapToGrid w:val="0"/>
                <w:color w:val="000000"/>
                <w:kern w:val="21"/>
                <w:szCs w:val="21"/>
                <w:lang w:val="en-US"/>
              </w:rPr>
              <w:t>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颗粒物</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0.</w:t>
            </w:r>
            <w:r>
              <w:rPr>
                <w:rFonts w:hint="eastAsia" w:cs="Times New Roman"/>
                <w:snapToGrid w:val="0"/>
                <w:color w:val="000000"/>
                <w:kern w:val="21"/>
                <w:szCs w:val="21"/>
                <w:lang w:val="en-US"/>
              </w:rPr>
              <w:t>000545</w:t>
            </w:r>
            <w:r>
              <w:rPr>
                <w:rFonts w:cs="Times New Roman"/>
                <w:snapToGrid w:val="0"/>
                <w:color w:val="000000"/>
                <w:kern w:val="21"/>
                <w:szCs w:val="21"/>
                <w:lang w:val="en-US"/>
              </w:rPr>
              <w:t>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snapToGrid w:val="0"/>
                <w:color w:val="000000"/>
                <w:kern w:val="21"/>
                <w:szCs w:val="21"/>
                <w:lang w:val="en-US"/>
              </w:rPr>
            </w:pPr>
            <w:r>
              <w:rPr>
                <w:rFonts w:hint="eastAsia" w:cs="Times New Roman"/>
                <w:snapToGrid w:val="0"/>
                <w:color w:val="000000"/>
                <w:kern w:val="21"/>
                <w:szCs w:val="21"/>
                <w:lang w:val="en-US"/>
              </w:rPr>
              <w:t>000545</w:t>
            </w:r>
            <w:r>
              <w:rPr>
                <w:rFonts w:cs="Times New Roman"/>
                <w:snapToGrid w:val="0"/>
                <w:color w:val="000000"/>
                <w:kern w:val="21"/>
                <w:szCs w:val="21"/>
                <w:lang w:val="en-US"/>
              </w:rPr>
              <w:t>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废水</w:t>
            </w:r>
          </w:p>
        </w:tc>
        <w:tc>
          <w:tcPr>
            <w:tcW w:w="1417" w:type="dxa"/>
            <w:vAlign w:val="center"/>
          </w:tcPr>
          <w:p>
            <w:pPr>
              <w:pStyle w:val="47"/>
              <w:ind w:firstLine="0" w:firstLineChars="0"/>
              <w:rPr>
                <w:snapToGrid w:val="0"/>
                <w:kern w:val="21"/>
              </w:rPr>
            </w:pPr>
            <w:r>
              <w:rPr>
                <w:b w:val="0"/>
                <w:bCs w:val="0"/>
                <w:color w:val="auto"/>
              </w:rPr>
              <w:t>COD</w:t>
            </w:r>
            <w:r>
              <w:rPr>
                <w:b w:val="0"/>
                <w:bCs w:val="0"/>
                <w:color w:val="auto"/>
                <w:vertAlign w:val="subscript"/>
              </w:rPr>
              <w:t>cr</w:t>
            </w:r>
          </w:p>
        </w:tc>
        <w:tc>
          <w:tcPr>
            <w:tcW w:w="1701" w:type="dxa"/>
            <w:vAlign w:val="center"/>
          </w:tcPr>
          <w:p>
            <w:pPr>
              <w:pStyle w:val="43"/>
              <w:spacing w:line="240" w:lineRule="auto"/>
              <w:ind w:firstLine="0" w:firstLineChars="0"/>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ind w:firstLine="0" w:firstLineChars="0"/>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ind w:firstLine="0" w:firstLineChars="0"/>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ind w:firstLine="0" w:firstLineChars="0"/>
              <w:rPr>
                <w:rFonts w:cs="Times New Roman"/>
                <w:snapToGrid w:val="0"/>
                <w:color w:val="000000"/>
                <w:kern w:val="21"/>
                <w:szCs w:val="21"/>
                <w:lang w:val="en-US"/>
              </w:rPr>
            </w:pPr>
            <w:r>
              <w:rPr>
                <w:rFonts w:cs="Times New Roman"/>
                <w:snapToGrid w:val="0"/>
                <w:color w:val="000000"/>
                <w:kern w:val="21"/>
                <w:szCs w:val="21"/>
                <w:lang w:val="en-US"/>
              </w:rPr>
              <w:t>0.</w:t>
            </w:r>
            <w:r>
              <w:rPr>
                <w:rFonts w:hint="eastAsia" w:cs="Times New Roman"/>
                <w:snapToGrid w:val="0"/>
                <w:color w:val="000000"/>
                <w:kern w:val="21"/>
                <w:szCs w:val="21"/>
                <w:lang w:val="en-US" w:eastAsia="zh-CN"/>
              </w:rPr>
              <w:t>114</w:t>
            </w:r>
            <w:r>
              <w:rPr>
                <w:rFonts w:cs="Times New Roman"/>
                <w:snapToGrid w:val="0"/>
                <w:color w:val="000000"/>
                <w:kern w:val="21"/>
                <w:szCs w:val="21"/>
                <w:lang w:val="en-US"/>
              </w:rPr>
              <w:t>t/a</w:t>
            </w:r>
          </w:p>
        </w:tc>
        <w:tc>
          <w:tcPr>
            <w:tcW w:w="1761" w:type="dxa"/>
            <w:vAlign w:val="center"/>
          </w:tcPr>
          <w:p>
            <w:pPr>
              <w:pStyle w:val="43"/>
              <w:spacing w:line="240" w:lineRule="auto"/>
              <w:ind w:firstLine="0" w:firstLineChars="0"/>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ind w:firstLine="0" w:firstLineChars="0"/>
              <w:rPr>
                <w:rFonts w:cs="Times New Roman"/>
                <w:snapToGrid w:val="0"/>
                <w:color w:val="000000"/>
                <w:kern w:val="21"/>
                <w:szCs w:val="21"/>
                <w:lang w:val="en-US"/>
              </w:rPr>
            </w:pPr>
            <w:r>
              <w:rPr>
                <w:rFonts w:cs="Times New Roman"/>
                <w:snapToGrid w:val="0"/>
                <w:color w:val="000000"/>
                <w:kern w:val="21"/>
                <w:szCs w:val="21"/>
                <w:lang w:val="en-US"/>
              </w:rPr>
              <w:t>0.</w:t>
            </w:r>
            <w:r>
              <w:rPr>
                <w:rFonts w:hint="eastAsia" w:cs="Times New Roman"/>
                <w:snapToGrid w:val="0"/>
                <w:color w:val="000000"/>
                <w:kern w:val="21"/>
                <w:szCs w:val="21"/>
                <w:lang w:val="en-US" w:eastAsia="zh-CN"/>
              </w:rPr>
              <w:t>114</w:t>
            </w:r>
            <w:r>
              <w:rPr>
                <w:rFonts w:cs="Times New Roman"/>
                <w:snapToGrid w:val="0"/>
                <w:color w:val="000000"/>
                <w:kern w:val="21"/>
                <w:szCs w:val="21"/>
                <w:lang w:val="en-US"/>
              </w:rPr>
              <w:t>t/a</w:t>
            </w:r>
          </w:p>
        </w:tc>
        <w:tc>
          <w:tcPr>
            <w:tcW w:w="826" w:type="dxa"/>
            <w:vAlign w:val="center"/>
          </w:tcPr>
          <w:p>
            <w:pPr>
              <w:pStyle w:val="43"/>
              <w:spacing w:line="240" w:lineRule="auto"/>
              <w:ind w:firstLine="0" w:firstLineChars="0"/>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7"/>
              <w:rPr>
                <w:snapToGrid w:val="0"/>
                <w:kern w:val="21"/>
              </w:rPr>
            </w:pPr>
            <w:r>
              <w:rPr>
                <w:b w:val="0"/>
                <w:bCs w:val="0"/>
                <w:color w:val="auto"/>
              </w:rPr>
              <w:t>BOD</w:t>
            </w:r>
            <w:r>
              <w:rPr>
                <w:b w:val="0"/>
                <w:bCs w:val="0"/>
                <w:color w:val="auto"/>
                <w:vertAlign w:val="subscript"/>
              </w:rPr>
              <w:t>5</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7"/>
              <w:rPr>
                <w:snapToGrid w:val="0"/>
                <w:kern w:val="21"/>
              </w:rPr>
            </w:pPr>
            <w:r>
              <w:rPr>
                <w:b w:val="0"/>
                <w:bCs w:val="0"/>
                <w:color w:val="auto"/>
              </w:rPr>
              <w:t>0.0665t/a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tcPr>
          <w:p>
            <w:pPr>
              <w:pStyle w:val="47"/>
              <w:rPr>
                <w:b w:val="0"/>
                <w:snapToGrid w:val="0"/>
                <w:kern w:val="21"/>
              </w:rPr>
            </w:pPr>
            <w:r>
              <w:rPr>
                <w:b w:val="0"/>
              </w:rPr>
              <w:t>0.0665t/a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7"/>
              <w:rPr>
                <w:snapToGrid w:val="0"/>
                <w:kern w:val="21"/>
              </w:rPr>
            </w:pPr>
            <w:r>
              <w:rPr>
                <w:b w:val="0"/>
                <w:bCs w:val="0"/>
                <w:color w:val="auto"/>
              </w:rPr>
              <w:t>氨氮</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7"/>
              <w:rPr>
                <w:snapToGrid w:val="0"/>
                <w:kern w:val="21"/>
              </w:rPr>
            </w:pPr>
            <w:r>
              <w:rPr>
                <w:b w:val="0"/>
                <w:bCs w:val="0"/>
                <w:color w:val="auto"/>
              </w:rPr>
              <w:t>0.0065t/a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tcPr>
          <w:p>
            <w:pPr>
              <w:pStyle w:val="47"/>
              <w:rPr>
                <w:b w:val="0"/>
                <w:snapToGrid w:val="0"/>
                <w:kern w:val="21"/>
              </w:rPr>
            </w:pPr>
            <w:r>
              <w:rPr>
                <w:b w:val="0"/>
              </w:rPr>
              <w:t>0.0065t/a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7"/>
              <w:rPr>
                <w:snapToGrid w:val="0"/>
                <w:kern w:val="21"/>
              </w:rPr>
            </w:pPr>
            <w:r>
              <w:rPr>
                <w:b w:val="0"/>
                <w:bCs w:val="0"/>
                <w:color w:val="auto"/>
              </w:rPr>
              <w:t>总磷</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7"/>
              <w:rPr>
                <w:snapToGrid w:val="0"/>
                <w:kern w:val="21"/>
              </w:rPr>
            </w:pPr>
            <w:r>
              <w:rPr>
                <w:b w:val="0"/>
                <w:bCs w:val="0"/>
                <w:color w:val="auto"/>
              </w:rPr>
              <w:t>0.002</w:t>
            </w:r>
            <w:r>
              <w:rPr>
                <w:rFonts w:hint="eastAsia"/>
                <w:b w:val="0"/>
                <w:bCs w:val="0"/>
                <w:color w:val="auto"/>
              </w:rPr>
              <w:t>2</w:t>
            </w:r>
            <w:r>
              <w:rPr>
                <w:b w:val="0"/>
                <w:bCs w:val="0"/>
                <w:color w:val="auto"/>
              </w:rPr>
              <w:t>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tcPr>
          <w:p>
            <w:pPr>
              <w:pStyle w:val="47"/>
              <w:rPr>
                <w:b w:val="0"/>
                <w:snapToGrid w:val="0"/>
                <w:kern w:val="21"/>
              </w:rPr>
            </w:pPr>
            <w:r>
              <w:rPr>
                <w:b w:val="0"/>
              </w:rPr>
              <w:t>0.0022t/a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7"/>
              <w:rPr>
                <w:snapToGrid w:val="0"/>
                <w:kern w:val="21"/>
              </w:rPr>
            </w:pPr>
            <w:r>
              <w:rPr>
                <w:b w:val="0"/>
                <w:bCs w:val="0"/>
                <w:color w:val="auto"/>
              </w:rPr>
              <w:t>动植物油</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7"/>
              <w:rPr>
                <w:snapToGrid w:val="0"/>
                <w:kern w:val="21"/>
              </w:rPr>
            </w:pPr>
            <w:r>
              <w:rPr>
                <w:b w:val="0"/>
                <w:bCs w:val="0"/>
                <w:color w:val="auto"/>
              </w:rPr>
              <w:t>0.0060t/a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tcPr>
          <w:p>
            <w:pPr>
              <w:pStyle w:val="47"/>
              <w:rPr>
                <w:b w:val="0"/>
                <w:snapToGrid w:val="0"/>
                <w:kern w:val="21"/>
              </w:rPr>
            </w:pPr>
            <w:r>
              <w:rPr>
                <w:b w:val="0"/>
              </w:rPr>
              <w:t>0.0060t/a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7"/>
              <w:rPr>
                <w:snapToGrid w:val="0"/>
                <w:kern w:val="21"/>
              </w:rPr>
            </w:pPr>
            <w:r>
              <w:rPr>
                <w:b w:val="0"/>
                <w:bCs w:val="0"/>
                <w:color w:val="auto"/>
              </w:rPr>
              <w:t>悬浮物</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7"/>
              <w:rPr>
                <w:snapToGrid w:val="0"/>
                <w:kern w:val="21"/>
              </w:rPr>
            </w:pPr>
            <w:r>
              <w:rPr>
                <w:rFonts w:hint="eastAsia"/>
                <w:b w:val="0"/>
                <w:bCs w:val="0"/>
                <w:color w:val="auto"/>
              </w:rPr>
              <w:t>0.07</w:t>
            </w:r>
            <w:r>
              <w:rPr>
                <w:b w:val="0"/>
                <w:bCs w:val="0"/>
                <w:color w:val="auto"/>
              </w:rPr>
              <w:t>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tcPr>
          <w:p>
            <w:pPr>
              <w:pStyle w:val="47"/>
              <w:rPr>
                <w:b w:val="0"/>
                <w:snapToGrid w:val="0"/>
                <w:kern w:val="21"/>
              </w:rPr>
            </w:pPr>
            <w:r>
              <w:rPr>
                <w:b w:val="0"/>
              </w:rPr>
              <w:t>0.07t/a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一般工业</w:t>
            </w:r>
          </w:p>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固体废物</w:t>
            </w:r>
          </w:p>
        </w:tc>
        <w:tc>
          <w:tcPr>
            <w:tcW w:w="1417" w:type="dxa"/>
            <w:vAlign w:val="center"/>
          </w:tcPr>
          <w:p>
            <w:pPr>
              <w:pStyle w:val="43"/>
              <w:spacing w:line="240" w:lineRule="auto"/>
              <w:rPr>
                <w:rFonts w:cs="Times New Roman"/>
                <w:snapToGrid w:val="0"/>
                <w:color w:val="000000"/>
                <w:kern w:val="21"/>
                <w:szCs w:val="21"/>
                <w:lang w:val="en-US"/>
              </w:rPr>
            </w:pPr>
            <w:r>
              <w:rPr>
                <w:rFonts w:hint="eastAsia" w:cs="Times New Roman"/>
                <w:snapToGrid w:val="0"/>
                <w:color w:val="000000"/>
                <w:kern w:val="21"/>
                <w:szCs w:val="21"/>
                <w:lang w:val="en-US"/>
              </w:rPr>
              <w:t>废边角料及不合格产品</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10t/a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10t/a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布袋除尘设备收集的粉尘</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0.205t/a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0.205t/a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职工办公垃圾</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2.1t/a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2.1t/a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废包装材料</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1t/a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1t/a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危险废物</w:t>
            </w:r>
          </w:p>
        </w:tc>
        <w:tc>
          <w:tcPr>
            <w:tcW w:w="1417"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废机油</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0.03t/a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0.03t/a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废活性炭</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3.645t/a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3.645t/a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3"/>
              <w:spacing w:line="240" w:lineRule="auto"/>
              <w:rPr>
                <w:rFonts w:cs="Times New Roman"/>
                <w:snapToGrid w:val="0"/>
                <w:color w:val="000000"/>
                <w:kern w:val="21"/>
                <w:szCs w:val="21"/>
                <w:lang w:val="en-US"/>
              </w:rPr>
            </w:pPr>
          </w:p>
        </w:tc>
        <w:tc>
          <w:tcPr>
            <w:tcW w:w="1417" w:type="dxa"/>
            <w:vAlign w:val="center"/>
          </w:tcPr>
          <w:p>
            <w:pPr>
              <w:pStyle w:val="43"/>
              <w:spacing w:line="240" w:lineRule="auto"/>
              <w:rPr>
                <w:rFonts w:cs="Times New Roman"/>
                <w:snapToGrid w:val="0"/>
                <w:color w:val="000000"/>
                <w:kern w:val="21"/>
                <w:szCs w:val="21"/>
                <w:lang w:val="en-US"/>
              </w:rPr>
            </w:pPr>
            <w:r>
              <w:rPr>
                <w:rFonts w:hint="eastAsia" w:cs="Times New Roman"/>
                <w:snapToGrid w:val="0"/>
                <w:color w:val="000000"/>
                <w:kern w:val="21"/>
                <w:szCs w:val="21"/>
                <w:lang w:val="en-US"/>
              </w:rPr>
              <w:t>废UV灯管</w:t>
            </w:r>
          </w:p>
        </w:tc>
        <w:tc>
          <w:tcPr>
            <w:tcW w:w="170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27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701" w:type="dxa"/>
            <w:vAlign w:val="center"/>
          </w:tcPr>
          <w:p>
            <w:pPr>
              <w:pStyle w:val="43"/>
              <w:spacing w:line="240" w:lineRule="auto"/>
              <w:rPr>
                <w:rFonts w:cs="Times New Roman"/>
                <w:snapToGrid w:val="0"/>
                <w:color w:val="000000"/>
                <w:kern w:val="21"/>
                <w:szCs w:val="21"/>
                <w:lang w:val="en-US"/>
              </w:rPr>
            </w:pPr>
            <w:r>
              <w:rPr>
                <w:rFonts w:hint="eastAsia" w:cs="Times New Roman"/>
                <w:snapToGrid w:val="0"/>
                <w:color w:val="000000"/>
                <w:kern w:val="21"/>
                <w:szCs w:val="21"/>
                <w:lang w:val="en-US"/>
              </w:rPr>
              <w:t>/</w:t>
            </w:r>
          </w:p>
        </w:tc>
        <w:tc>
          <w:tcPr>
            <w:tcW w:w="1559" w:type="dxa"/>
            <w:vAlign w:val="center"/>
          </w:tcPr>
          <w:p>
            <w:pPr>
              <w:pStyle w:val="43"/>
              <w:spacing w:line="240" w:lineRule="auto"/>
              <w:rPr>
                <w:rFonts w:cs="Times New Roman"/>
                <w:snapToGrid w:val="0"/>
                <w:color w:val="000000"/>
                <w:kern w:val="21"/>
                <w:szCs w:val="21"/>
                <w:lang w:val="en-US"/>
              </w:rPr>
            </w:pPr>
            <w:r>
              <w:rPr>
                <w:rFonts w:hint="eastAsia" w:cs="Times New Roman"/>
                <w:snapToGrid w:val="0"/>
                <w:color w:val="000000"/>
                <w:kern w:val="21"/>
                <w:szCs w:val="21"/>
                <w:lang w:val="en-US"/>
              </w:rPr>
              <w:t>0.01</w:t>
            </w:r>
            <w:r>
              <w:rPr>
                <w:rFonts w:cs="Times New Roman"/>
                <w:snapToGrid w:val="0"/>
                <w:color w:val="000000"/>
                <w:kern w:val="21"/>
                <w:szCs w:val="21"/>
                <w:lang w:val="en-US"/>
              </w:rPr>
              <w:t>t/a</w:t>
            </w:r>
          </w:p>
        </w:tc>
        <w:tc>
          <w:tcPr>
            <w:tcW w:w="1761"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c>
          <w:tcPr>
            <w:tcW w:w="1959" w:type="dxa"/>
            <w:vAlign w:val="center"/>
          </w:tcPr>
          <w:p>
            <w:pPr>
              <w:pStyle w:val="43"/>
              <w:spacing w:line="240" w:lineRule="auto"/>
              <w:rPr>
                <w:rFonts w:cs="Times New Roman"/>
                <w:snapToGrid w:val="0"/>
                <w:color w:val="000000"/>
                <w:kern w:val="21"/>
                <w:szCs w:val="21"/>
                <w:lang w:val="en-US"/>
              </w:rPr>
            </w:pPr>
            <w:r>
              <w:rPr>
                <w:rFonts w:hint="eastAsia" w:cs="Times New Roman"/>
                <w:snapToGrid w:val="0"/>
                <w:color w:val="000000"/>
                <w:kern w:val="21"/>
                <w:szCs w:val="21"/>
                <w:lang w:val="en-US"/>
              </w:rPr>
              <w:t>0.01</w:t>
            </w:r>
            <w:r>
              <w:rPr>
                <w:rFonts w:cs="Times New Roman"/>
                <w:snapToGrid w:val="0"/>
                <w:color w:val="000000"/>
                <w:kern w:val="21"/>
                <w:szCs w:val="21"/>
                <w:lang w:val="en-US"/>
              </w:rPr>
              <w:t>t/a</w:t>
            </w:r>
          </w:p>
        </w:tc>
        <w:tc>
          <w:tcPr>
            <w:tcW w:w="826" w:type="dxa"/>
            <w:vAlign w:val="center"/>
          </w:tcPr>
          <w:p>
            <w:pPr>
              <w:pStyle w:val="43"/>
              <w:spacing w:line="240" w:lineRule="auto"/>
              <w:rPr>
                <w:rFonts w:cs="Times New Roman"/>
                <w:snapToGrid w:val="0"/>
                <w:color w:val="000000"/>
                <w:kern w:val="21"/>
                <w:szCs w:val="21"/>
                <w:lang w:val="en-US"/>
              </w:rPr>
            </w:pPr>
            <w:r>
              <w:rPr>
                <w:rFonts w:cs="Times New Roman"/>
                <w:snapToGrid w:val="0"/>
                <w:color w:val="000000"/>
                <w:kern w:val="21"/>
                <w:szCs w:val="21"/>
                <w:lang w:val="en-US"/>
              </w:rPr>
              <w:t>/</w:t>
            </w:r>
          </w:p>
        </w:tc>
      </w:tr>
    </w:tbl>
    <w:p>
      <w:pPr>
        <w:pStyle w:val="14"/>
        <w:snapToGrid w:val="0"/>
        <w:rPr>
          <w:rFonts w:ascii="Times New Roman" w:hAnsi="Times New Roman" w:cs="Times New Roman"/>
          <w:sz w:val="6"/>
        </w:rPr>
      </w:pPr>
    </w:p>
    <w:p>
      <w:pPr>
        <w:snapToGrid w:val="0"/>
        <w:ind w:left="151"/>
        <w:rPr>
          <w:rFonts w:ascii="Times New Roman" w:hAnsi="Times New Roman" w:cs="Times New Roman"/>
          <w:sz w:val="21"/>
        </w:rPr>
        <w:sectPr>
          <w:footerReference r:id="rId10" w:type="default"/>
          <w:footerReference r:id="rId11" w:type="even"/>
          <w:pgSz w:w="16840" w:h="11910" w:orient="landscape"/>
          <w:pgMar w:top="1100" w:right="1420" w:bottom="1000" w:left="1380" w:header="0" w:footer="817" w:gutter="0"/>
          <w:cols w:space="720" w:num="1"/>
        </w:sectPr>
      </w:pPr>
      <w:r>
        <w:rPr>
          <w:rFonts w:ascii="Times New Roman" w:hAnsi="Times New Roman" w:cs="Times New Roman"/>
          <w:sz w:val="21"/>
        </w:rPr>
        <w:t>注：⑥=①+③+④-⑤；⑦=⑥-</w:t>
      </w:r>
    </w:p>
    <w:p>
      <w:pPr>
        <w:snapToGrid w:val="0"/>
        <w:rPr>
          <w:rFonts w:ascii="Times New Roman" w:hAnsi="Times New Roman" w:cs="Times New Roman"/>
          <w:sz w:val="21"/>
        </w:rPr>
      </w:pPr>
    </w:p>
    <w:sectPr>
      <w:pgSz w:w="11910" w:h="16840"/>
      <w:pgMar w:top="1580" w:right="1300" w:bottom="1000" w:left="1300" w:header="0" w:footer="817" w:gutter="0"/>
      <w:cols w:space="720" w:num="1"/>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3">
      <wne:acd wne:acdName="acd1"/>
    </wne:keymap>
    <wne:keymap wne:kcmPrimary="0077">
      <wne:acd wne:acdName="acd2"/>
    </wne:keymap>
  </wne:keymaps>
  <wne:acds>
    <wne:acd wne:argValue="AgBoiJiY" wne:acdName="acd0" wne:fciIndexBasedOn="0065"/>
    <wne:acd wne:argValue="AgBoiDxo" wne:acdName="acd1" wne:fciIndexBasedOn="0065"/>
    <wne:acd wne:argValue="AgBUAGNrh2U="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lang w:val="en-US" w:bidi="ar-SA"/>
      </w:rPr>
      <mc:AlternateContent>
        <mc:Choice Requires="wps">
          <w:drawing>
            <wp:anchor distT="0" distB="0" distL="114300" distR="114300" simplePos="0" relativeHeight="251666432" behindDoc="1" locked="0" layoutInCell="1" allowOverlap="1">
              <wp:simplePos x="0" y="0"/>
              <wp:positionH relativeFrom="page">
                <wp:posOffset>886460</wp:posOffset>
              </wp:positionH>
              <wp:positionV relativeFrom="page">
                <wp:posOffset>9889490</wp:posOffset>
              </wp:positionV>
              <wp:extent cx="719455" cy="2038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19455" cy="203835"/>
                      </a:xfrm>
                      <a:prstGeom prst="rect">
                        <a:avLst/>
                      </a:prstGeom>
                      <a:noFill/>
                      <a:ln>
                        <a:noFill/>
                      </a:ln>
                    </wps:spPr>
                    <wps:txbx>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16</w:t>
                          </w:r>
                          <w:r>
                            <w:fldChar w:fldCharType="end"/>
                          </w:r>
                          <w:r>
                            <w:rPr>
                              <w:sz w:val="26"/>
                            </w:rPr>
                            <w:tab/>
                          </w:r>
                          <w:r>
                            <w:rPr>
                              <w:sz w:val="28"/>
                            </w:rPr>
                            <w:t>—</w:t>
                          </w:r>
                        </w:p>
                      </w:txbxContent>
                    </wps:txbx>
                    <wps:bodyPr lIns="0" tIns="0" rIns="0" bIns="0" upright="1"/>
                  </wps:wsp>
                </a:graphicData>
              </a:graphic>
            </wp:anchor>
          </w:drawing>
        </mc:Choice>
        <mc:Fallback>
          <w:pict>
            <v:shape id="_x0000_s1026" o:spid="_x0000_s1026" o:spt="202" type="#_x0000_t202" style="position:absolute;left:0pt;margin-left:69.8pt;margin-top:778.7pt;height:16.05pt;width:56.65pt;mso-position-horizontal-relative:page;mso-position-vertical-relative:page;z-index:-251650048;mso-width-relative:page;mso-height-relative:page;" filled="f" stroked="f" coordsize="21600,21600" o:gfxdata="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c4I2dsAAAANAQAADwAAAAAAAAABACAAAAAiAAAAZHJzL2Rvd25yZXYueG1s&#10;UEsBAhQAFAAAAAgAh07iQCg0NP28AQAAcwMAAA4AAAAAAAAAAQAgAAAAKgEAAGRycy9lMm9Eb2Mu&#10;eG1sUEsFBgAAAAAGAAYAWQEAAFgFAAAAAA==&#10;">
              <v:fill on="f" focussize="0,0"/>
              <v:stroke on="f"/>
              <v:imagedata o:title=""/>
              <o:lock v:ext="edit" aspectratio="f"/>
              <v:textbox inset="0mm,0mm,0mm,0mm">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16</w:t>
                    </w:r>
                    <w:r>
                      <w:fldChar w:fldCharType="end"/>
                    </w:r>
                    <w:r>
                      <w:rPr>
                        <w:sz w:val="26"/>
                      </w:rPr>
                      <w:tab/>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lang w:val="en-US" w:bidi="ar-SA"/>
      </w:rPr>
      <mc:AlternateContent>
        <mc:Choice Requires="wps">
          <w:drawing>
            <wp:anchor distT="0" distB="0" distL="114300" distR="114300" simplePos="0" relativeHeight="251662336"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5" name="文本框 2"/>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文本框 2" o:spid="_x0000_s1026" o:spt="202" type="#_x0000_t202" style="position:absolute;left:0pt;margin-left:75.55pt;margin-top:779.7pt;height:26.45pt;width:63.1pt;mso-position-horizontal-relative:page;mso-position-vertical-relative:page;z-index:-251654144;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Gsjl9sAAAANAQAADwAAAAAAAAABACAAAAAiAAAAZHJzL2Rvd25yZXYueG1sUEsB&#10;AhQAFAAAAAgAh07iQFW8nnC5AQAAcQMAAA4AAAAAAAAAAQAgAAAAKgEAAGRycy9lMm9Eb2MueG1s&#10;UEsFBgAAAAAGAAYAWQEAAFUFAAAAAA==&#10;">
              <v:fill on="f" focussize="0,0"/>
              <v:stroke on="f"/>
              <v:imagedata o:title=""/>
              <o:lock v:ext="edit" aspectratio="f"/>
              <v:textbox inset="0mm,0mm,0mm,0mm">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sz w:val="20"/>
        <w:lang w:val="en-US" w:bidi="ar-SA"/>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 </w:t>
                          </w:r>
                          <w:r>
                            <w:fldChar w:fldCharType="begin"/>
                          </w:r>
                          <w:r>
                            <w:instrText xml:space="preserve"> PAGE  \* MERGEFORMAT </w:instrText>
                          </w:r>
                          <w:r>
                            <w:fldChar w:fldCharType="separate"/>
                          </w:r>
                          <w:r>
                            <w:t>31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20"/>
                    </w:pPr>
                    <w:r>
                      <w:t xml:space="preserve">— </w:t>
                    </w:r>
                    <w:r>
                      <w:fldChar w:fldCharType="begin"/>
                    </w:r>
                    <w:r>
                      <w:instrText xml:space="preserve"> PAGE  \* MERGEFORMAT </w:instrText>
                    </w:r>
                    <w:r>
                      <w:fldChar w:fldCharType="separate"/>
                    </w:r>
                    <w:r>
                      <w:t>31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lang w:val="en-US" w:bidi="ar-SA"/>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 </w:t>
                          </w:r>
                          <w:r>
                            <w:fldChar w:fldCharType="begin"/>
                          </w:r>
                          <w:r>
                            <w:instrText xml:space="preserve"> PAGE  \* MERGEFORMAT </w:instrText>
                          </w:r>
                          <w:r>
                            <w:fldChar w:fldCharType="separate"/>
                          </w:r>
                          <w:r>
                            <w:t>41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0"/>
                    </w:pPr>
                    <w:r>
                      <w:t xml:space="preserve">— </w:t>
                    </w:r>
                    <w:r>
                      <w:fldChar w:fldCharType="begin"/>
                    </w:r>
                    <w:r>
                      <w:instrText xml:space="preserve"> PAGE  \* MERGEFORMAT </w:instrText>
                    </w:r>
                    <w:r>
                      <w:fldChar w:fldCharType="separate"/>
                    </w:r>
                    <w:r>
                      <w:t>41</w:t>
                    </w:r>
                    <w:r>
                      <w:fldChar w:fldCharType="end"/>
                    </w:r>
                    <w:r>
                      <w:t xml:space="preserve"> —</w:t>
                    </w:r>
                  </w:p>
                </w:txbxContent>
              </v:textbox>
            </v:shape>
          </w:pict>
        </mc:Fallback>
      </mc:AlternateContent>
    </w:r>
    <w:r>
      <w:rPr>
        <w:lang w:val="en-US" w:bidi="ar-SA"/>
      </w:rPr>
      <mc:AlternateContent>
        <mc:Choice Requires="wps">
          <w:drawing>
            <wp:anchor distT="0" distB="0" distL="114300" distR="114300" simplePos="0" relativeHeight="251663360" behindDoc="1" locked="0" layoutInCell="1" allowOverlap="1">
              <wp:simplePos x="0" y="0"/>
              <wp:positionH relativeFrom="page">
                <wp:posOffset>5884545</wp:posOffset>
              </wp:positionH>
              <wp:positionV relativeFrom="page">
                <wp:posOffset>10035540</wp:posOffset>
              </wp:positionV>
              <wp:extent cx="718820" cy="203835"/>
              <wp:effectExtent l="0" t="0" r="0" b="0"/>
              <wp:wrapNone/>
              <wp:docPr id="6" name="文本框 3"/>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p>
                      </w:txbxContent>
                    </wps:txbx>
                    <wps:bodyPr lIns="0" tIns="0" rIns="0" bIns="0" upright="1"/>
                  </wps:wsp>
                </a:graphicData>
              </a:graphic>
            </wp:anchor>
          </w:drawing>
        </mc:Choice>
        <mc:Fallback>
          <w:pict>
            <v:shape id="文本框 3" o:spid="_x0000_s1026" o:spt="202" type="#_x0000_t202" style="position:absolute;left:0pt;margin-left:463.35pt;margin-top:790.2pt;height:16.05pt;width:56.6pt;mso-position-horizontal-relative:page;mso-position-vertical-relative:page;z-index:-251653120;mso-width-relative:page;mso-height-relative:page;" filled="f" stroked="f" coordsize="21600,21600" o:gfxdata="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NH18/cAAAADgEAAA8AAAAAAAAAAQAgAAAAIgAAAGRycy9kb3ducmV2LnhtbFBL&#10;AQIUABQAAAAIAIdO4kCN6WBquQEAAHEDAAAOAAAAAAAAAAEAIAAAACsBAABkcnMvZTJvRG9jLnht&#10;bFBLBQYAAAAABgAGAFkBAABWBQAAAAA=&#10;">
              <v:fill on="f" focussize="0,0"/>
              <v:stroke on="f"/>
              <v:imagedata o:title=""/>
              <o:lock v:ext="edit" aspectratio="f"/>
              <v:textbox inset="0mm,0mm,0mm,0mm">
                <w:txbxContent>
                  <w:p>
                    <w:pPr>
                      <w:spacing w:line="321" w:lineRule="exact"/>
                      <w:ind w:left="20"/>
                      <w:rPr>
                        <w:sz w:val="2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lang w:val="en-US" w:bidi="ar-SA"/>
      </w:rPr>
      <mc:AlternateContent>
        <mc:Choice Requires="wps">
          <w:drawing>
            <wp:anchor distT="0" distB="0" distL="114300" distR="114300" simplePos="0" relativeHeight="251664384"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7" name="文本框 4"/>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wps:txbx>
                    <wps:bodyPr lIns="0" tIns="0" rIns="0" bIns="0" upright="1"/>
                  </wps:wsp>
                </a:graphicData>
              </a:graphic>
            </wp:anchor>
          </w:drawing>
        </mc:Choice>
        <mc:Fallback>
          <w:pict>
            <v:shape id="文本框 4" o:spid="_x0000_s1026" o:spt="202" type="#_x0000_t202" style="position:absolute;left:0pt;margin-left:75.55pt;margin-top:790.2pt;height:16.05pt;width:56.6pt;mso-position-horizontal-relative:page;mso-position-vertical-relative:page;z-index:-251652096;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F2oxP26AQAAcQMAAA4AAAAAAAAAAQAgAAAAKQEAAGRycy9lMm9Eb2MueG1s&#10;UEsFBgAAAAAGAAYAWQEAAFUFAAAAAA==&#10;">
              <v:fill on="f" focussize="0,0"/>
              <v:stroke on="f"/>
              <v:imagedata o:title=""/>
              <o:lock v:ext="edit" aspectratio="f"/>
              <v:textbox inset="0mm,0mm,0mm,0mm">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sz w:val="20"/>
        <w:lang w:val="en-US" w:bidi="ar-SA"/>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 </w:t>
                          </w:r>
                          <w:r>
                            <w:fldChar w:fldCharType="begin"/>
                          </w:r>
                          <w:r>
                            <w:instrText xml:space="preserve"> PAGE  \* MERGEFORMAT </w:instrText>
                          </w:r>
                          <w:r>
                            <w:fldChar w:fldCharType="separate"/>
                          </w:r>
                          <w:r>
                            <w:t>72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20"/>
                    </w:pPr>
                    <w:r>
                      <w:t xml:space="preserve">— </w:t>
                    </w:r>
                    <w:r>
                      <w:fldChar w:fldCharType="begin"/>
                    </w:r>
                    <w:r>
                      <w:instrText xml:space="preserve"> PAGE  \* MERGEFORMAT </w:instrText>
                    </w:r>
                    <w:r>
                      <w:fldChar w:fldCharType="separate"/>
                    </w:r>
                    <w:r>
                      <w:t>72</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lang w:val="en-US" w:bidi="ar-SA"/>
      </w:rPr>
      <mc:AlternateContent>
        <mc:Choice Requires="wps">
          <w:drawing>
            <wp:anchor distT="0" distB="0" distL="114300" distR="114300" simplePos="0" relativeHeight="251665408" behindDoc="1" locked="0" layoutInCell="1" allowOverlap="1">
              <wp:simplePos x="0" y="0"/>
              <wp:positionH relativeFrom="page">
                <wp:posOffset>959485</wp:posOffset>
              </wp:positionH>
              <wp:positionV relativeFrom="page">
                <wp:posOffset>6901815</wp:posOffset>
              </wp:positionV>
              <wp:extent cx="801370" cy="203835"/>
              <wp:effectExtent l="0" t="0" r="0" b="0"/>
              <wp:wrapNone/>
              <wp:docPr id="9" name="文本框 6"/>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line="321" w:lineRule="exact"/>
                            <w:ind w:left="20"/>
                            <w:rPr>
                              <w:sz w:val="28"/>
                            </w:rPr>
                          </w:pPr>
                          <w:r>
                            <w:rPr>
                              <w:sz w:val="28"/>
                            </w:rPr>
                            <w:t xml:space="preserve">— </w:t>
                          </w:r>
                          <w:r>
                            <w:rPr>
                              <w:sz w:val="26"/>
                            </w:rPr>
                            <w:t xml:space="preserve">12 </w:t>
                          </w:r>
                          <w:r>
                            <w:rPr>
                              <w:sz w:val="28"/>
                            </w:rPr>
                            <w:t>—</w:t>
                          </w:r>
                        </w:p>
                      </w:txbxContent>
                    </wps:txbx>
                    <wps:bodyPr lIns="0" tIns="0" rIns="0" bIns="0" upright="1"/>
                  </wps:wsp>
                </a:graphicData>
              </a:graphic>
            </wp:anchor>
          </w:drawing>
        </mc:Choice>
        <mc:Fallback>
          <w:pict>
            <v:shape id="文本框 6" o:spid="_x0000_s1026" o:spt="202" type="#_x0000_t202" style="position:absolute;left:0pt;margin-left:75.55pt;margin-top:543.45pt;height:16.05pt;width:63.1pt;mso-position-horizontal-relative:page;mso-position-vertical-relative:page;z-index:-251651072;mso-width-relative:page;mso-height-relative:page;" filled="f" stroked="f" coordsize="21600,21600" o:gfxdata="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X4/S2gAAAA0BAAAPAAAAAAAAAAEAIAAAACIAAABkcnMvZG93bnJldi54bWxQSwEC&#10;FAAUAAAACACHTuJAnABtYrkBAABxAwAADgAAAAAAAAABACAAAAApAQAAZHJzL2Uyb0RvYy54bWxQ&#10;SwUGAAAAAAYABgBZAQAAVAUAAAAA&#10;">
              <v:fill on="f" focussize="0,0"/>
              <v:stroke on="f"/>
              <v:imagedata o:title=""/>
              <o:lock v:ext="edit" aspectratio="f"/>
              <v:textbox inset="0mm,0mm,0mm,0mm">
                <w:txbxContent>
                  <w:p>
                    <w:pPr>
                      <w:spacing w:line="321" w:lineRule="exact"/>
                      <w:ind w:left="20"/>
                      <w:rPr>
                        <w:sz w:val="28"/>
                      </w:rPr>
                    </w:pPr>
                    <w:r>
                      <w:rPr>
                        <w:sz w:val="28"/>
                      </w:rPr>
                      <w:t xml:space="preserve">— </w:t>
                    </w:r>
                    <w:r>
                      <w:rPr>
                        <w:sz w:val="26"/>
                      </w:rPr>
                      <w:t xml:space="preserve">12 </w:t>
                    </w:r>
                    <w:r>
                      <w:rPr>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62CF8D"/>
    <w:multiLevelType w:val="singleLevel"/>
    <w:tmpl w:val="B362CF8D"/>
    <w:lvl w:ilvl="0" w:tentative="0">
      <w:start w:val="3"/>
      <w:numFmt w:val="chineseCounting"/>
      <w:suff w:val="nothing"/>
      <w:lvlText w:val="（%1）"/>
      <w:lvlJc w:val="left"/>
      <w:rPr>
        <w:rFonts w:hint="eastAsia"/>
      </w:rPr>
    </w:lvl>
  </w:abstractNum>
  <w:abstractNum w:abstractNumId="1">
    <w:nsid w:val="E39D86BB"/>
    <w:multiLevelType w:val="singleLevel"/>
    <w:tmpl w:val="E39D86BB"/>
    <w:lvl w:ilvl="0" w:tentative="0">
      <w:start w:val="1"/>
      <w:numFmt w:val="chineseCounting"/>
      <w:suff w:val="nothing"/>
      <w:lvlText w:val="%1、"/>
      <w:lvlJc w:val="left"/>
      <w:pPr>
        <w:ind w:left="172" w:firstLine="0"/>
      </w:pPr>
      <w:rPr>
        <w:rFonts w:hint="eastAsia"/>
      </w:rPr>
    </w:lvl>
  </w:abstractNum>
  <w:abstractNum w:abstractNumId="2">
    <w:nsid w:val="E8390004"/>
    <w:multiLevelType w:val="singleLevel"/>
    <w:tmpl w:val="E8390004"/>
    <w:lvl w:ilvl="0" w:tentative="0">
      <w:start w:val="1"/>
      <w:numFmt w:val="chineseCounting"/>
      <w:suff w:val="nothing"/>
      <w:lvlText w:val="（%1）"/>
      <w:lvlJc w:val="left"/>
      <w:pPr>
        <w:ind w:left="-654"/>
      </w:pPr>
      <w:rPr>
        <w:rFonts w:hint="eastAsia"/>
      </w:rPr>
    </w:lvl>
  </w:abstractNum>
  <w:abstractNum w:abstractNumId="3">
    <w:nsid w:val="0F853339"/>
    <w:multiLevelType w:val="singleLevel"/>
    <w:tmpl w:val="0F853339"/>
    <w:lvl w:ilvl="0" w:tentative="0">
      <w:start w:val="1"/>
      <w:numFmt w:val="decimal"/>
      <w:suff w:val="nothing"/>
      <w:lvlText w:val="（%1）"/>
      <w:lvlJc w:val="left"/>
    </w:lvl>
  </w:abstractNum>
  <w:abstractNum w:abstractNumId="4">
    <w:nsid w:val="45BFA4BC"/>
    <w:multiLevelType w:val="singleLevel"/>
    <w:tmpl w:val="45BFA4BC"/>
    <w:lvl w:ilvl="0" w:tentative="0">
      <w:start w:val="1"/>
      <w:numFmt w:val="decimal"/>
      <w:suff w:val="nothing"/>
      <w:lvlText w:val="%1、"/>
      <w:lvlJc w:val="left"/>
    </w:lvl>
  </w:abstractNum>
  <w:abstractNum w:abstractNumId="5">
    <w:nsid w:val="4ECF960B"/>
    <w:multiLevelType w:val="singleLevel"/>
    <w:tmpl w:val="4ECF960B"/>
    <w:lvl w:ilvl="0" w:tentative="0">
      <w:start w:val="2"/>
      <w:numFmt w:val="decimal"/>
      <w:suff w:val="nothing"/>
      <w:lvlText w:val="（%1）"/>
      <w:lvlJc w:val="left"/>
    </w:lvl>
  </w:abstractNum>
  <w:abstractNum w:abstractNumId="6">
    <w:nsid w:val="590CBDFD"/>
    <w:multiLevelType w:val="singleLevel"/>
    <w:tmpl w:val="590CBDFD"/>
    <w:lvl w:ilvl="0" w:tentative="0">
      <w:start w:val="1"/>
      <w:numFmt w:val="decimal"/>
      <w:suff w:val="nothing"/>
      <w:lvlText w:val="%1、"/>
      <w:lvlJc w:val="left"/>
      <w:pPr>
        <w:ind w:left="240"/>
      </w:pPr>
    </w:lvl>
  </w:abstractNum>
  <w:abstractNum w:abstractNumId="7">
    <w:nsid w:val="629F7852"/>
    <w:multiLevelType w:val="multilevel"/>
    <w:tmpl w:val="629F7852"/>
    <w:lvl w:ilvl="0" w:tentative="0">
      <w:start w:val="0"/>
      <w:numFmt w:val="bullet"/>
      <w:lvlText w:val=""/>
      <w:lvlJc w:val="left"/>
      <w:pPr>
        <w:ind w:left="224" w:hanging="215"/>
      </w:pPr>
      <w:rPr>
        <w:rFonts w:hint="default" w:ascii="Wingdings 2" w:hAnsi="Wingdings 2" w:eastAsia="Wingdings 2" w:cs="Wingdings 2"/>
        <w:spacing w:val="-1"/>
        <w:w w:val="100"/>
        <w:sz w:val="22"/>
        <w:szCs w:val="22"/>
        <w:lang w:val="zh-CN" w:eastAsia="zh-CN" w:bidi="zh-CN"/>
      </w:rPr>
    </w:lvl>
    <w:lvl w:ilvl="1" w:tentative="0">
      <w:start w:val="0"/>
      <w:numFmt w:val="bullet"/>
      <w:lvlText w:val="•"/>
      <w:lvlJc w:val="left"/>
      <w:pPr>
        <w:ind w:left="488" w:hanging="215"/>
      </w:pPr>
      <w:rPr>
        <w:rFonts w:hint="default"/>
        <w:lang w:val="zh-CN" w:eastAsia="zh-CN" w:bidi="zh-CN"/>
      </w:rPr>
    </w:lvl>
    <w:lvl w:ilvl="2" w:tentative="0">
      <w:start w:val="0"/>
      <w:numFmt w:val="bullet"/>
      <w:lvlText w:val="•"/>
      <w:lvlJc w:val="left"/>
      <w:pPr>
        <w:ind w:left="757" w:hanging="215"/>
      </w:pPr>
      <w:rPr>
        <w:rFonts w:hint="default"/>
        <w:lang w:val="zh-CN" w:eastAsia="zh-CN" w:bidi="zh-CN"/>
      </w:rPr>
    </w:lvl>
    <w:lvl w:ilvl="3" w:tentative="0">
      <w:start w:val="0"/>
      <w:numFmt w:val="bullet"/>
      <w:lvlText w:val="•"/>
      <w:lvlJc w:val="left"/>
      <w:pPr>
        <w:ind w:left="1025" w:hanging="215"/>
      </w:pPr>
      <w:rPr>
        <w:rFonts w:hint="default"/>
        <w:lang w:val="zh-CN" w:eastAsia="zh-CN" w:bidi="zh-CN"/>
      </w:rPr>
    </w:lvl>
    <w:lvl w:ilvl="4" w:tentative="0">
      <w:start w:val="0"/>
      <w:numFmt w:val="bullet"/>
      <w:lvlText w:val="•"/>
      <w:lvlJc w:val="left"/>
      <w:pPr>
        <w:ind w:left="1294" w:hanging="215"/>
      </w:pPr>
      <w:rPr>
        <w:rFonts w:hint="default"/>
        <w:lang w:val="zh-CN" w:eastAsia="zh-CN" w:bidi="zh-CN"/>
      </w:rPr>
    </w:lvl>
    <w:lvl w:ilvl="5" w:tentative="0">
      <w:start w:val="0"/>
      <w:numFmt w:val="bullet"/>
      <w:lvlText w:val="•"/>
      <w:lvlJc w:val="left"/>
      <w:pPr>
        <w:ind w:left="1563" w:hanging="215"/>
      </w:pPr>
      <w:rPr>
        <w:rFonts w:hint="default"/>
        <w:lang w:val="zh-CN" w:eastAsia="zh-CN" w:bidi="zh-CN"/>
      </w:rPr>
    </w:lvl>
    <w:lvl w:ilvl="6" w:tentative="0">
      <w:start w:val="0"/>
      <w:numFmt w:val="bullet"/>
      <w:lvlText w:val="•"/>
      <w:lvlJc w:val="left"/>
      <w:pPr>
        <w:ind w:left="1831" w:hanging="215"/>
      </w:pPr>
      <w:rPr>
        <w:rFonts w:hint="default"/>
        <w:lang w:val="zh-CN" w:eastAsia="zh-CN" w:bidi="zh-CN"/>
      </w:rPr>
    </w:lvl>
    <w:lvl w:ilvl="7" w:tentative="0">
      <w:start w:val="0"/>
      <w:numFmt w:val="bullet"/>
      <w:lvlText w:val="•"/>
      <w:lvlJc w:val="left"/>
      <w:pPr>
        <w:ind w:left="2100" w:hanging="215"/>
      </w:pPr>
      <w:rPr>
        <w:rFonts w:hint="default"/>
        <w:lang w:val="zh-CN" w:eastAsia="zh-CN" w:bidi="zh-CN"/>
      </w:rPr>
    </w:lvl>
    <w:lvl w:ilvl="8" w:tentative="0">
      <w:start w:val="0"/>
      <w:numFmt w:val="bullet"/>
      <w:lvlText w:val="•"/>
      <w:lvlJc w:val="left"/>
      <w:pPr>
        <w:ind w:left="2368" w:hanging="215"/>
      </w:pPr>
      <w:rPr>
        <w:rFonts w:hint="default"/>
        <w:lang w:val="zh-CN" w:eastAsia="zh-CN" w:bidi="zh-CN"/>
      </w:rPr>
    </w:lvl>
  </w:abstractNum>
  <w:num w:numId="1">
    <w:abstractNumId w:val="7"/>
  </w:num>
  <w:num w:numId="2">
    <w:abstractNumId w:val="6"/>
  </w:num>
  <w:num w:numId="3">
    <w:abstractNumId w:val="1"/>
  </w:num>
  <w:num w:numId="4">
    <w:abstractNumId w:val="2"/>
  </w:num>
  <w:num w:numId="5">
    <w:abstractNumId w:val="4"/>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1A80"/>
    <w:rsid w:val="000A7841"/>
    <w:rsid w:val="000B44D3"/>
    <w:rsid w:val="000D1276"/>
    <w:rsid w:val="00123D88"/>
    <w:rsid w:val="00130B1E"/>
    <w:rsid w:val="0014376F"/>
    <w:rsid w:val="001518D6"/>
    <w:rsid w:val="00172A27"/>
    <w:rsid w:val="001909BF"/>
    <w:rsid w:val="00226B65"/>
    <w:rsid w:val="00233985"/>
    <w:rsid w:val="002762FA"/>
    <w:rsid w:val="002864C5"/>
    <w:rsid w:val="002B06D1"/>
    <w:rsid w:val="002B506C"/>
    <w:rsid w:val="002D50C3"/>
    <w:rsid w:val="002D697D"/>
    <w:rsid w:val="00320249"/>
    <w:rsid w:val="003357D8"/>
    <w:rsid w:val="00343B19"/>
    <w:rsid w:val="00376827"/>
    <w:rsid w:val="003C4F84"/>
    <w:rsid w:val="004202FE"/>
    <w:rsid w:val="00476ECC"/>
    <w:rsid w:val="0049457F"/>
    <w:rsid w:val="00495A58"/>
    <w:rsid w:val="004C0ABD"/>
    <w:rsid w:val="004E5FEC"/>
    <w:rsid w:val="004E699E"/>
    <w:rsid w:val="004F5501"/>
    <w:rsid w:val="00505383"/>
    <w:rsid w:val="005131CE"/>
    <w:rsid w:val="00524596"/>
    <w:rsid w:val="00577923"/>
    <w:rsid w:val="005D7DD6"/>
    <w:rsid w:val="005E03A2"/>
    <w:rsid w:val="005F554B"/>
    <w:rsid w:val="00673176"/>
    <w:rsid w:val="006D11B4"/>
    <w:rsid w:val="006E1FA3"/>
    <w:rsid w:val="00715C44"/>
    <w:rsid w:val="00721528"/>
    <w:rsid w:val="00774912"/>
    <w:rsid w:val="0079308B"/>
    <w:rsid w:val="00815E22"/>
    <w:rsid w:val="0083554D"/>
    <w:rsid w:val="00841BE0"/>
    <w:rsid w:val="00926861"/>
    <w:rsid w:val="00931DEF"/>
    <w:rsid w:val="00951FEE"/>
    <w:rsid w:val="00964195"/>
    <w:rsid w:val="0096751C"/>
    <w:rsid w:val="009B6838"/>
    <w:rsid w:val="009C15CF"/>
    <w:rsid w:val="009F5941"/>
    <w:rsid w:val="00A03678"/>
    <w:rsid w:val="00A04E87"/>
    <w:rsid w:val="00A0750A"/>
    <w:rsid w:val="00A57491"/>
    <w:rsid w:val="00A80180"/>
    <w:rsid w:val="00A82DD9"/>
    <w:rsid w:val="00A90809"/>
    <w:rsid w:val="00AB35C0"/>
    <w:rsid w:val="00AD0032"/>
    <w:rsid w:val="00B13A76"/>
    <w:rsid w:val="00B53094"/>
    <w:rsid w:val="00B93F2F"/>
    <w:rsid w:val="00BD10AD"/>
    <w:rsid w:val="00BD1D17"/>
    <w:rsid w:val="00BD697F"/>
    <w:rsid w:val="00BD76AD"/>
    <w:rsid w:val="00C33403"/>
    <w:rsid w:val="00C66CCB"/>
    <w:rsid w:val="00C83E79"/>
    <w:rsid w:val="00C847FD"/>
    <w:rsid w:val="00C86D22"/>
    <w:rsid w:val="00C942DE"/>
    <w:rsid w:val="00CC015E"/>
    <w:rsid w:val="00CF5E87"/>
    <w:rsid w:val="00D4594D"/>
    <w:rsid w:val="00D91CE1"/>
    <w:rsid w:val="00DA7873"/>
    <w:rsid w:val="00DC7C1D"/>
    <w:rsid w:val="00DD1CDA"/>
    <w:rsid w:val="00DF4034"/>
    <w:rsid w:val="00DF644B"/>
    <w:rsid w:val="00E42152"/>
    <w:rsid w:val="00E75E29"/>
    <w:rsid w:val="00E762F5"/>
    <w:rsid w:val="00E87F25"/>
    <w:rsid w:val="00EB0B79"/>
    <w:rsid w:val="00EB45B1"/>
    <w:rsid w:val="00ED4382"/>
    <w:rsid w:val="00EE1664"/>
    <w:rsid w:val="00EF3AB2"/>
    <w:rsid w:val="00F26389"/>
    <w:rsid w:val="00F60877"/>
    <w:rsid w:val="00F73B52"/>
    <w:rsid w:val="00FE263E"/>
    <w:rsid w:val="00FE69A0"/>
    <w:rsid w:val="01081F1B"/>
    <w:rsid w:val="010C5FF6"/>
    <w:rsid w:val="0112363F"/>
    <w:rsid w:val="011862DC"/>
    <w:rsid w:val="01205D5C"/>
    <w:rsid w:val="01303AC5"/>
    <w:rsid w:val="01325A8F"/>
    <w:rsid w:val="0135713B"/>
    <w:rsid w:val="01375835"/>
    <w:rsid w:val="013C690E"/>
    <w:rsid w:val="014B01D2"/>
    <w:rsid w:val="0160124B"/>
    <w:rsid w:val="01A109F6"/>
    <w:rsid w:val="01A64600"/>
    <w:rsid w:val="01AA3877"/>
    <w:rsid w:val="01AA4AD0"/>
    <w:rsid w:val="01AB2FFE"/>
    <w:rsid w:val="01AD7BDD"/>
    <w:rsid w:val="01AE15BA"/>
    <w:rsid w:val="01AF00C7"/>
    <w:rsid w:val="01B30FF4"/>
    <w:rsid w:val="01BB76E7"/>
    <w:rsid w:val="01C26E13"/>
    <w:rsid w:val="01CE62C0"/>
    <w:rsid w:val="01CF45B3"/>
    <w:rsid w:val="01E34231"/>
    <w:rsid w:val="01F619B4"/>
    <w:rsid w:val="01FB0CAA"/>
    <w:rsid w:val="01FD42EF"/>
    <w:rsid w:val="020032AE"/>
    <w:rsid w:val="02176934"/>
    <w:rsid w:val="021A6C4F"/>
    <w:rsid w:val="02323A0D"/>
    <w:rsid w:val="02371FB0"/>
    <w:rsid w:val="023A530E"/>
    <w:rsid w:val="02432499"/>
    <w:rsid w:val="025F4530"/>
    <w:rsid w:val="026C541F"/>
    <w:rsid w:val="027A6A6A"/>
    <w:rsid w:val="027D0F8C"/>
    <w:rsid w:val="028A2FA7"/>
    <w:rsid w:val="028F0FBB"/>
    <w:rsid w:val="02923287"/>
    <w:rsid w:val="029C58B6"/>
    <w:rsid w:val="02A51F81"/>
    <w:rsid w:val="02B37531"/>
    <w:rsid w:val="02B83F87"/>
    <w:rsid w:val="02C941D1"/>
    <w:rsid w:val="02CD1A31"/>
    <w:rsid w:val="02EA520F"/>
    <w:rsid w:val="03057058"/>
    <w:rsid w:val="03157B9D"/>
    <w:rsid w:val="03194609"/>
    <w:rsid w:val="03197AF2"/>
    <w:rsid w:val="031E4B73"/>
    <w:rsid w:val="031F2043"/>
    <w:rsid w:val="03353615"/>
    <w:rsid w:val="03522419"/>
    <w:rsid w:val="035421A7"/>
    <w:rsid w:val="035D1C30"/>
    <w:rsid w:val="037472C5"/>
    <w:rsid w:val="03785882"/>
    <w:rsid w:val="0385634A"/>
    <w:rsid w:val="038B0203"/>
    <w:rsid w:val="038F541B"/>
    <w:rsid w:val="03925DFD"/>
    <w:rsid w:val="03986245"/>
    <w:rsid w:val="039B19DA"/>
    <w:rsid w:val="03B1713F"/>
    <w:rsid w:val="03B86ABA"/>
    <w:rsid w:val="03C3036F"/>
    <w:rsid w:val="03D472D2"/>
    <w:rsid w:val="03F2718F"/>
    <w:rsid w:val="040000C7"/>
    <w:rsid w:val="040556DD"/>
    <w:rsid w:val="040A684F"/>
    <w:rsid w:val="042854B4"/>
    <w:rsid w:val="042E0790"/>
    <w:rsid w:val="043A36CF"/>
    <w:rsid w:val="044004C3"/>
    <w:rsid w:val="04561A95"/>
    <w:rsid w:val="04732647"/>
    <w:rsid w:val="04773988"/>
    <w:rsid w:val="04781A0B"/>
    <w:rsid w:val="04991368"/>
    <w:rsid w:val="049D311E"/>
    <w:rsid w:val="049D3B67"/>
    <w:rsid w:val="04A40A52"/>
    <w:rsid w:val="04B9267D"/>
    <w:rsid w:val="04BD1B14"/>
    <w:rsid w:val="04DC363C"/>
    <w:rsid w:val="04E31D62"/>
    <w:rsid w:val="04EA29D6"/>
    <w:rsid w:val="04EC7752"/>
    <w:rsid w:val="04EE7F1F"/>
    <w:rsid w:val="04F132D9"/>
    <w:rsid w:val="04FC088E"/>
    <w:rsid w:val="050345A0"/>
    <w:rsid w:val="050D1263"/>
    <w:rsid w:val="05123D87"/>
    <w:rsid w:val="05160952"/>
    <w:rsid w:val="054144F3"/>
    <w:rsid w:val="05575C70"/>
    <w:rsid w:val="055F33F2"/>
    <w:rsid w:val="057216C6"/>
    <w:rsid w:val="05726DA2"/>
    <w:rsid w:val="05740424"/>
    <w:rsid w:val="0581661A"/>
    <w:rsid w:val="058177FE"/>
    <w:rsid w:val="058D598A"/>
    <w:rsid w:val="059844E1"/>
    <w:rsid w:val="05AA653C"/>
    <w:rsid w:val="05AD478A"/>
    <w:rsid w:val="05B057F3"/>
    <w:rsid w:val="05B21095"/>
    <w:rsid w:val="05BD3147"/>
    <w:rsid w:val="05C313AC"/>
    <w:rsid w:val="05C72C4A"/>
    <w:rsid w:val="05C9527F"/>
    <w:rsid w:val="05D6280E"/>
    <w:rsid w:val="05ED6429"/>
    <w:rsid w:val="05F05BA7"/>
    <w:rsid w:val="05F97176"/>
    <w:rsid w:val="05FF65B3"/>
    <w:rsid w:val="06016813"/>
    <w:rsid w:val="06155307"/>
    <w:rsid w:val="06176D47"/>
    <w:rsid w:val="06345311"/>
    <w:rsid w:val="06361B7E"/>
    <w:rsid w:val="06364622"/>
    <w:rsid w:val="063B0B33"/>
    <w:rsid w:val="063D3EEF"/>
    <w:rsid w:val="064029FC"/>
    <w:rsid w:val="0644429B"/>
    <w:rsid w:val="06613738"/>
    <w:rsid w:val="06741C72"/>
    <w:rsid w:val="067E2E37"/>
    <w:rsid w:val="06897EFF"/>
    <w:rsid w:val="06AD29B9"/>
    <w:rsid w:val="06C414DD"/>
    <w:rsid w:val="06C446EC"/>
    <w:rsid w:val="06C925C1"/>
    <w:rsid w:val="06CB3789"/>
    <w:rsid w:val="06DC2725"/>
    <w:rsid w:val="06DF5D71"/>
    <w:rsid w:val="06EA31BA"/>
    <w:rsid w:val="06EE06AA"/>
    <w:rsid w:val="06EE5A35"/>
    <w:rsid w:val="06F56CD7"/>
    <w:rsid w:val="06F66990"/>
    <w:rsid w:val="06F757B1"/>
    <w:rsid w:val="06FF6413"/>
    <w:rsid w:val="0701218C"/>
    <w:rsid w:val="070B6B66"/>
    <w:rsid w:val="07104CC7"/>
    <w:rsid w:val="071C6FC5"/>
    <w:rsid w:val="07795616"/>
    <w:rsid w:val="078E1A6E"/>
    <w:rsid w:val="079645EC"/>
    <w:rsid w:val="07B05960"/>
    <w:rsid w:val="07B82827"/>
    <w:rsid w:val="07BA2D7B"/>
    <w:rsid w:val="07C56017"/>
    <w:rsid w:val="07CC279A"/>
    <w:rsid w:val="07D57174"/>
    <w:rsid w:val="07D57D59"/>
    <w:rsid w:val="07DA54A9"/>
    <w:rsid w:val="07E07FF3"/>
    <w:rsid w:val="07E67F7B"/>
    <w:rsid w:val="07E97AC4"/>
    <w:rsid w:val="08087BA6"/>
    <w:rsid w:val="082C148A"/>
    <w:rsid w:val="082F0ECA"/>
    <w:rsid w:val="083F72E4"/>
    <w:rsid w:val="08403E24"/>
    <w:rsid w:val="084D0812"/>
    <w:rsid w:val="08585DDB"/>
    <w:rsid w:val="085B58CB"/>
    <w:rsid w:val="088F54F6"/>
    <w:rsid w:val="08A07782"/>
    <w:rsid w:val="08AE6343"/>
    <w:rsid w:val="08B11448"/>
    <w:rsid w:val="08B5384B"/>
    <w:rsid w:val="08B651F8"/>
    <w:rsid w:val="08FF1935"/>
    <w:rsid w:val="09034551"/>
    <w:rsid w:val="09151F1E"/>
    <w:rsid w:val="091A2182"/>
    <w:rsid w:val="09203D4E"/>
    <w:rsid w:val="092663AD"/>
    <w:rsid w:val="09271C52"/>
    <w:rsid w:val="092E62F8"/>
    <w:rsid w:val="093D7700"/>
    <w:rsid w:val="0944378A"/>
    <w:rsid w:val="094D3A03"/>
    <w:rsid w:val="09523172"/>
    <w:rsid w:val="095470CD"/>
    <w:rsid w:val="09756E61"/>
    <w:rsid w:val="097C1F9D"/>
    <w:rsid w:val="097F1A8E"/>
    <w:rsid w:val="09944002"/>
    <w:rsid w:val="099948FD"/>
    <w:rsid w:val="099D51C0"/>
    <w:rsid w:val="09A80FE4"/>
    <w:rsid w:val="09AC0570"/>
    <w:rsid w:val="09BC3B25"/>
    <w:rsid w:val="09CA0F5B"/>
    <w:rsid w:val="09D02334"/>
    <w:rsid w:val="09E658F8"/>
    <w:rsid w:val="09EC4D55"/>
    <w:rsid w:val="09FB2447"/>
    <w:rsid w:val="09FC31FF"/>
    <w:rsid w:val="09FE2115"/>
    <w:rsid w:val="0A103973"/>
    <w:rsid w:val="0A171CC6"/>
    <w:rsid w:val="0A1B6DF3"/>
    <w:rsid w:val="0A203174"/>
    <w:rsid w:val="0A286790"/>
    <w:rsid w:val="0A2F5262"/>
    <w:rsid w:val="0A3C7D17"/>
    <w:rsid w:val="0A4F320E"/>
    <w:rsid w:val="0A5F6846"/>
    <w:rsid w:val="0A6071C9"/>
    <w:rsid w:val="0A6E75DD"/>
    <w:rsid w:val="0A92134D"/>
    <w:rsid w:val="0A9652E1"/>
    <w:rsid w:val="0A9F23E7"/>
    <w:rsid w:val="0AB82FBE"/>
    <w:rsid w:val="0AD9032C"/>
    <w:rsid w:val="0AE16B03"/>
    <w:rsid w:val="0AF3628F"/>
    <w:rsid w:val="0B035EBE"/>
    <w:rsid w:val="0B080F7A"/>
    <w:rsid w:val="0B0E131B"/>
    <w:rsid w:val="0B4809D9"/>
    <w:rsid w:val="0B554854"/>
    <w:rsid w:val="0B633394"/>
    <w:rsid w:val="0B692ABC"/>
    <w:rsid w:val="0B7F6317"/>
    <w:rsid w:val="0B852AC4"/>
    <w:rsid w:val="0B860EB1"/>
    <w:rsid w:val="0B9E241B"/>
    <w:rsid w:val="0BA95201"/>
    <w:rsid w:val="0BA96104"/>
    <w:rsid w:val="0BB572A4"/>
    <w:rsid w:val="0BBF5257"/>
    <w:rsid w:val="0BCB6419"/>
    <w:rsid w:val="0BD22349"/>
    <w:rsid w:val="0BE67BA2"/>
    <w:rsid w:val="0BE86DD4"/>
    <w:rsid w:val="0BEE3AE9"/>
    <w:rsid w:val="0BEE3C79"/>
    <w:rsid w:val="0BEF2EFA"/>
    <w:rsid w:val="0BF8536B"/>
    <w:rsid w:val="0BFA364D"/>
    <w:rsid w:val="0C0654F3"/>
    <w:rsid w:val="0C081405"/>
    <w:rsid w:val="0C160487"/>
    <w:rsid w:val="0C161CE7"/>
    <w:rsid w:val="0C2506CA"/>
    <w:rsid w:val="0C27587D"/>
    <w:rsid w:val="0C2A3F33"/>
    <w:rsid w:val="0C2A571C"/>
    <w:rsid w:val="0C41302A"/>
    <w:rsid w:val="0C4A5F3E"/>
    <w:rsid w:val="0C4E01E6"/>
    <w:rsid w:val="0C51301E"/>
    <w:rsid w:val="0C5D422A"/>
    <w:rsid w:val="0C5D60B6"/>
    <w:rsid w:val="0C816B30"/>
    <w:rsid w:val="0C870E3D"/>
    <w:rsid w:val="0C8C699B"/>
    <w:rsid w:val="0C914830"/>
    <w:rsid w:val="0C926CD5"/>
    <w:rsid w:val="0C965124"/>
    <w:rsid w:val="0C970E9C"/>
    <w:rsid w:val="0C98388E"/>
    <w:rsid w:val="0C9A65FB"/>
    <w:rsid w:val="0C9B6BDE"/>
    <w:rsid w:val="0C9C64B3"/>
    <w:rsid w:val="0CA57A5D"/>
    <w:rsid w:val="0CB4129C"/>
    <w:rsid w:val="0CB41A4E"/>
    <w:rsid w:val="0CB64506"/>
    <w:rsid w:val="0CB754B6"/>
    <w:rsid w:val="0CC9374C"/>
    <w:rsid w:val="0CD67C16"/>
    <w:rsid w:val="0CD94B7F"/>
    <w:rsid w:val="0CDE4071"/>
    <w:rsid w:val="0CF32576"/>
    <w:rsid w:val="0CFA45CF"/>
    <w:rsid w:val="0CFB51E5"/>
    <w:rsid w:val="0CFB7D72"/>
    <w:rsid w:val="0D121F91"/>
    <w:rsid w:val="0D1E62C0"/>
    <w:rsid w:val="0D2E5BF1"/>
    <w:rsid w:val="0D2F49D1"/>
    <w:rsid w:val="0D470909"/>
    <w:rsid w:val="0D6F6E00"/>
    <w:rsid w:val="0D892EDB"/>
    <w:rsid w:val="0D99352E"/>
    <w:rsid w:val="0D99388A"/>
    <w:rsid w:val="0D9A0C44"/>
    <w:rsid w:val="0DA314CD"/>
    <w:rsid w:val="0DA33F9D"/>
    <w:rsid w:val="0DA378FA"/>
    <w:rsid w:val="0DA41AC3"/>
    <w:rsid w:val="0DB508F3"/>
    <w:rsid w:val="0DC60B43"/>
    <w:rsid w:val="0DD26630"/>
    <w:rsid w:val="0DE55A39"/>
    <w:rsid w:val="0DF465A6"/>
    <w:rsid w:val="0DF91E0E"/>
    <w:rsid w:val="0E06315F"/>
    <w:rsid w:val="0E06452B"/>
    <w:rsid w:val="0E170859"/>
    <w:rsid w:val="0E1B34BD"/>
    <w:rsid w:val="0E24078C"/>
    <w:rsid w:val="0E245572"/>
    <w:rsid w:val="0E2B2688"/>
    <w:rsid w:val="0E2D48FD"/>
    <w:rsid w:val="0E303DAF"/>
    <w:rsid w:val="0E397590"/>
    <w:rsid w:val="0E3A5F83"/>
    <w:rsid w:val="0E5A472B"/>
    <w:rsid w:val="0E67579F"/>
    <w:rsid w:val="0E706889"/>
    <w:rsid w:val="0E7B2823"/>
    <w:rsid w:val="0E8807C3"/>
    <w:rsid w:val="0E8A283A"/>
    <w:rsid w:val="0E8F49F0"/>
    <w:rsid w:val="0E990640"/>
    <w:rsid w:val="0E9B4C74"/>
    <w:rsid w:val="0EC37194"/>
    <w:rsid w:val="0ED06096"/>
    <w:rsid w:val="0EE835A1"/>
    <w:rsid w:val="0EF60708"/>
    <w:rsid w:val="0F16079E"/>
    <w:rsid w:val="0F3E30AA"/>
    <w:rsid w:val="0F4C2412"/>
    <w:rsid w:val="0F5337A0"/>
    <w:rsid w:val="0F5345EF"/>
    <w:rsid w:val="0F5A6A89"/>
    <w:rsid w:val="0F5B1913"/>
    <w:rsid w:val="0F607BBB"/>
    <w:rsid w:val="0F735D5E"/>
    <w:rsid w:val="0F8E53AD"/>
    <w:rsid w:val="0F9435BE"/>
    <w:rsid w:val="0FA0226C"/>
    <w:rsid w:val="0FA23B15"/>
    <w:rsid w:val="0FC37BFE"/>
    <w:rsid w:val="0FC65D20"/>
    <w:rsid w:val="0FCC3BC9"/>
    <w:rsid w:val="0FD50659"/>
    <w:rsid w:val="0FD53164"/>
    <w:rsid w:val="0FE6364E"/>
    <w:rsid w:val="0FE76970"/>
    <w:rsid w:val="0FE91A0F"/>
    <w:rsid w:val="0FE95407"/>
    <w:rsid w:val="0FF25813"/>
    <w:rsid w:val="1001144E"/>
    <w:rsid w:val="100625C1"/>
    <w:rsid w:val="10086EDD"/>
    <w:rsid w:val="100E1972"/>
    <w:rsid w:val="10273595"/>
    <w:rsid w:val="1031004D"/>
    <w:rsid w:val="103F479D"/>
    <w:rsid w:val="10523F87"/>
    <w:rsid w:val="10574CD7"/>
    <w:rsid w:val="10760837"/>
    <w:rsid w:val="10795489"/>
    <w:rsid w:val="108B50FD"/>
    <w:rsid w:val="10933C02"/>
    <w:rsid w:val="10953945"/>
    <w:rsid w:val="10990F28"/>
    <w:rsid w:val="109C76D6"/>
    <w:rsid w:val="10AF34A1"/>
    <w:rsid w:val="10BD0DEF"/>
    <w:rsid w:val="10C363D6"/>
    <w:rsid w:val="10C64E76"/>
    <w:rsid w:val="10D50FEE"/>
    <w:rsid w:val="10E50428"/>
    <w:rsid w:val="10FD39C4"/>
    <w:rsid w:val="10FD6B31"/>
    <w:rsid w:val="110B4499"/>
    <w:rsid w:val="1111746F"/>
    <w:rsid w:val="11251619"/>
    <w:rsid w:val="1128224B"/>
    <w:rsid w:val="113B0680"/>
    <w:rsid w:val="113D2012"/>
    <w:rsid w:val="11474D19"/>
    <w:rsid w:val="114C7F04"/>
    <w:rsid w:val="11862641"/>
    <w:rsid w:val="11941792"/>
    <w:rsid w:val="11E22BBA"/>
    <w:rsid w:val="11FC003A"/>
    <w:rsid w:val="12072620"/>
    <w:rsid w:val="120E39AF"/>
    <w:rsid w:val="12125A2A"/>
    <w:rsid w:val="123010D6"/>
    <w:rsid w:val="12335AA9"/>
    <w:rsid w:val="123A0C48"/>
    <w:rsid w:val="124F2BB9"/>
    <w:rsid w:val="12555869"/>
    <w:rsid w:val="12587039"/>
    <w:rsid w:val="1259624F"/>
    <w:rsid w:val="12717F62"/>
    <w:rsid w:val="127246B5"/>
    <w:rsid w:val="127A7483"/>
    <w:rsid w:val="127B54E8"/>
    <w:rsid w:val="127F358E"/>
    <w:rsid w:val="12917048"/>
    <w:rsid w:val="129640D0"/>
    <w:rsid w:val="1296570D"/>
    <w:rsid w:val="12A762DD"/>
    <w:rsid w:val="12AB71FB"/>
    <w:rsid w:val="12AC1EC9"/>
    <w:rsid w:val="12BA746D"/>
    <w:rsid w:val="12CF75E2"/>
    <w:rsid w:val="12DE5A77"/>
    <w:rsid w:val="12E64240"/>
    <w:rsid w:val="12EC4F3E"/>
    <w:rsid w:val="12ED5CBA"/>
    <w:rsid w:val="13076D7C"/>
    <w:rsid w:val="13190EC2"/>
    <w:rsid w:val="1320154D"/>
    <w:rsid w:val="132A0CBC"/>
    <w:rsid w:val="133C0845"/>
    <w:rsid w:val="1343731E"/>
    <w:rsid w:val="13441D7E"/>
    <w:rsid w:val="13462491"/>
    <w:rsid w:val="135E44C2"/>
    <w:rsid w:val="136359D4"/>
    <w:rsid w:val="1376180B"/>
    <w:rsid w:val="13826F07"/>
    <w:rsid w:val="1395733B"/>
    <w:rsid w:val="139805C6"/>
    <w:rsid w:val="13C407C9"/>
    <w:rsid w:val="13CC3B21"/>
    <w:rsid w:val="13CE7288"/>
    <w:rsid w:val="13D464BB"/>
    <w:rsid w:val="13E2064D"/>
    <w:rsid w:val="13E23345"/>
    <w:rsid w:val="13E26EA1"/>
    <w:rsid w:val="13E75A23"/>
    <w:rsid w:val="13E76BAD"/>
    <w:rsid w:val="140A348E"/>
    <w:rsid w:val="14116E06"/>
    <w:rsid w:val="14134E01"/>
    <w:rsid w:val="141554C8"/>
    <w:rsid w:val="14305E5E"/>
    <w:rsid w:val="143955D4"/>
    <w:rsid w:val="14590D9A"/>
    <w:rsid w:val="1464427C"/>
    <w:rsid w:val="146B2701"/>
    <w:rsid w:val="147C6DFD"/>
    <w:rsid w:val="14887A48"/>
    <w:rsid w:val="148B7942"/>
    <w:rsid w:val="14904B4F"/>
    <w:rsid w:val="149B63AF"/>
    <w:rsid w:val="149D045A"/>
    <w:rsid w:val="14B923A6"/>
    <w:rsid w:val="14CC20D6"/>
    <w:rsid w:val="14D23A04"/>
    <w:rsid w:val="14E84776"/>
    <w:rsid w:val="14EA3F63"/>
    <w:rsid w:val="15015A4D"/>
    <w:rsid w:val="150A4901"/>
    <w:rsid w:val="15113EE2"/>
    <w:rsid w:val="151412DC"/>
    <w:rsid w:val="151626DA"/>
    <w:rsid w:val="153848C1"/>
    <w:rsid w:val="153A6E85"/>
    <w:rsid w:val="153E0A4F"/>
    <w:rsid w:val="154431E4"/>
    <w:rsid w:val="15516B53"/>
    <w:rsid w:val="15625086"/>
    <w:rsid w:val="156A53A0"/>
    <w:rsid w:val="156F6E5A"/>
    <w:rsid w:val="159B144B"/>
    <w:rsid w:val="15A20FDE"/>
    <w:rsid w:val="15AF54A9"/>
    <w:rsid w:val="15B41C09"/>
    <w:rsid w:val="15D61ABD"/>
    <w:rsid w:val="15E2762C"/>
    <w:rsid w:val="15EE7D15"/>
    <w:rsid w:val="15F015A1"/>
    <w:rsid w:val="16070E41"/>
    <w:rsid w:val="16134466"/>
    <w:rsid w:val="16161F4F"/>
    <w:rsid w:val="161D1400"/>
    <w:rsid w:val="16221DEB"/>
    <w:rsid w:val="163E7B7E"/>
    <w:rsid w:val="164B3423"/>
    <w:rsid w:val="16526F76"/>
    <w:rsid w:val="1662251B"/>
    <w:rsid w:val="16631054"/>
    <w:rsid w:val="16665C11"/>
    <w:rsid w:val="16713162"/>
    <w:rsid w:val="16781AF8"/>
    <w:rsid w:val="16781D3E"/>
    <w:rsid w:val="168406E3"/>
    <w:rsid w:val="168B1A72"/>
    <w:rsid w:val="16917334"/>
    <w:rsid w:val="16921052"/>
    <w:rsid w:val="169C3C7F"/>
    <w:rsid w:val="16B453C5"/>
    <w:rsid w:val="16BF55E7"/>
    <w:rsid w:val="16C82EBD"/>
    <w:rsid w:val="16DB3404"/>
    <w:rsid w:val="16EA49EA"/>
    <w:rsid w:val="16F010A3"/>
    <w:rsid w:val="16FF0834"/>
    <w:rsid w:val="170C05F6"/>
    <w:rsid w:val="170D3185"/>
    <w:rsid w:val="1711118A"/>
    <w:rsid w:val="171610C3"/>
    <w:rsid w:val="171A23D1"/>
    <w:rsid w:val="17263F59"/>
    <w:rsid w:val="172F68A1"/>
    <w:rsid w:val="174D11F2"/>
    <w:rsid w:val="174E3887"/>
    <w:rsid w:val="17601A62"/>
    <w:rsid w:val="176E6286"/>
    <w:rsid w:val="17710C68"/>
    <w:rsid w:val="1788441F"/>
    <w:rsid w:val="178E7A6B"/>
    <w:rsid w:val="17900819"/>
    <w:rsid w:val="179A4702"/>
    <w:rsid w:val="17D469E8"/>
    <w:rsid w:val="17E7437B"/>
    <w:rsid w:val="180A18A4"/>
    <w:rsid w:val="181D494B"/>
    <w:rsid w:val="181E2472"/>
    <w:rsid w:val="183121A5"/>
    <w:rsid w:val="183323C1"/>
    <w:rsid w:val="18500A32"/>
    <w:rsid w:val="18630B3B"/>
    <w:rsid w:val="186652B3"/>
    <w:rsid w:val="18695DE3"/>
    <w:rsid w:val="18702CCD"/>
    <w:rsid w:val="187618B9"/>
    <w:rsid w:val="18787DD4"/>
    <w:rsid w:val="18891FE1"/>
    <w:rsid w:val="18987C7B"/>
    <w:rsid w:val="189A5DA3"/>
    <w:rsid w:val="189C0D6D"/>
    <w:rsid w:val="18A45149"/>
    <w:rsid w:val="18AA3E88"/>
    <w:rsid w:val="18AF183D"/>
    <w:rsid w:val="18B1273C"/>
    <w:rsid w:val="18B84674"/>
    <w:rsid w:val="18C02905"/>
    <w:rsid w:val="18C80D5B"/>
    <w:rsid w:val="18DC51BF"/>
    <w:rsid w:val="18E303F6"/>
    <w:rsid w:val="18E74D71"/>
    <w:rsid w:val="19094ED0"/>
    <w:rsid w:val="190D2C12"/>
    <w:rsid w:val="192341E3"/>
    <w:rsid w:val="194D550D"/>
    <w:rsid w:val="19503F6C"/>
    <w:rsid w:val="195720DF"/>
    <w:rsid w:val="195E346D"/>
    <w:rsid w:val="1977008B"/>
    <w:rsid w:val="199F71C9"/>
    <w:rsid w:val="19A846E9"/>
    <w:rsid w:val="19B66E06"/>
    <w:rsid w:val="19BC76B7"/>
    <w:rsid w:val="19C05ED6"/>
    <w:rsid w:val="19C8235E"/>
    <w:rsid w:val="19C972F0"/>
    <w:rsid w:val="19CF1C75"/>
    <w:rsid w:val="19D159ED"/>
    <w:rsid w:val="19E255E9"/>
    <w:rsid w:val="1A037CF6"/>
    <w:rsid w:val="1A1C233A"/>
    <w:rsid w:val="1A2123CC"/>
    <w:rsid w:val="1A221257"/>
    <w:rsid w:val="1A22449B"/>
    <w:rsid w:val="1A277D03"/>
    <w:rsid w:val="1A310B93"/>
    <w:rsid w:val="1A352420"/>
    <w:rsid w:val="1A3D1B14"/>
    <w:rsid w:val="1A404921"/>
    <w:rsid w:val="1A405F5B"/>
    <w:rsid w:val="1A4A1D8E"/>
    <w:rsid w:val="1A563C04"/>
    <w:rsid w:val="1A587180"/>
    <w:rsid w:val="1A6326D7"/>
    <w:rsid w:val="1A695DBC"/>
    <w:rsid w:val="1A7D5B75"/>
    <w:rsid w:val="1A8C5B1D"/>
    <w:rsid w:val="1A903AFB"/>
    <w:rsid w:val="1A9609E5"/>
    <w:rsid w:val="1A977506"/>
    <w:rsid w:val="1A9A49E2"/>
    <w:rsid w:val="1AA0502C"/>
    <w:rsid w:val="1AA26D87"/>
    <w:rsid w:val="1AAE5D2F"/>
    <w:rsid w:val="1AB23A71"/>
    <w:rsid w:val="1AC13572"/>
    <w:rsid w:val="1AC5559C"/>
    <w:rsid w:val="1AD36B2B"/>
    <w:rsid w:val="1AD67034"/>
    <w:rsid w:val="1AE1390D"/>
    <w:rsid w:val="1AE40639"/>
    <w:rsid w:val="1AE533BF"/>
    <w:rsid w:val="1AEF6637"/>
    <w:rsid w:val="1AF632B8"/>
    <w:rsid w:val="1AF921E5"/>
    <w:rsid w:val="1B0376F8"/>
    <w:rsid w:val="1B0F16B8"/>
    <w:rsid w:val="1B160E4C"/>
    <w:rsid w:val="1B281F85"/>
    <w:rsid w:val="1B38098D"/>
    <w:rsid w:val="1B474F9A"/>
    <w:rsid w:val="1B4A1978"/>
    <w:rsid w:val="1B4B7A22"/>
    <w:rsid w:val="1B4F12C0"/>
    <w:rsid w:val="1B506DE6"/>
    <w:rsid w:val="1B5E59A7"/>
    <w:rsid w:val="1B640B15"/>
    <w:rsid w:val="1B684E29"/>
    <w:rsid w:val="1B740D26"/>
    <w:rsid w:val="1B867F62"/>
    <w:rsid w:val="1B896DB2"/>
    <w:rsid w:val="1BA3290E"/>
    <w:rsid w:val="1BA67038"/>
    <w:rsid w:val="1BBC4D89"/>
    <w:rsid w:val="1BC17B0E"/>
    <w:rsid w:val="1BC6104E"/>
    <w:rsid w:val="1BCB6D3B"/>
    <w:rsid w:val="1BD23C9F"/>
    <w:rsid w:val="1BD4627A"/>
    <w:rsid w:val="1BF43C15"/>
    <w:rsid w:val="1C024584"/>
    <w:rsid w:val="1C043FB6"/>
    <w:rsid w:val="1C061B55"/>
    <w:rsid w:val="1C071B9A"/>
    <w:rsid w:val="1C0F25AE"/>
    <w:rsid w:val="1C0F4EF3"/>
    <w:rsid w:val="1C183DA8"/>
    <w:rsid w:val="1C2249D7"/>
    <w:rsid w:val="1C2625E6"/>
    <w:rsid w:val="1C267214"/>
    <w:rsid w:val="1C267D3D"/>
    <w:rsid w:val="1C2941F3"/>
    <w:rsid w:val="1C2C55B9"/>
    <w:rsid w:val="1C2F6FAE"/>
    <w:rsid w:val="1C362480"/>
    <w:rsid w:val="1C3E1334"/>
    <w:rsid w:val="1C4F52EF"/>
    <w:rsid w:val="1C5172BA"/>
    <w:rsid w:val="1C6472FC"/>
    <w:rsid w:val="1C672BE6"/>
    <w:rsid w:val="1C676ADD"/>
    <w:rsid w:val="1C687C1D"/>
    <w:rsid w:val="1C813897"/>
    <w:rsid w:val="1C8B3FCA"/>
    <w:rsid w:val="1C927056"/>
    <w:rsid w:val="1C980A44"/>
    <w:rsid w:val="1CA149BE"/>
    <w:rsid w:val="1CA87F96"/>
    <w:rsid w:val="1CAD496A"/>
    <w:rsid w:val="1CBA6C0D"/>
    <w:rsid w:val="1CC25AC1"/>
    <w:rsid w:val="1CC766B7"/>
    <w:rsid w:val="1CCC06EE"/>
    <w:rsid w:val="1CD06430"/>
    <w:rsid w:val="1D0B47FD"/>
    <w:rsid w:val="1D1973CF"/>
    <w:rsid w:val="1D1A58FD"/>
    <w:rsid w:val="1D363EB9"/>
    <w:rsid w:val="1D3E783E"/>
    <w:rsid w:val="1D4B1F5B"/>
    <w:rsid w:val="1D4C4BC3"/>
    <w:rsid w:val="1D4D182F"/>
    <w:rsid w:val="1D6243E1"/>
    <w:rsid w:val="1D721295"/>
    <w:rsid w:val="1D792624"/>
    <w:rsid w:val="1D8D2573"/>
    <w:rsid w:val="1D8F116C"/>
    <w:rsid w:val="1DA62CC8"/>
    <w:rsid w:val="1DA653E3"/>
    <w:rsid w:val="1DAF1070"/>
    <w:rsid w:val="1DB01DBE"/>
    <w:rsid w:val="1DB4365C"/>
    <w:rsid w:val="1DC1221D"/>
    <w:rsid w:val="1DC75A85"/>
    <w:rsid w:val="1DC90242"/>
    <w:rsid w:val="1DD6146A"/>
    <w:rsid w:val="1DDC0E05"/>
    <w:rsid w:val="1DE10498"/>
    <w:rsid w:val="1DE1641B"/>
    <w:rsid w:val="1E066791"/>
    <w:rsid w:val="1E1D0368"/>
    <w:rsid w:val="1E1E4F79"/>
    <w:rsid w:val="1E20721C"/>
    <w:rsid w:val="1E275708"/>
    <w:rsid w:val="1E3429EF"/>
    <w:rsid w:val="1E445D68"/>
    <w:rsid w:val="1E4E7770"/>
    <w:rsid w:val="1E55636E"/>
    <w:rsid w:val="1E5B3850"/>
    <w:rsid w:val="1E5E7A6C"/>
    <w:rsid w:val="1E65704C"/>
    <w:rsid w:val="1E6C4F36"/>
    <w:rsid w:val="1E6F66E4"/>
    <w:rsid w:val="1E72261A"/>
    <w:rsid w:val="1E780B2E"/>
    <w:rsid w:val="1E7B23CC"/>
    <w:rsid w:val="1E827BFE"/>
    <w:rsid w:val="1E892D3B"/>
    <w:rsid w:val="1E8E5388"/>
    <w:rsid w:val="1E9D0594"/>
    <w:rsid w:val="1E9D67E6"/>
    <w:rsid w:val="1EB61656"/>
    <w:rsid w:val="1EBD39EB"/>
    <w:rsid w:val="1EC26499"/>
    <w:rsid w:val="1EC43D73"/>
    <w:rsid w:val="1ED402D9"/>
    <w:rsid w:val="1ED63AA6"/>
    <w:rsid w:val="1F093E7B"/>
    <w:rsid w:val="1F0B7BF4"/>
    <w:rsid w:val="1F1A1C93"/>
    <w:rsid w:val="1F3F789D"/>
    <w:rsid w:val="1F4C5B16"/>
    <w:rsid w:val="1F504802"/>
    <w:rsid w:val="1F664E2A"/>
    <w:rsid w:val="1F83234E"/>
    <w:rsid w:val="1F925593"/>
    <w:rsid w:val="1F95570F"/>
    <w:rsid w:val="1F9C6755"/>
    <w:rsid w:val="1FA140B4"/>
    <w:rsid w:val="1FBF4376"/>
    <w:rsid w:val="1FFC753C"/>
    <w:rsid w:val="1FFE2B93"/>
    <w:rsid w:val="1FFE5E18"/>
    <w:rsid w:val="20142AD8"/>
    <w:rsid w:val="201F5625"/>
    <w:rsid w:val="20246CF9"/>
    <w:rsid w:val="20304743"/>
    <w:rsid w:val="20373145"/>
    <w:rsid w:val="20463B0B"/>
    <w:rsid w:val="204E0310"/>
    <w:rsid w:val="204F5BFE"/>
    <w:rsid w:val="20536589"/>
    <w:rsid w:val="20554B41"/>
    <w:rsid w:val="207215AC"/>
    <w:rsid w:val="207B2B57"/>
    <w:rsid w:val="207F32F5"/>
    <w:rsid w:val="20816DAF"/>
    <w:rsid w:val="208579C1"/>
    <w:rsid w:val="209854B7"/>
    <w:rsid w:val="20992B0D"/>
    <w:rsid w:val="20992FDD"/>
    <w:rsid w:val="209E4AE8"/>
    <w:rsid w:val="20A06B13"/>
    <w:rsid w:val="20A756FA"/>
    <w:rsid w:val="20A976C4"/>
    <w:rsid w:val="20B120D5"/>
    <w:rsid w:val="20B44D76"/>
    <w:rsid w:val="20BF4D86"/>
    <w:rsid w:val="20C0056A"/>
    <w:rsid w:val="20D2198B"/>
    <w:rsid w:val="20F96FC3"/>
    <w:rsid w:val="210A6451"/>
    <w:rsid w:val="213A721F"/>
    <w:rsid w:val="213D5E7B"/>
    <w:rsid w:val="213E5B92"/>
    <w:rsid w:val="216E446A"/>
    <w:rsid w:val="21717AB6"/>
    <w:rsid w:val="21814738"/>
    <w:rsid w:val="21943619"/>
    <w:rsid w:val="21B005DE"/>
    <w:rsid w:val="21B46321"/>
    <w:rsid w:val="21D55EA1"/>
    <w:rsid w:val="21DA4982"/>
    <w:rsid w:val="21DF13EE"/>
    <w:rsid w:val="21F95238"/>
    <w:rsid w:val="22034437"/>
    <w:rsid w:val="220F17A9"/>
    <w:rsid w:val="22134C00"/>
    <w:rsid w:val="22162B37"/>
    <w:rsid w:val="2217240B"/>
    <w:rsid w:val="221B014E"/>
    <w:rsid w:val="22396826"/>
    <w:rsid w:val="225C42C2"/>
    <w:rsid w:val="226C1E6B"/>
    <w:rsid w:val="2277734E"/>
    <w:rsid w:val="22A66D4A"/>
    <w:rsid w:val="22AB01C4"/>
    <w:rsid w:val="22AC6D37"/>
    <w:rsid w:val="22CD25DA"/>
    <w:rsid w:val="22D14CB0"/>
    <w:rsid w:val="22D3151F"/>
    <w:rsid w:val="22D4654E"/>
    <w:rsid w:val="22D8603F"/>
    <w:rsid w:val="22D87DED"/>
    <w:rsid w:val="22DB61FF"/>
    <w:rsid w:val="22E76282"/>
    <w:rsid w:val="22FC55F6"/>
    <w:rsid w:val="22FD734F"/>
    <w:rsid w:val="230D423D"/>
    <w:rsid w:val="23173849"/>
    <w:rsid w:val="23220D7B"/>
    <w:rsid w:val="23230E5C"/>
    <w:rsid w:val="23241284"/>
    <w:rsid w:val="232474D6"/>
    <w:rsid w:val="232A616E"/>
    <w:rsid w:val="232B2612"/>
    <w:rsid w:val="2335523F"/>
    <w:rsid w:val="23694EE9"/>
    <w:rsid w:val="236B0C61"/>
    <w:rsid w:val="237A70F6"/>
    <w:rsid w:val="23832534"/>
    <w:rsid w:val="238E0DF3"/>
    <w:rsid w:val="239D1306"/>
    <w:rsid w:val="23A203FB"/>
    <w:rsid w:val="23A74D37"/>
    <w:rsid w:val="23A92C3B"/>
    <w:rsid w:val="23DA0041"/>
    <w:rsid w:val="23E979FA"/>
    <w:rsid w:val="23EE3640"/>
    <w:rsid w:val="240510B5"/>
    <w:rsid w:val="240B41F2"/>
    <w:rsid w:val="240E783E"/>
    <w:rsid w:val="24125969"/>
    <w:rsid w:val="24127F6E"/>
    <w:rsid w:val="241A4435"/>
    <w:rsid w:val="24212847"/>
    <w:rsid w:val="242B4894"/>
    <w:rsid w:val="244A0BCE"/>
    <w:rsid w:val="24520777"/>
    <w:rsid w:val="246E2362"/>
    <w:rsid w:val="246F29D3"/>
    <w:rsid w:val="24861ACA"/>
    <w:rsid w:val="2498466A"/>
    <w:rsid w:val="24A361D8"/>
    <w:rsid w:val="24AD7057"/>
    <w:rsid w:val="24B959FC"/>
    <w:rsid w:val="24BC0C92"/>
    <w:rsid w:val="24C70119"/>
    <w:rsid w:val="24D739B3"/>
    <w:rsid w:val="24DF6E11"/>
    <w:rsid w:val="24E24F53"/>
    <w:rsid w:val="24E94533"/>
    <w:rsid w:val="24EF06EA"/>
    <w:rsid w:val="24F15196"/>
    <w:rsid w:val="24F41CAF"/>
    <w:rsid w:val="24FD0542"/>
    <w:rsid w:val="25042360"/>
    <w:rsid w:val="2516165D"/>
    <w:rsid w:val="251622E1"/>
    <w:rsid w:val="252B4484"/>
    <w:rsid w:val="25325331"/>
    <w:rsid w:val="254A26BB"/>
    <w:rsid w:val="254E0F2A"/>
    <w:rsid w:val="255F65A3"/>
    <w:rsid w:val="256E52CD"/>
    <w:rsid w:val="257547A6"/>
    <w:rsid w:val="259124D5"/>
    <w:rsid w:val="259A582D"/>
    <w:rsid w:val="25A75C42"/>
    <w:rsid w:val="25AC3AA3"/>
    <w:rsid w:val="25B5785A"/>
    <w:rsid w:val="25BC38F1"/>
    <w:rsid w:val="25C33A4E"/>
    <w:rsid w:val="25CD56F4"/>
    <w:rsid w:val="25D94E4D"/>
    <w:rsid w:val="25E86FA9"/>
    <w:rsid w:val="25E940BF"/>
    <w:rsid w:val="25F20B25"/>
    <w:rsid w:val="25F3318F"/>
    <w:rsid w:val="25F36DB3"/>
    <w:rsid w:val="25FD7B15"/>
    <w:rsid w:val="260322FB"/>
    <w:rsid w:val="2604714B"/>
    <w:rsid w:val="261C7685"/>
    <w:rsid w:val="262B483E"/>
    <w:rsid w:val="262D0E18"/>
    <w:rsid w:val="265E509B"/>
    <w:rsid w:val="2668060D"/>
    <w:rsid w:val="267D6963"/>
    <w:rsid w:val="26867B60"/>
    <w:rsid w:val="26914E82"/>
    <w:rsid w:val="269B058A"/>
    <w:rsid w:val="269F0C21"/>
    <w:rsid w:val="26A34AC9"/>
    <w:rsid w:val="26AB1643"/>
    <w:rsid w:val="26D20FF7"/>
    <w:rsid w:val="26E71D78"/>
    <w:rsid w:val="271B4896"/>
    <w:rsid w:val="27220408"/>
    <w:rsid w:val="274E4B21"/>
    <w:rsid w:val="27541CC6"/>
    <w:rsid w:val="2762382A"/>
    <w:rsid w:val="2764690E"/>
    <w:rsid w:val="276A7481"/>
    <w:rsid w:val="27703FA9"/>
    <w:rsid w:val="277813B8"/>
    <w:rsid w:val="277B168E"/>
    <w:rsid w:val="27900C0C"/>
    <w:rsid w:val="27911D34"/>
    <w:rsid w:val="279F6605"/>
    <w:rsid w:val="27AA5AD0"/>
    <w:rsid w:val="27B645F6"/>
    <w:rsid w:val="27BC5F2F"/>
    <w:rsid w:val="27BC67D2"/>
    <w:rsid w:val="27C314E5"/>
    <w:rsid w:val="27CE7A10"/>
    <w:rsid w:val="27DA219C"/>
    <w:rsid w:val="27DC037F"/>
    <w:rsid w:val="27DC3160"/>
    <w:rsid w:val="27E234BC"/>
    <w:rsid w:val="27E965F8"/>
    <w:rsid w:val="27EE3C0E"/>
    <w:rsid w:val="27FA2BED"/>
    <w:rsid w:val="281F0B38"/>
    <w:rsid w:val="28266EE6"/>
    <w:rsid w:val="283C2B4B"/>
    <w:rsid w:val="283C746E"/>
    <w:rsid w:val="2852465A"/>
    <w:rsid w:val="28991DCC"/>
    <w:rsid w:val="289B5A04"/>
    <w:rsid w:val="28A6273B"/>
    <w:rsid w:val="28A916F6"/>
    <w:rsid w:val="28B17154"/>
    <w:rsid w:val="28C138C8"/>
    <w:rsid w:val="28CD5110"/>
    <w:rsid w:val="28CF709D"/>
    <w:rsid w:val="28D10DB4"/>
    <w:rsid w:val="28DA11E7"/>
    <w:rsid w:val="28E219C5"/>
    <w:rsid w:val="28F05E9B"/>
    <w:rsid w:val="28F26DD8"/>
    <w:rsid w:val="2903193C"/>
    <w:rsid w:val="29085DE9"/>
    <w:rsid w:val="29177BF1"/>
    <w:rsid w:val="29183912"/>
    <w:rsid w:val="291F4A5B"/>
    <w:rsid w:val="292024ED"/>
    <w:rsid w:val="292D680F"/>
    <w:rsid w:val="29374ED4"/>
    <w:rsid w:val="294C0C83"/>
    <w:rsid w:val="2950147A"/>
    <w:rsid w:val="29614FF5"/>
    <w:rsid w:val="29676DBE"/>
    <w:rsid w:val="29695C42"/>
    <w:rsid w:val="296B0A84"/>
    <w:rsid w:val="297E68FF"/>
    <w:rsid w:val="298405C8"/>
    <w:rsid w:val="298470E6"/>
    <w:rsid w:val="29890BB9"/>
    <w:rsid w:val="2994226A"/>
    <w:rsid w:val="299A2213"/>
    <w:rsid w:val="299F48D4"/>
    <w:rsid w:val="29A66B58"/>
    <w:rsid w:val="29AA4FC9"/>
    <w:rsid w:val="29B65068"/>
    <w:rsid w:val="29BB5DE7"/>
    <w:rsid w:val="29C9048F"/>
    <w:rsid w:val="29CE1F49"/>
    <w:rsid w:val="29E03014"/>
    <w:rsid w:val="29E369F3"/>
    <w:rsid w:val="29FB5641"/>
    <w:rsid w:val="29FE1F25"/>
    <w:rsid w:val="2A003510"/>
    <w:rsid w:val="2A1177C4"/>
    <w:rsid w:val="2A1543F9"/>
    <w:rsid w:val="2A2878AC"/>
    <w:rsid w:val="2A335777"/>
    <w:rsid w:val="2A3D711D"/>
    <w:rsid w:val="2A467D32"/>
    <w:rsid w:val="2A492C97"/>
    <w:rsid w:val="2A6B0E19"/>
    <w:rsid w:val="2A6B4CAC"/>
    <w:rsid w:val="2A6D6DF4"/>
    <w:rsid w:val="2A705767"/>
    <w:rsid w:val="2A78692E"/>
    <w:rsid w:val="2A796260"/>
    <w:rsid w:val="2A9436A0"/>
    <w:rsid w:val="2A944F41"/>
    <w:rsid w:val="2A952A67"/>
    <w:rsid w:val="2A9E191C"/>
    <w:rsid w:val="2AB01390"/>
    <w:rsid w:val="2AB2106A"/>
    <w:rsid w:val="2AB775FB"/>
    <w:rsid w:val="2ADB3AEC"/>
    <w:rsid w:val="2ADD659C"/>
    <w:rsid w:val="2ADF3462"/>
    <w:rsid w:val="2AEE3648"/>
    <w:rsid w:val="2AF30347"/>
    <w:rsid w:val="2AF459E0"/>
    <w:rsid w:val="2AFD6691"/>
    <w:rsid w:val="2AFE6487"/>
    <w:rsid w:val="2B057DC4"/>
    <w:rsid w:val="2B067BE7"/>
    <w:rsid w:val="2B07554A"/>
    <w:rsid w:val="2B2142FB"/>
    <w:rsid w:val="2B267ED4"/>
    <w:rsid w:val="2B2F4C6A"/>
    <w:rsid w:val="2B2F6A18"/>
    <w:rsid w:val="2B336F58"/>
    <w:rsid w:val="2B3F0C12"/>
    <w:rsid w:val="2B486C98"/>
    <w:rsid w:val="2B4B28F2"/>
    <w:rsid w:val="2B681F2A"/>
    <w:rsid w:val="2B6D12EE"/>
    <w:rsid w:val="2B761CE2"/>
    <w:rsid w:val="2B7F08E1"/>
    <w:rsid w:val="2B822130"/>
    <w:rsid w:val="2B920D55"/>
    <w:rsid w:val="2B966A97"/>
    <w:rsid w:val="2B9954E1"/>
    <w:rsid w:val="2BA97F22"/>
    <w:rsid w:val="2BB807BB"/>
    <w:rsid w:val="2BC72F49"/>
    <w:rsid w:val="2BCA04EF"/>
    <w:rsid w:val="2BD1294A"/>
    <w:rsid w:val="2BD17C54"/>
    <w:rsid w:val="2BD55811"/>
    <w:rsid w:val="2BDA7408"/>
    <w:rsid w:val="2BE07D12"/>
    <w:rsid w:val="2BEF7F55"/>
    <w:rsid w:val="2BFC3D22"/>
    <w:rsid w:val="2C03772A"/>
    <w:rsid w:val="2C1C229C"/>
    <w:rsid w:val="2C464019"/>
    <w:rsid w:val="2C4C4DB6"/>
    <w:rsid w:val="2C5C15D7"/>
    <w:rsid w:val="2C616240"/>
    <w:rsid w:val="2C8006A3"/>
    <w:rsid w:val="2C8C1715"/>
    <w:rsid w:val="2C955DB3"/>
    <w:rsid w:val="2C9F3729"/>
    <w:rsid w:val="2CAF1A2F"/>
    <w:rsid w:val="2CC755B5"/>
    <w:rsid w:val="2CCA1713"/>
    <w:rsid w:val="2CCD64E8"/>
    <w:rsid w:val="2CDF446E"/>
    <w:rsid w:val="2CFE6A2F"/>
    <w:rsid w:val="2D045C82"/>
    <w:rsid w:val="2D0A773C"/>
    <w:rsid w:val="2D0B7011"/>
    <w:rsid w:val="2D0D0FDB"/>
    <w:rsid w:val="2D0D1BDC"/>
    <w:rsid w:val="2D0F5CD1"/>
    <w:rsid w:val="2D1069F7"/>
    <w:rsid w:val="2D1C7470"/>
    <w:rsid w:val="2D2D4FE8"/>
    <w:rsid w:val="2D3A0B53"/>
    <w:rsid w:val="2D7A50E9"/>
    <w:rsid w:val="2D843E3F"/>
    <w:rsid w:val="2D86197D"/>
    <w:rsid w:val="2D8A6DC1"/>
    <w:rsid w:val="2D92328E"/>
    <w:rsid w:val="2D9E71E6"/>
    <w:rsid w:val="2DB651CE"/>
    <w:rsid w:val="2DBD030B"/>
    <w:rsid w:val="2DC61C14"/>
    <w:rsid w:val="2DDD09AD"/>
    <w:rsid w:val="2DDE37B2"/>
    <w:rsid w:val="2DE955A4"/>
    <w:rsid w:val="2DED6716"/>
    <w:rsid w:val="2DFB35DB"/>
    <w:rsid w:val="2E0F7F81"/>
    <w:rsid w:val="2E115ED5"/>
    <w:rsid w:val="2E1611A7"/>
    <w:rsid w:val="2E162111"/>
    <w:rsid w:val="2E291E44"/>
    <w:rsid w:val="2E4722CA"/>
    <w:rsid w:val="2E7E3513"/>
    <w:rsid w:val="2E9B6172"/>
    <w:rsid w:val="2E9D013C"/>
    <w:rsid w:val="2EA052A4"/>
    <w:rsid w:val="2EA860EC"/>
    <w:rsid w:val="2EA96AE1"/>
    <w:rsid w:val="2EAE5EA6"/>
    <w:rsid w:val="2EBE2D86"/>
    <w:rsid w:val="2EBE3AAF"/>
    <w:rsid w:val="2EDE58D8"/>
    <w:rsid w:val="2EE0409D"/>
    <w:rsid w:val="2EED2E72"/>
    <w:rsid w:val="2EEF1AC4"/>
    <w:rsid w:val="2F120B2A"/>
    <w:rsid w:val="2F2B399A"/>
    <w:rsid w:val="2F397E65"/>
    <w:rsid w:val="2F3C5BA7"/>
    <w:rsid w:val="2F5847C3"/>
    <w:rsid w:val="2F591A90"/>
    <w:rsid w:val="2F776BDF"/>
    <w:rsid w:val="2F8531AC"/>
    <w:rsid w:val="2F875074"/>
    <w:rsid w:val="2F890CAD"/>
    <w:rsid w:val="2F9C6646"/>
    <w:rsid w:val="2F9D5C0F"/>
    <w:rsid w:val="2FB90EC1"/>
    <w:rsid w:val="2FC72157"/>
    <w:rsid w:val="2FE13757"/>
    <w:rsid w:val="2FE14059"/>
    <w:rsid w:val="300E3A28"/>
    <w:rsid w:val="30142574"/>
    <w:rsid w:val="302A422C"/>
    <w:rsid w:val="302A7E81"/>
    <w:rsid w:val="302B221D"/>
    <w:rsid w:val="302E3742"/>
    <w:rsid w:val="302F1268"/>
    <w:rsid w:val="3040528C"/>
    <w:rsid w:val="30442F65"/>
    <w:rsid w:val="304F6174"/>
    <w:rsid w:val="304F67CF"/>
    <w:rsid w:val="30564A47"/>
    <w:rsid w:val="305B3443"/>
    <w:rsid w:val="305C2B7E"/>
    <w:rsid w:val="30694DA0"/>
    <w:rsid w:val="306D5557"/>
    <w:rsid w:val="307373D0"/>
    <w:rsid w:val="30797E65"/>
    <w:rsid w:val="30843FBB"/>
    <w:rsid w:val="30872E52"/>
    <w:rsid w:val="308C0468"/>
    <w:rsid w:val="308E373E"/>
    <w:rsid w:val="30936C6B"/>
    <w:rsid w:val="30B11A51"/>
    <w:rsid w:val="30B22D38"/>
    <w:rsid w:val="30B42DE3"/>
    <w:rsid w:val="30BA5D87"/>
    <w:rsid w:val="30BA6D84"/>
    <w:rsid w:val="30BD6874"/>
    <w:rsid w:val="30D80A2D"/>
    <w:rsid w:val="30E87D95"/>
    <w:rsid w:val="30FA7FF4"/>
    <w:rsid w:val="30FC739C"/>
    <w:rsid w:val="31004012"/>
    <w:rsid w:val="311A4B61"/>
    <w:rsid w:val="312C536F"/>
    <w:rsid w:val="313B4897"/>
    <w:rsid w:val="313C3C3D"/>
    <w:rsid w:val="314174A5"/>
    <w:rsid w:val="31480833"/>
    <w:rsid w:val="31595EA5"/>
    <w:rsid w:val="31665271"/>
    <w:rsid w:val="3170151C"/>
    <w:rsid w:val="31701B38"/>
    <w:rsid w:val="317407F3"/>
    <w:rsid w:val="317E7954"/>
    <w:rsid w:val="3186310A"/>
    <w:rsid w:val="31871454"/>
    <w:rsid w:val="31A555E5"/>
    <w:rsid w:val="31A83D7E"/>
    <w:rsid w:val="31B46541"/>
    <w:rsid w:val="31C41ED3"/>
    <w:rsid w:val="31D023CC"/>
    <w:rsid w:val="31D74435"/>
    <w:rsid w:val="31D7550E"/>
    <w:rsid w:val="31D96774"/>
    <w:rsid w:val="31DF75A8"/>
    <w:rsid w:val="31ED4F37"/>
    <w:rsid w:val="31F33C15"/>
    <w:rsid w:val="320504D2"/>
    <w:rsid w:val="32077056"/>
    <w:rsid w:val="320F36F6"/>
    <w:rsid w:val="32136496"/>
    <w:rsid w:val="32222E32"/>
    <w:rsid w:val="32246376"/>
    <w:rsid w:val="322546D1"/>
    <w:rsid w:val="323B0398"/>
    <w:rsid w:val="32496611"/>
    <w:rsid w:val="325A081E"/>
    <w:rsid w:val="326F2B02"/>
    <w:rsid w:val="327B69E7"/>
    <w:rsid w:val="3280427B"/>
    <w:rsid w:val="32836094"/>
    <w:rsid w:val="32937D66"/>
    <w:rsid w:val="32964D6D"/>
    <w:rsid w:val="329D4BAF"/>
    <w:rsid w:val="32A546B3"/>
    <w:rsid w:val="32A552C0"/>
    <w:rsid w:val="32A978C7"/>
    <w:rsid w:val="32B474B7"/>
    <w:rsid w:val="32C65EB4"/>
    <w:rsid w:val="32CC2482"/>
    <w:rsid w:val="32DB2CC9"/>
    <w:rsid w:val="32FF7F75"/>
    <w:rsid w:val="330372CC"/>
    <w:rsid w:val="33064502"/>
    <w:rsid w:val="33242FBE"/>
    <w:rsid w:val="33254303"/>
    <w:rsid w:val="33353039"/>
    <w:rsid w:val="333F17C2"/>
    <w:rsid w:val="33417E0D"/>
    <w:rsid w:val="33560F05"/>
    <w:rsid w:val="33590AD6"/>
    <w:rsid w:val="3368313F"/>
    <w:rsid w:val="336F1825"/>
    <w:rsid w:val="33731690"/>
    <w:rsid w:val="338778BD"/>
    <w:rsid w:val="339A1199"/>
    <w:rsid w:val="339C1309"/>
    <w:rsid w:val="33A919D3"/>
    <w:rsid w:val="33B1099B"/>
    <w:rsid w:val="33B26438"/>
    <w:rsid w:val="33B72E7B"/>
    <w:rsid w:val="33BB2BA4"/>
    <w:rsid w:val="33C43C20"/>
    <w:rsid w:val="33DB0BE6"/>
    <w:rsid w:val="33DB598F"/>
    <w:rsid w:val="33DE0FDB"/>
    <w:rsid w:val="33EF7800"/>
    <w:rsid w:val="33F16F60"/>
    <w:rsid w:val="33F94067"/>
    <w:rsid w:val="33FA788B"/>
    <w:rsid w:val="340622E0"/>
    <w:rsid w:val="340C0022"/>
    <w:rsid w:val="3413456B"/>
    <w:rsid w:val="34142C4F"/>
    <w:rsid w:val="34183E1D"/>
    <w:rsid w:val="341B3FDD"/>
    <w:rsid w:val="342C7F98"/>
    <w:rsid w:val="34402C73"/>
    <w:rsid w:val="34425A0E"/>
    <w:rsid w:val="34473024"/>
    <w:rsid w:val="344F47F9"/>
    <w:rsid w:val="345C0152"/>
    <w:rsid w:val="345C07BA"/>
    <w:rsid w:val="345D7A29"/>
    <w:rsid w:val="345F3A30"/>
    <w:rsid w:val="34662192"/>
    <w:rsid w:val="346D690E"/>
    <w:rsid w:val="346E3EF8"/>
    <w:rsid w:val="34725534"/>
    <w:rsid w:val="34775A91"/>
    <w:rsid w:val="347A50CF"/>
    <w:rsid w:val="347A51A8"/>
    <w:rsid w:val="3487452B"/>
    <w:rsid w:val="34926BA4"/>
    <w:rsid w:val="34962CAC"/>
    <w:rsid w:val="34A23597"/>
    <w:rsid w:val="34AB2BC3"/>
    <w:rsid w:val="34C7581C"/>
    <w:rsid w:val="34DC7B63"/>
    <w:rsid w:val="34E93674"/>
    <w:rsid w:val="34ED5BC3"/>
    <w:rsid w:val="34EE16F2"/>
    <w:rsid w:val="34F605A6"/>
    <w:rsid w:val="350727B3"/>
    <w:rsid w:val="350902DA"/>
    <w:rsid w:val="3513393E"/>
    <w:rsid w:val="35170C48"/>
    <w:rsid w:val="351C625F"/>
    <w:rsid w:val="352D221A"/>
    <w:rsid w:val="35373099"/>
    <w:rsid w:val="35380CA4"/>
    <w:rsid w:val="35444E19"/>
    <w:rsid w:val="35551771"/>
    <w:rsid w:val="355A28E3"/>
    <w:rsid w:val="355F439E"/>
    <w:rsid w:val="356D6ABA"/>
    <w:rsid w:val="357D2614"/>
    <w:rsid w:val="357E75D0"/>
    <w:rsid w:val="357F234A"/>
    <w:rsid w:val="358255A6"/>
    <w:rsid w:val="35844B7A"/>
    <w:rsid w:val="35861F48"/>
    <w:rsid w:val="35912FAA"/>
    <w:rsid w:val="359B260A"/>
    <w:rsid w:val="359B701A"/>
    <w:rsid w:val="35AB1391"/>
    <w:rsid w:val="35AD5109"/>
    <w:rsid w:val="35C51488"/>
    <w:rsid w:val="35C64AA2"/>
    <w:rsid w:val="35CB37E1"/>
    <w:rsid w:val="35CE6E2D"/>
    <w:rsid w:val="35D031EE"/>
    <w:rsid w:val="35E24FB6"/>
    <w:rsid w:val="35EB79DF"/>
    <w:rsid w:val="35F55E00"/>
    <w:rsid w:val="35F66420"/>
    <w:rsid w:val="36004BA3"/>
    <w:rsid w:val="360E05CC"/>
    <w:rsid w:val="36252EF1"/>
    <w:rsid w:val="362A133B"/>
    <w:rsid w:val="3634055E"/>
    <w:rsid w:val="364315C9"/>
    <w:rsid w:val="36490EC0"/>
    <w:rsid w:val="364D069A"/>
    <w:rsid w:val="36525CB0"/>
    <w:rsid w:val="36595669"/>
    <w:rsid w:val="367315A0"/>
    <w:rsid w:val="3679148F"/>
    <w:rsid w:val="367D1856"/>
    <w:rsid w:val="367E0853"/>
    <w:rsid w:val="368B7F84"/>
    <w:rsid w:val="3691029A"/>
    <w:rsid w:val="36925073"/>
    <w:rsid w:val="36932551"/>
    <w:rsid w:val="36962041"/>
    <w:rsid w:val="369B3D7E"/>
    <w:rsid w:val="36A15448"/>
    <w:rsid w:val="36A20BB6"/>
    <w:rsid w:val="36AF6EEC"/>
    <w:rsid w:val="36BE2CBB"/>
    <w:rsid w:val="36C059FB"/>
    <w:rsid w:val="36DC267E"/>
    <w:rsid w:val="36DF3F7C"/>
    <w:rsid w:val="36FD24FD"/>
    <w:rsid w:val="36FD3DD4"/>
    <w:rsid w:val="37042B37"/>
    <w:rsid w:val="370F0ACD"/>
    <w:rsid w:val="371A4A20"/>
    <w:rsid w:val="371B2546"/>
    <w:rsid w:val="372470BE"/>
    <w:rsid w:val="37263026"/>
    <w:rsid w:val="372E2279"/>
    <w:rsid w:val="37307DA0"/>
    <w:rsid w:val="375F7406"/>
    <w:rsid w:val="3766640B"/>
    <w:rsid w:val="37826121"/>
    <w:rsid w:val="37863E63"/>
    <w:rsid w:val="37955F71"/>
    <w:rsid w:val="37AE5BFB"/>
    <w:rsid w:val="37B43962"/>
    <w:rsid w:val="37C65BB6"/>
    <w:rsid w:val="37CE1DAE"/>
    <w:rsid w:val="37D50947"/>
    <w:rsid w:val="37DD15AA"/>
    <w:rsid w:val="37DD214D"/>
    <w:rsid w:val="37DE4F22"/>
    <w:rsid w:val="37F3203D"/>
    <w:rsid w:val="37F7266B"/>
    <w:rsid w:val="37FD7317"/>
    <w:rsid w:val="37FE6BC4"/>
    <w:rsid w:val="380041FC"/>
    <w:rsid w:val="38106E50"/>
    <w:rsid w:val="383A5DB9"/>
    <w:rsid w:val="385448C2"/>
    <w:rsid w:val="385C4BC4"/>
    <w:rsid w:val="38787629"/>
    <w:rsid w:val="387B4E40"/>
    <w:rsid w:val="38960B97"/>
    <w:rsid w:val="38962AE2"/>
    <w:rsid w:val="389869D9"/>
    <w:rsid w:val="38B07612"/>
    <w:rsid w:val="38C70290"/>
    <w:rsid w:val="38D20DE7"/>
    <w:rsid w:val="38DB01DF"/>
    <w:rsid w:val="38F235A6"/>
    <w:rsid w:val="39092D80"/>
    <w:rsid w:val="390A4620"/>
    <w:rsid w:val="39171CBE"/>
    <w:rsid w:val="39290F4A"/>
    <w:rsid w:val="392C27E9"/>
    <w:rsid w:val="39364F02"/>
    <w:rsid w:val="393B16FC"/>
    <w:rsid w:val="3948412F"/>
    <w:rsid w:val="39492D7C"/>
    <w:rsid w:val="39594D4E"/>
    <w:rsid w:val="395E36AA"/>
    <w:rsid w:val="39730417"/>
    <w:rsid w:val="39733686"/>
    <w:rsid w:val="399936E7"/>
    <w:rsid w:val="39A46823"/>
    <w:rsid w:val="39AD3929"/>
    <w:rsid w:val="39AE76A2"/>
    <w:rsid w:val="39E25FA0"/>
    <w:rsid w:val="39F41635"/>
    <w:rsid w:val="39FE23D7"/>
    <w:rsid w:val="39FF3A59"/>
    <w:rsid w:val="3A0255AB"/>
    <w:rsid w:val="3A103EB8"/>
    <w:rsid w:val="3A1C304E"/>
    <w:rsid w:val="3A1C3AD5"/>
    <w:rsid w:val="3A21198F"/>
    <w:rsid w:val="3A233BEC"/>
    <w:rsid w:val="3A2D01AC"/>
    <w:rsid w:val="3A321C58"/>
    <w:rsid w:val="3A485400"/>
    <w:rsid w:val="3A4E0551"/>
    <w:rsid w:val="3A5E2E76"/>
    <w:rsid w:val="3A7949D1"/>
    <w:rsid w:val="3A7C154E"/>
    <w:rsid w:val="3A805010"/>
    <w:rsid w:val="3A8116F6"/>
    <w:rsid w:val="3A8D72B7"/>
    <w:rsid w:val="3A920D71"/>
    <w:rsid w:val="3A94757F"/>
    <w:rsid w:val="3AA00635"/>
    <w:rsid w:val="3AB15C74"/>
    <w:rsid w:val="3AB21E7E"/>
    <w:rsid w:val="3AB331C1"/>
    <w:rsid w:val="3AB925AE"/>
    <w:rsid w:val="3ABE3914"/>
    <w:rsid w:val="3ABE56C2"/>
    <w:rsid w:val="3AC23405"/>
    <w:rsid w:val="3AE15874"/>
    <w:rsid w:val="3AE36BE8"/>
    <w:rsid w:val="3AEB5847"/>
    <w:rsid w:val="3AF06453"/>
    <w:rsid w:val="3AF6455B"/>
    <w:rsid w:val="3AF64664"/>
    <w:rsid w:val="3AF85078"/>
    <w:rsid w:val="3B064E6B"/>
    <w:rsid w:val="3B091033"/>
    <w:rsid w:val="3B1A3241"/>
    <w:rsid w:val="3B312338"/>
    <w:rsid w:val="3B6A55DA"/>
    <w:rsid w:val="3B8E5A18"/>
    <w:rsid w:val="3B933215"/>
    <w:rsid w:val="3B9D177C"/>
    <w:rsid w:val="3BA85E97"/>
    <w:rsid w:val="3BA87BFC"/>
    <w:rsid w:val="3BA9640A"/>
    <w:rsid w:val="3BB11C0F"/>
    <w:rsid w:val="3BB44EAE"/>
    <w:rsid w:val="3BBD1E1E"/>
    <w:rsid w:val="3BC156F2"/>
    <w:rsid w:val="3BC700D1"/>
    <w:rsid w:val="3BD574A2"/>
    <w:rsid w:val="3BD773A0"/>
    <w:rsid w:val="3BE83E55"/>
    <w:rsid w:val="3BE850ED"/>
    <w:rsid w:val="3BED0EB4"/>
    <w:rsid w:val="3BF354EF"/>
    <w:rsid w:val="3BFC2302"/>
    <w:rsid w:val="3BFD046C"/>
    <w:rsid w:val="3C043B1D"/>
    <w:rsid w:val="3C061641"/>
    <w:rsid w:val="3C0D11AF"/>
    <w:rsid w:val="3C0E4AEB"/>
    <w:rsid w:val="3C1A638C"/>
    <w:rsid w:val="3C2728E6"/>
    <w:rsid w:val="3C283305"/>
    <w:rsid w:val="3C2E5579"/>
    <w:rsid w:val="3C384DD5"/>
    <w:rsid w:val="3C3A486C"/>
    <w:rsid w:val="3C5C33E5"/>
    <w:rsid w:val="3C7766FB"/>
    <w:rsid w:val="3C7F0669"/>
    <w:rsid w:val="3C7F0795"/>
    <w:rsid w:val="3C917968"/>
    <w:rsid w:val="3CB60D47"/>
    <w:rsid w:val="3CD25455"/>
    <w:rsid w:val="3CD4741F"/>
    <w:rsid w:val="3CD56B9C"/>
    <w:rsid w:val="3CD76A2F"/>
    <w:rsid w:val="3CDD3C07"/>
    <w:rsid w:val="3CE3375D"/>
    <w:rsid w:val="3CEF24AB"/>
    <w:rsid w:val="3CF72E5F"/>
    <w:rsid w:val="3D1755B1"/>
    <w:rsid w:val="3D187227"/>
    <w:rsid w:val="3D19243C"/>
    <w:rsid w:val="3D1C53AF"/>
    <w:rsid w:val="3D430101"/>
    <w:rsid w:val="3D4E506A"/>
    <w:rsid w:val="3D4E5423"/>
    <w:rsid w:val="3D872DC6"/>
    <w:rsid w:val="3D924A63"/>
    <w:rsid w:val="3D991DC2"/>
    <w:rsid w:val="3D9B1CEB"/>
    <w:rsid w:val="3DA11731"/>
    <w:rsid w:val="3DEC0798"/>
    <w:rsid w:val="3DF31B27"/>
    <w:rsid w:val="3E133F77"/>
    <w:rsid w:val="3E1D7CCD"/>
    <w:rsid w:val="3E3D7B37"/>
    <w:rsid w:val="3E3F4D8B"/>
    <w:rsid w:val="3E4C369B"/>
    <w:rsid w:val="3E4F6CB0"/>
    <w:rsid w:val="3E506F79"/>
    <w:rsid w:val="3E541A29"/>
    <w:rsid w:val="3E6913A9"/>
    <w:rsid w:val="3E710CF1"/>
    <w:rsid w:val="3E7A4C17"/>
    <w:rsid w:val="3E9678F9"/>
    <w:rsid w:val="3E9D7A57"/>
    <w:rsid w:val="3EA33FD2"/>
    <w:rsid w:val="3EA66578"/>
    <w:rsid w:val="3EAA6689"/>
    <w:rsid w:val="3EB43064"/>
    <w:rsid w:val="3EC63214"/>
    <w:rsid w:val="3EC82FB3"/>
    <w:rsid w:val="3ECF09BF"/>
    <w:rsid w:val="3EE2512D"/>
    <w:rsid w:val="3EEB6B84"/>
    <w:rsid w:val="3EEC6CA2"/>
    <w:rsid w:val="3EF02DFA"/>
    <w:rsid w:val="3F0F0BE2"/>
    <w:rsid w:val="3F145297"/>
    <w:rsid w:val="3F2668CC"/>
    <w:rsid w:val="3F293571"/>
    <w:rsid w:val="3F2D1069"/>
    <w:rsid w:val="3F367C34"/>
    <w:rsid w:val="3F370CE7"/>
    <w:rsid w:val="3F3B5533"/>
    <w:rsid w:val="3F4168C2"/>
    <w:rsid w:val="3F4954C8"/>
    <w:rsid w:val="3F724CCD"/>
    <w:rsid w:val="3F8D751F"/>
    <w:rsid w:val="3F9E2F02"/>
    <w:rsid w:val="3FB461C9"/>
    <w:rsid w:val="3FBB0422"/>
    <w:rsid w:val="3FC217B1"/>
    <w:rsid w:val="3FE7549C"/>
    <w:rsid w:val="3FE756BB"/>
    <w:rsid w:val="40074198"/>
    <w:rsid w:val="400B3158"/>
    <w:rsid w:val="401A339B"/>
    <w:rsid w:val="401D65EC"/>
    <w:rsid w:val="40263453"/>
    <w:rsid w:val="402661E4"/>
    <w:rsid w:val="403326AF"/>
    <w:rsid w:val="4035263A"/>
    <w:rsid w:val="403B1563"/>
    <w:rsid w:val="403B2EBE"/>
    <w:rsid w:val="403B2EF0"/>
    <w:rsid w:val="40477F08"/>
    <w:rsid w:val="40750F19"/>
    <w:rsid w:val="4091169F"/>
    <w:rsid w:val="409410F8"/>
    <w:rsid w:val="409F2F04"/>
    <w:rsid w:val="40A4535A"/>
    <w:rsid w:val="40B21825"/>
    <w:rsid w:val="40C31C84"/>
    <w:rsid w:val="40C44111"/>
    <w:rsid w:val="40D20119"/>
    <w:rsid w:val="40F077B4"/>
    <w:rsid w:val="40FF1CF1"/>
    <w:rsid w:val="41016309"/>
    <w:rsid w:val="41195D48"/>
    <w:rsid w:val="411A3503"/>
    <w:rsid w:val="411C6EF1"/>
    <w:rsid w:val="412546ED"/>
    <w:rsid w:val="412B43C5"/>
    <w:rsid w:val="41406848"/>
    <w:rsid w:val="41452B42"/>
    <w:rsid w:val="414C3A28"/>
    <w:rsid w:val="4151103E"/>
    <w:rsid w:val="41540B2E"/>
    <w:rsid w:val="41601281"/>
    <w:rsid w:val="41605725"/>
    <w:rsid w:val="41704D2E"/>
    <w:rsid w:val="418C651A"/>
    <w:rsid w:val="418E2292"/>
    <w:rsid w:val="41957167"/>
    <w:rsid w:val="41961147"/>
    <w:rsid w:val="41A35EA0"/>
    <w:rsid w:val="41B7073E"/>
    <w:rsid w:val="41C22B48"/>
    <w:rsid w:val="41EC6FB9"/>
    <w:rsid w:val="41F12821"/>
    <w:rsid w:val="41F12C97"/>
    <w:rsid w:val="421A3B26"/>
    <w:rsid w:val="42246181"/>
    <w:rsid w:val="422F7D46"/>
    <w:rsid w:val="42300108"/>
    <w:rsid w:val="42343015"/>
    <w:rsid w:val="423D44A4"/>
    <w:rsid w:val="42407CDF"/>
    <w:rsid w:val="424D3EFC"/>
    <w:rsid w:val="42500A1C"/>
    <w:rsid w:val="42504068"/>
    <w:rsid w:val="425B4369"/>
    <w:rsid w:val="425F778B"/>
    <w:rsid w:val="426928E8"/>
    <w:rsid w:val="426E057D"/>
    <w:rsid w:val="42785D82"/>
    <w:rsid w:val="427B376E"/>
    <w:rsid w:val="42836A90"/>
    <w:rsid w:val="42876CE2"/>
    <w:rsid w:val="42894808"/>
    <w:rsid w:val="428F282E"/>
    <w:rsid w:val="42A411C1"/>
    <w:rsid w:val="42BA0E65"/>
    <w:rsid w:val="42C35767"/>
    <w:rsid w:val="42DA6257"/>
    <w:rsid w:val="42DF267A"/>
    <w:rsid w:val="42E57E9D"/>
    <w:rsid w:val="42E817DD"/>
    <w:rsid w:val="42EE0B0F"/>
    <w:rsid w:val="42F27E30"/>
    <w:rsid w:val="4306798D"/>
    <w:rsid w:val="431247FD"/>
    <w:rsid w:val="431F0FA3"/>
    <w:rsid w:val="43217FCA"/>
    <w:rsid w:val="4323466F"/>
    <w:rsid w:val="433A0256"/>
    <w:rsid w:val="43413AB4"/>
    <w:rsid w:val="43481598"/>
    <w:rsid w:val="434E6BCD"/>
    <w:rsid w:val="43662682"/>
    <w:rsid w:val="436C45D4"/>
    <w:rsid w:val="43721740"/>
    <w:rsid w:val="43741014"/>
    <w:rsid w:val="437C57FD"/>
    <w:rsid w:val="43860637"/>
    <w:rsid w:val="438C2802"/>
    <w:rsid w:val="438C3688"/>
    <w:rsid w:val="439E42E3"/>
    <w:rsid w:val="43A01E09"/>
    <w:rsid w:val="43D9503B"/>
    <w:rsid w:val="43E17DF9"/>
    <w:rsid w:val="43F32881"/>
    <w:rsid w:val="440C3942"/>
    <w:rsid w:val="440E40FA"/>
    <w:rsid w:val="440E76BA"/>
    <w:rsid w:val="44107B17"/>
    <w:rsid w:val="44121107"/>
    <w:rsid w:val="44141952"/>
    <w:rsid w:val="443048C7"/>
    <w:rsid w:val="443133A9"/>
    <w:rsid w:val="4439429D"/>
    <w:rsid w:val="445A645C"/>
    <w:rsid w:val="445C3D64"/>
    <w:rsid w:val="445F3E64"/>
    <w:rsid w:val="446D463B"/>
    <w:rsid w:val="446F06B6"/>
    <w:rsid w:val="44701AD8"/>
    <w:rsid w:val="4473447D"/>
    <w:rsid w:val="447A253B"/>
    <w:rsid w:val="44A20A87"/>
    <w:rsid w:val="44BE2E8F"/>
    <w:rsid w:val="44C20426"/>
    <w:rsid w:val="44C3509C"/>
    <w:rsid w:val="44D23AEB"/>
    <w:rsid w:val="44DA1575"/>
    <w:rsid w:val="44DE3DC7"/>
    <w:rsid w:val="44E42F99"/>
    <w:rsid w:val="44EF35E9"/>
    <w:rsid w:val="45014B29"/>
    <w:rsid w:val="45062B03"/>
    <w:rsid w:val="45086A49"/>
    <w:rsid w:val="45103F2C"/>
    <w:rsid w:val="45264590"/>
    <w:rsid w:val="452713C4"/>
    <w:rsid w:val="452B23C2"/>
    <w:rsid w:val="45340E13"/>
    <w:rsid w:val="45360C10"/>
    <w:rsid w:val="45480B79"/>
    <w:rsid w:val="455E2F5F"/>
    <w:rsid w:val="456A00D0"/>
    <w:rsid w:val="458A39CE"/>
    <w:rsid w:val="459015F5"/>
    <w:rsid w:val="459069EB"/>
    <w:rsid w:val="45963061"/>
    <w:rsid w:val="45A25A1C"/>
    <w:rsid w:val="45A72D30"/>
    <w:rsid w:val="45C42195"/>
    <w:rsid w:val="45D3520E"/>
    <w:rsid w:val="45D64380"/>
    <w:rsid w:val="45F4643C"/>
    <w:rsid w:val="4602559C"/>
    <w:rsid w:val="460937E5"/>
    <w:rsid w:val="46102C2A"/>
    <w:rsid w:val="46120612"/>
    <w:rsid w:val="464C306C"/>
    <w:rsid w:val="46555313"/>
    <w:rsid w:val="465B57E2"/>
    <w:rsid w:val="466A1884"/>
    <w:rsid w:val="466A4F31"/>
    <w:rsid w:val="46867B76"/>
    <w:rsid w:val="4698770F"/>
    <w:rsid w:val="469C1B4B"/>
    <w:rsid w:val="46A240EA"/>
    <w:rsid w:val="46AF0A40"/>
    <w:rsid w:val="46B032B3"/>
    <w:rsid w:val="46C66E9C"/>
    <w:rsid w:val="46CE78FC"/>
    <w:rsid w:val="46E2765C"/>
    <w:rsid w:val="46ED7A5B"/>
    <w:rsid w:val="46F04C6D"/>
    <w:rsid w:val="46F75161"/>
    <w:rsid w:val="46FD5592"/>
    <w:rsid w:val="46FE6202"/>
    <w:rsid w:val="470844F4"/>
    <w:rsid w:val="47091D71"/>
    <w:rsid w:val="471548BC"/>
    <w:rsid w:val="471A69C9"/>
    <w:rsid w:val="472573A2"/>
    <w:rsid w:val="47490A0A"/>
    <w:rsid w:val="474E7DCE"/>
    <w:rsid w:val="47653A95"/>
    <w:rsid w:val="47664945"/>
    <w:rsid w:val="47727F60"/>
    <w:rsid w:val="47743CD8"/>
    <w:rsid w:val="477572DF"/>
    <w:rsid w:val="477E06B3"/>
    <w:rsid w:val="4780267D"/>
    <w:rsid w:val="479D5DB7"/>
    <w:rsid w:val="479F56C3"/>
    <w:rsid w:val="479F6419"/>
    <w:rsid w:val="47A21972"/>
    <w:rsid w:val="47B42327"/>
    <w:rsid w:val="47B9793D"/>
    <w:rsid w:val="47BA5621"/>
    <w:rsid w:val="47C17948"/>
    <w:rsid w:val="47CA1B4A"/>
    <w:rsid w:val="47CC5F7A"/>
    <w:rsid w:val="47D26C51"/>
    <w:rsid w:val="47D70681"/>
    <w:rsid w:val="47F6293F"/>
    <w:rsid w:val="482047F3"/>
    <w:rsid w:val="484315B6"/>
    <w:rsid w:val="484A67E7"/>
    <w:rsid w:val="486C34E0"/>
    <w:rsid w:val="486F1DB9"/>
    <w:rsid w:val="4871646A"/>
    <w:rsid w:val="48860339"/>
    <w:rsid w:val="488F2099"/>
    <w:rsid w:val="4891147B"/>
    <w:rsid w:val="4893228B"/>
    <w:rsid w:val="48954DD6"/>
    <w:rsid w:val="48B56357"/>
    <w:rsid w:val="48D1064F"/>
    <w:rsid w:val="48DF33D4"/>
    <w:rsid w:val="48E21116"/>
    <w:rsid w:val="48EB1D78"/>
    <w:rsid w:val="48F05C20"/>
    <w:rsid w:val="49094D6B"/>
    <w:rsid w:val="491D214E"/>
    <w:rsid w:val="49261002"/>
    <w:rsid w:val="4944592C"/>
    <w:rsid w:val="4948541D"/>
    <w:rsid w:val="494871CB"/>
    <w:rsid w:val="494F341A"/>
    <w:rsid w:val="499A379E"/>
    <w:rsid w:val="49A1328D"/>
    <w:rsid w:val="49B47A6F"/>
    <w:rsid w:val="49B50FEF"/>
    <w:rsid w:val="49C5081B"/>
    <w:rsid w:val="49C5184F"/>
    <w:rsid w:val="49D5238C"/>
    <w:rsid w:val="49FB2D66"/>
    <w:rsid w:val="4A14516B"/>
    <w:rsid w:val="4A1E1C78"/>
    <w:rsid w:val="4A296896"/>
    <w:rsid w:val="4A2B33FF"/>
    <w:rsid w:val="4A305E7A"/>
    <w:rsid w:val="4A3C2ECE"/>
    <w:rsid w:val="4A413C1A"/>
    <w:rsid w:val="4A634C31"/>
    <w:rsid w:val="4A7638C4"/>
    <w:rsid w:val="4A78588E"/>
    <w:rsid w:val="4A8A736F"/>
    <w:rsid w:val="4A9663A9"/>
    <w:rsid w:val="4A9B5A20"/>
    <w:rsid w:val="4A9D70A2"/>
    <w:rsid w:val="4AAC3789"/>
    <w:rsid w:val="4AB9686A"/>
    <w:rsid w:val="4ABA5EA6"/>
    <w:rsid w:val="4ABB1C1E"/>
    <w:rsid w:val="4AC7411F"/>
    <w:rsid w:val="4AD626EC"/>
    <w:rsid w:val="4AD66B59"/>
    <w:rsid w:val="4AE41175"/>
    <w:rsid w:val="4AEC5E0E"/>
    <w:rsid w:val="4AED7531"/>
    <w:rsid w:val="4AF8077D"/>
    <w:rsid w:val="4AFA2747"/>
    <w:rsid w:val="4B125CE2"/>
    <w:rsid w:val="4B314291"/>
    <w:rsid w:val="4B3250D8"/>
    <w:rsid w:val="4B5B7010"/>
    <w:rsid w:val="4B7342C9"/>
    <w:rsid w:val="4B901C6E"/>
    <w:rsid w:val="4B9715F0"/>
    <w:rsid w:val="4BA840D8"/>
    <w:rsid w:val="4BAE7A7B"/>
    <w:rsid w:val="4BB3049A"/>
    <w:rsid w:val="4BB5041C"/>
    <w:rsid w:val="4BB62A81"/>
    <w:rsid w:val="4BBA2C61"/>
    <w:rsid w:val="4BBC2DF1"/>
    <w:rsid w:val="4BBE0B67"/>
    <w:rsid w:val="4BC01269"/>
    <w:rsid w:val="4BC51F92"/>
    <w:rsid w:val="4BD5286C"/>
    <w:rsid w:val="4BE17568"/>
    <w:rsid w:val="4BED23E1"/>
    <w:rsid w:val="4BF17F3D"/>
    <w:rsid w:val="4BF4363A"/>
    <w:rsid w:val="4BFF5B3B"/>
    <w:rsid w:val="4C082C41"/>
    <w:rsid w:val="4C0F2222"/>
    <w:rsid w:val="4C3677AE"/>
    <w:rsid w:val="4C453E95"/>
    <w:rsid w:val="4C4A325A"/>
    <w:rsid w:val="4C4F7CD7"/>
    <w:rsid w:val="4C532ACF"/>
    <w:rsid w:val="4C5B7984"/>
    <w:rsid w:val="4C5C2F8D"/>
    <w:rsid w:val="4C673070"/>
    <w:rsid w:val="4C67427C"/>
    <w:rsid w:val="4C787DC7"/>
    <w:rsid w:val="4C7D27E2"/>
    <w:rsid w:val="4C8A5C93"/>
    <w:rsid w:val="4C973AEE"/>
    <w:rsid w:val="4CB35CE4"/>
    <w:rsid w:val="4CBF038E"/>
    <w:rsid w:val="4CC870EB"/>
    <w:rsid w:val="4CD0509A"/>
    <w:rsid w:val="4CD07C03"/>
    <w:rsid w:val="4CD9638C"/>
    <w:rsid w:val="4CDD44D6"/>
    <w:rsid w:val="4CE31D90"/>
    <w:rsid w:val="4D226820"/>
    <w:rsid w:val="4D2A1444"/>
    <w:rsid w:val="4D2A6F7A"/>
    <w:rsid w:val="4D317F76"/>
    <w:rsid w:val="4D370680"/>
    <w:rsid w:val="4D3D4B6D"/>
    <w:rsid w:val="4D426074"/>
    <w:rsid w:val="4D480CB2"/>
    <w:rsid w:val="4D4B1038"/>
    <w:rsid w:val="4D56056E"/>
    <w:rsid w:val="4D5A74CD"/>
    <w:rsid w:val="4D693BB4"/>
    <w:rsid w:val="4D6C7200"/>
    <w:rsid w:val="4D762A55"/>
    <w:rsid w:val="4D764338"/>
    <w:rsid w:val="4D7826DB"/>
    <w:rsid w:val="4D8D78A2"/>
    <w:rsid w:val="4D963547"/>
    <w:rsid w:val="4D9A5085"/>
    <w:rsid w:val="4DA12388"/>
    <w:rsid w:val="4DBB41E8"/>
    <w:rsid w:val="4DC05E50"/>
    <w:rsid w:val="4DCD5EF0"/>
    <w:rsid w:val="4DD51249"/>
    <w:rsid w:val="4DE35714"/>
    <w:rsid w:val="4DE80F7C"/>
    <w:rsid w:val="4DF571F5"/>
    <w:rsid w:val="4E0517A2"/>
    <w:rsid w:val="4E061402"/>
    <w:rsid w:val="4E4F4250"/>
    <w:rsid w:val="4E4F6905"/>
    <w:rsid w:val="4E686685"/>
    <w:rsid w:val="4E6A28C9"/>
    <w:rsid w:val="4E6B71F7"/>
    <w:rsid w:val="4E756C90"/>
    <w:rsid w:val="4E796078"/>
    <w:rsid w:val="4E797E26"/>
    <w:rsid w:val="4E8862BB"/>
    <w:rsid w:val="4E9E00A5"/>
    <w:rsid w:val="4EAE6FDA"/>
    <w:rsid w:val="4EBC7D13"/>
    <w:rsid w:val="4EE4224B"/>
    <w:rsid w:val="4EF13072"/>
    <w:rsid w:val="4F0F1FC0"/>
    <w:rsid w:val="4F105573"/>
    <w:rsid w:val="4F1D32A3"/>
    <w:rsid w:val="4F204746"/>
    <w:rsid w:val="4F2A1121"/>
    <w:rsid w:val="4F317303"/>
    <w:rsid w:val="4F3E7584"/>
    <w:rsid w:val="4F5A1A06"/>
    <w:rsid w:val="4F691C49"/>
    <w:rsid w:val="4F6F2F7E"/>
    <w:rsid w:val="4F701229"/>
    <w:rsid w:val="4F7B0D11"/>
    <w:rsid w:val="4F813436"/>
    <w:rsid w:val="4F882A27"/>
    <w:rsid w:val="4F8B7E11"/>
    <w:rsid w:val="4FFC486B"/>
    <w:rsid w:val="500951DA"/>
    <w:rsid w:val="5015592D"/>
    <w:rsid w:val="501778F7"/>
    <w:rsid w:val="501C33AF"/>
    <w:rsid w:val="501E2B38"/>
    <w:rsid w:val="50304E63"/>
    <w:rsid w:val="5032028D"/>
    <w:rsid w:val="505C58ED"/>
    <w:rsid w:val="50642A9C"/>
    <w:rsid w:val="50652DB5"/>
    <w:rsid w:val="50803EA3"/>
    <w:rsid w:val="508F7128"/>
    <w:rsid w:val="50A24777"/>
    <w:rsid w:val="50AC122E"/>
    <w:rsid w:val="50B52F7B"/>
    <w:rsid w:val="50B87E4A"/>
    <w:rsid w:val="50C448D1"/>
    <w:rsid w:val="50C7131D"/>
    <w:rsid w:val="50CB6C92"/>
    <w:rsid w:val="50D70E34"/>
    <w:rsid w:val="50DE73E0"/>
    <w:rsid w:val="50F02A27"/>
    <w:rsid w:val="50F3539B"/>
    <w:rsid w:val="50F418FD"/>
    <w:rsid w:val="5100038B"/>
    <w:rsid w:val="51023305"/>
    <w:rsid w:val="51166256"/>
    <w:rsid w:val="511C3509"/>
    <w:rsid w:val="51282FBD"/>
    <w:rsid w:val="51325F2F"/>
    <w:rsid w:val="513D513B"/>
    <w:rsid w:val="51402A6A"/>
    <w:rsid w:val="515B117B"/>
    <w:rsid w:val="515B645D"/>
    <w:rsid w:val="516528E4"/>
    <w:rsid w:val="51736DAF"/>
    <w:rsid w:val="518451A5"/>
    <w:rsid w:val="519311FF"/>
    <w:rsid w:val="519625C0"/>
    <w:rsid w:val="51A15814"/>
    <w:rsid w:val="51B05117"/>
    <w:rsid w:val="51BC08F6"/>
    <w:rsid w:val="51C6673D"/>
    <w:rsid w:val="51DA0FE1"/>
    <w:rsid w:val="51E9683C"/>
    <w:rsid w:val="51F24178"/>
    <w:rsid w:val="521C74E2"/>
    <w:rsid w:val="522414A9"/>
    <w:rsid w:val="5224454D"/>
    <w:rsid w:val="52246C89"/>
    <w:rsid w:val="522748C8"/>
    <w:rsid w:val="52352C2F"/>
    <w:rsid w:val="52604481"/>
    <w:rsid w:val="526112FD"/>
    <w:rsid w:val="52662470"/>
    <w:rsid w:val="52681FD4"/>
    <w:rsid w:val="527032EE"/>
    <w:rsid w:val="52715C21"/>
    <w:rsid w:val="52A6428A"/>
    <w:rsid w:val="52AB07CA"/>
    <w:rsid w:val="52BD0A37"/>
    <w:rsid w:val="52C673B2"/>
    <w:rsid w:val="52C8312A"/>
    <w:rsid w:val="52DB10B0"/>
    <w:rsid w:val="52F13CD6"/>
    <w:rsid w:val="52F263F9"/>
    <w:rsid w:val="53075636"/>
    <w:rsid w:val="53146370"/>
    <w:rsid w:val="53194E39"/>
    <w:rsid w:val="531C4055"/>
    <w:rsid w:val="53206AC2"/>
    <w:rsid w:val="532C36B9"/>
    <w:rsid w:val="534717EF"/>
    <w:rsid w:val="534D307F"/>
    <w:rsid w:val="53534227"/>
    <w:rsid w:val="53596DBB"/>
    <w:rsid w:val="535E583D"/>
    <w:rsid w:val="536A2433"/>
    <w:rsid w:val="536A686B"/>
    <w:rsid w:val="5384706B"/>
    <w:rsid w:val="538B4884"/>
    <w:rsid w:val="538C23AA"/>
    <w:rsid w:val="538D22C4"/>
    <w:rsid w:val="539F427D"/>
    <w:rsid w:val="53C22E68"/>
    <w:rsid w:val="53C47D96"/>
    <w:rsid w:val="53CB21F8"/>
    <w:rsid w:val="53E117FB"/>
    <w:rsid w:val="53E21FCA"/>
    <w:rsid w:val="53EB5820"/>
    <w:rsid w:val="54017D9C"/>
    <w:rsid w:val="5404376F"/>
    <w:rsid w:val="540C5299"/>
    <w:rsid w:val="542B3E12"/>
    <w:rsid w:val="543A0058"/>
    <w:rsid w:val="543C5B7E"/>
    <w:rsid w:val="5449029B"/>
    <w:rsid w:val="54520EFE"/>
    <w:rsid w:val="545440C4"/>
    <w:rsid w:val="545E7B0F"/>
    <w:rsid w:val="54745318"/>
    <w:rsid w:val="548113D8"/>
    <w:rsid w:val="54A54477"/>
    <w:rsid w:val="54AA0123"/>
    <w:rsid w:val="54AF6350"/>
    <w:rsid w:val="54BC7B27"/>
    <w:rsid w:val="54E15CFC"/>
    <w:rsid w:val="54F41FB5"/>
    <w:rsid w:val="54F93A6F"/>
    <w:rsid w:val="55092CFB"/>
    <w:rsid w:val="550A161B"/>
    <w:rsid w:val="550F6DEF"/>
    <w:rsid w:val="55106825"/>
    <w:rsid w:val="5516017D"/>
    <w:rsid w:val="55196E71"/>
    <w:rsid w:val="551C775D"/>
    <w:rsid w:val="551F7AFF"/>
    <w:rsid w:val="55254864"/>
    <w:rsid w:val="5526294A"/>
    <w:rsid w:val="552A59D6"/>
    <w:rsid w:val="5536081F"/>
    <w:rsid w:val="555C7B5A"/>
    <w:rsid w:val="555E14B9"/>
    <w:rsid w:val="55626A90"/>
    <w:rsid w:val="55644BCA"/>
    <w:rsid w:val="556709D9"/>
    <w:rsid w:val="556F788D"/>
    <w:rsid w:val="5571707B"/>
    <w:rsid w:val="557E35DC"/>
    <w:rsid w:val="55882B20"/>
    <w:rsid w:val="55A555A0"/>
    <w:rsid w:val="55AA5166"/>
    <w:rsid w:val="55AC4B00"/>
    <w:rsid w:val="55B61960"/>
    <w:rsid w:val="55B654BC"/>
    <w:rsid w:val="55DF28E3"/>
    <w:rsid w:val="55E350D7"/>
    <w:rsid w:val="55F00D50"/>
    <w:rsid w:val="55F36C1A"/>
    <w:rsid w:val="55FF225F"/>
    <w:rsid w:val="56024BA5"/>
    <w:rsid w:val="561548D9"/>
    <w:rsid w:val="562119E4"/>
    <w:rsid w:val="56235825"/>
    <w:rsid w:val="562809AC"/>
    <w:rsid w:val="564C3149"/>
    <w:rsid w:val="564C7BCE"/>
    <w:rsid w:val="56506748"/>
    <w:rsid w:val="56521689"/>
    <w:rsid w:val="565806AA"/>
    <w:rsid w:val="565915AE"/>
    <w:rsid w:val="565F077D"/>
    <w:rsid w:val="566B62A7"/>
    <w:rsid w:val="56890FFD"/>
    <w:rsid w:val="56955A19"/>
    <w:rsid w:val="56981066"/>
    <w:rsid w:val="569C4826"/>
    <w:rsid w:val="56A93273"/>
    <w:rsid w:val="56A93BAB"/>
    <w:rsid w:val="56BF4844"/>
    <w:rsid w:val="56C63E25"/>
    <w:rsid w:val="56CD6F61"/>
    <w:rsid w:val="56D71B8E"/>
    <w:rsid w:val="56DC71A4"/>
    <w:rsid w:val="56DD1465"/>
    <w:rsid w:val="56DE2CEF"/>
    <w:rsid w:val="56E60023"/>
    <w:rsid w:val="56F705B2"/>
    <w:rsid w:val="56F72FE3"/>
    <w:rsid w:val="56FA52E6"/>
    <w:rsid w:val="572D5C52"/>
    <w:rsid w:val="57390153"/>
    <w:rsid w:val="573B019B"/>
    <w:rsid w:val="573C4959"/>
    <w:rsid w:val="575F6C26"/>
    <w:rsid w:val="57602DAA"/>
    <w:rsid w:val="5763589F"/>
    <w:rsid w:val="57682C7F"/>
    <w:rsid w:val="576B709B"/>
    <w:rsid w:val="576D604E"/>
    <w:rsid w:val="57776ECD"/>
    <w:rsid w:val="577F0A0D"/>
    <w:rsid w:val="5782100D"/>
    <w:rsid w:val="5783709E"/>
    <w:rsid w:val="579E08FE"/>
    <w:rsid w:val="579E6AA1"/>
    <w:rsid w:val="57A36752"/>
    <w:rsid w:val="57A53A3A"/>
    <w:rsid w:val="57A74D2A"/>
    <w:rsid w:val="57AA1DB9"/>
    <w:rsid w:val="57AF2B0B"/>
    <w:rsid w:val="57DB3900"/>
    <w:rsid w:val="57EF4197"/>
    <w:rsid w:val="57EF4CB5"/>
    <w:rsid w:val="57F760F7"/>
    <w:rsid w:val="57F81DBC"/>
    <w:rsid w:val="58160494"/>
    <w:rsid w:val="5818245E"/>
    <w:rsid w:val="58242CB2"/>
    <w:rsid w:val="582A2153"/>
    <w:rsid w:val="58345A54"/>
    <w:rsid w:val="5841531A"/>
    <w:rsid w:val="5846521D"/>
    <w:rsid w:val="585A5F41"/>
    <w:rsid w:val="58611E71"/>
    <w:rsid w:val="58711B6E"/>
    <w:rsid w:val="58780B68"/>
    <w:rsid w:val="587D6765"/>
    <w:rsid w:val="58A04B14"/>
    <w:rsid w:val="58C741FC"/>
    <w:rsid w:val="58CA7BFC"/>
    <w:rsid w:val="58D616D2"/>
    <w:rsid w:val="58FB06E8"/>
    <w:rsid w:val="59073F55"/>
    <w:rsid w:val="59150A3F"/>
    <w:rsid w:val="5929236D"/>
    <w:rsid w:val="592A40EC"/>
    <w:rsid w:val="592E4493"/>
    <w:rsid w:val="592E7CD7"/>
    <w:rsid w:val="59440562"/>
    <w:rsid w:val="5956025A"/>
    <w:rsid w:val="59564EEB"/>
    <w:rsid w:val="59604CAC"/>
    <w:rsid w:val="59611053"/>
    <w:rsid w:val="596D4A2C"/>
    <w:rsid w:val="59755167"/>
    <w:rsid w:val="59815DE1"/>
    <w:rsid w:val="59832D51"/>
    <w:rsid w:val="598F6BB5"/>
    <w:rsid w:val="5999312B"/>
    <w:rsid w:val="599B6EA3"/>
    <w:rsid w:val="59A4101C"/>
    <w:rsid w:val="59AD4E28"/>
    <w:rsid w:val="59B2652D"/>
    <w:rsid w:val="59B61F2F"/>
    <w:rsid w:val="59DF43F3"/>
    <w:rsid w:val="5A072B86"/>
    <w:rsid w:val="5A252C10"/>
    <w:rsid w:val="5A264F65"/>
    <w:rsid w:val="5A2C0443"/>
    <w:rsid w:val="5A385190"/>
    <w:rsid w:val="5A393DE0"/>
    <w:rsid w:val="5A3D2B02"/>
    <w:rsid w:val="5A3D7F5A"/>
    <w:rsid w:val="5A3F08E5"/>
    <w:rsid w:val="5A3F2699"/>
    <w:rsid w:val="5A4468B0"/>
    <w:rsid w:val="5A4532B2"/>
    <w:rsid w:val="5A523707"/>
    <w:rsid w:val="5A5A47BF"/>
    <w:rsid w:val="5A647BDD"/>
    <w:rsid w:val="5A7A11AE"/>
    <w:rsid w:val="5A8C5DAC"/>
    <w:rsid w:val="5A8F3111"/>
    <w:rsid w:val="5AB46664"/>
    <w:rsid w:val="5AC02939"/>
    <w:rsid w:val="5AD00DCE"/>
    <w:rsid w:val="5AD84127"/>
    <w:rsid w:val="5AE4017E"/>
    <w:rsid w:val="5AE92011"/>
    <w:rsid w:val="5AEA09B6"/>
    <w:rsid w:val="5AF0321E"/>
    <w:rsid w:val="5B022F52"/>
    <w:rsid w:val="5B1335F2"/>
    <w:rsid w:val="5B1909C7"/>
    <w:rsid w:val="5B1C5B80"/>
    <w:rsid w:val="5B4351E0"/>
    <w:rsid w:val="5B466E8A"/>
    <w:rsid w:val="5B571541"/>
    <w:rsid w:val="5B5A4B3C"/>
    <w:rsid w:val="5B621A45"/>
    <w:rsid w:val="5B6E3D0E"/>
    <w:rsid w:val="5B70610D"/>
    <w:rsid w:val="5B797184"/>
    <w:rsid w:val="5B832933"/>
    <w:rsid w:val="5B90233A"/>
    <w:rsid w:val="5B9444F1"/>
    <w:rsid w:val="5BA34735"/>
    <w:rsid w:val="5BAA7871"/>
    <w:rsid w:val="5BAF1698"/>
    <w:rsid w:val="5BB10966"/>
    <w:rsid w:val="5BC26F1D"/>
    <w:rsid w:val="5BE03946"/>
    <w:rsid w:val="5BE03DFD"/>
    <w:rsid w:val="5BE03F53"/>
    <w:rsid w:val="5BE2177F"/>
    <w:rsid w:val="5BF46D3E"/>
    <w:rsid w:val="5BFB0F91"/>
    <w:rsid w:val="5BFD02E9"/>
    <w:rsid w:val="5C0056E3"/>
    <w:rsid w:val="5C0165EE"/>
    <w:rsid w:val="5C0D7E00"/>
    <w:rsid w:val="5C2D3FFE"/>
    <w:rsid w:val="5C4A6EBD"/>
    <w:rsid w:val="5C593045"/>
    <w:rsid w:val="5C6456FA"/>
    <w:rsid w:val="5C675F64"/>
    <w:rsid w:val="5C7A1AF0"/>
    <w:rsid w:val="5C8207EE"/>
    <w:rsid w:val="5C884D70"/>
    <w:rsid w:val="5CA40764"/>
    <w:rsid w:val="5CAD56DE"/>
    <w:rsid w:val="5CBD1826"/>
    <w:rsid w:val="5CBE4789"/>
    <w:rsid w:val="5CCC7FDA"/>
    <w:rsid w:val="5CEA265F"/>
    <w:rsid w:val="5CF835E1"/>
    <w:rsid w:val="5CF87E56"/>
    <w:rsid w:val="5CFF599B"/>
    <w:rsid w:val="5D021F44"/>
    <w:rsid w:val="5D131DEC"/>
    <w:rsid w:val="5D1657A5"/>
    <w:rsid w:val="5D177188"/>
    <w:rsid w:val="5D1D4706"/>
    <w:rsid w:val="5D375134"/>
    <w:rsid w:val="5D3C6BEF"/>
    <w:rsid w:val="5D4930BA"/>
    <w:rsid w:val="5D536532"/>
    <w:rsid w:val="5D56516F"/>
    <w:rsid w:val="5D600B2F"/>
    <w:rsid w:val="5D6E13C2"/>
    <w:rsid w:val="5D777C27"/>
    <w:rsid w:val="5D7D0756"/>
    <w:rsid w:val="5D81322B"/>
    <w:rsid w:val="5DA36C6E"/>
    <w:rsid w:val="5DB604EF"/>
    <w:rsid w:val="5DC7295C"/>
    <w:rsid w:val="5DD230AF"/>
    <w:rsid w:val="5DD35FEC"/>
    <w:rsid w:val="5DE10F52"/>
    <w:rsid w:val="5E0771FD"/>
    <w:rsid w:val="5E1156B4"/>
    <w:rsid w:val="5E2A6DDA"/>
    <w:rsid w:val="5E2F405E"/>
    <w:rsid w:val="5E367AA6"/>
    <w:rsid w:val="5E3B1F4A"/>
    <w:rsid w:val="5E5339C9"/>
    <w:rsid w:val="5E817716"/>
    <w:rsid w:val="5E850E47"/>
    <w:rsid w:val="5E9052E0"/>
    <w:rsid w:val="5E940365"/>
    <w:rsid w:val="5E9B5B97"/>
    <w:rsid w:val="5E9F5687"/>
    <w:rsid w:val="5EB355B1"/>
    <w:rsid w:val="5EBB7B16"/>
    <w:rsid w:val="5EBE53E1"/>
    <w:rsid w:val="5EE4760E"/>
    <w:rsid w:val="5EE501F4"/>
    <w:rsid w:val="5EE96902"/>
    <w:rsid w:val="5EED54EE"/>
    <w:rsid w:val="5EED78F8"/>
    <w:rsid w:val="5EFD386E"/>
    <w:rsid w:val="5F096FA4"/>
    <w:rsid w:val="5F166FCB"/>
    <w:rsid w:val="5F2038A6"/>
    <w:rsid w:val="5F361CC5"/>
    <w:rsid w:val="5F385194"/>
    <w:rsid w:val="5F4104EC"/>
    <w:rsid w:val="5F4171BF"/>
    <w:rsid w:val="5F530220"/>
    <w:rsid w:val="5F597C2E"/>
    <w:rsid w:val="5F5E6307"/>
    <w:rsid w:val="5F702B80"/>
    <w:rsid w:val="5F8C3830"/>
    <w:rsid w:val="5F944AC0"/>
    <w:rsid w:val="5FA95B59"/>
    <w:rsid w:val="5FA97E40"/>
    <w:rsid w:val="5FAB005C"/>
    <w:rsid w:val="5FAB6E90"/>
    <w:rsid w:val="5FBE38EB"/>
    <w:rsid w:val="5FC058B5"/>
    <w:rsid w:val="5FC71002"/>
    <w:rsid w:val="5FD2383A"/>
    <w:rsid w:val="5FD71754"/>
    <w:rsid w:val="5FDF2E2D"/>
    <w:rsid w:val="5FE9183C"/>
    <w:rsid w:val="60220673"/>
    <w:rsid w:val="604C0296"/>
    <w:rsid w:val="60584EDD"/>
    <w:rsid w:val="60673F83"/>
    <w:rsid w:val="606A07CF"/>
    <w:rsid w:val="606A43FD"/>
    <w:rsid w:val="606D5311"/>
    <w:rsid w:val="606F4BE5"/>
    <w:rsid w:val="608F2EE0"/>
    <w:rsid w:val="60A02D52"/>
    <w:rsid w:val="60B976FA"/>
    <w:rsid w:val="60BA5B3E"/>
    <w:rsid w:val="60C266AE"/>
    <w:rsid w:val="60C72C73"/>
    <w:rsid w:val="60F15F42"/>
    <w:rsid w:val="610955F8"/>
    <w:rsid w:val="610E20BF"/>
    <w:rsid w:val="61321620"/>
    <w:rsid w:val="613305F1"/>
    <w:rsid w:val="61621785"/>
    <w:rsid w:val="6166423A"/>
    <w:rsid w:val="616C3C1C"/>
    <w:rsid w:val="617726C6"/>
    <w:rsid w:val="61774699"/>
    <w:rsid w:val="61840466"/>
    <w:rsid w:val="61845987"/>
    <w:rsid w:val="618943CD"/>
    <w:rsid w:val="618B18EB"/>
    <w:rsid w:val="6195253A"/>
    <w:rsid w:val="619E2070"/>
    <w:rsid w:val="61AB4268"/>
    <w:rsid w:val="61CB22EF"/>
    <w:rsid w:val="61D07906"/>
    <w:rsid w:val="61D76EE6"/>
    <w:rsid w:val="61DE0274"/>
    <w:rsid w:val="61E56B50"/>
    <w:rsid w:val="61E810F3"/>
    <w:rsid w:val="621C0D9D"/>
    <w:rsid w:val="62326812"/>
    <w:rsid w:val="62351AD2"/>
    <w:rsid w:val="624721A3"/>
    <w:rsid w:val="624C0FA9"/>
    <w:rsid w:val="624F7555"/>
    <w:rsid w:val="62830580"/>
    <w:rsid w:val="62922E0D"/>
    <w:rsid w:val="62A414BE"/>
    <w:rsid w:val="62B32A87"/>
    <w:rsid w:val="62BA6FF8"/>
    <w:rsid w:val="62BE1E54"/>
    <w:rsid w:val="62E23D94"/>
    <w:rsid w:val="62EF64B1"/>
    <w:rsid w:val="62F15D85"/>
    <w:rsid w:val="630A5099"/>
    <w:rsid w:val="630C0E11"/>
    <w:rsid w:val="630F445E"/>
    <w:rsid w:val="63110158"/>
    <w:rsid w:val="631635DE"/>
    <w:rsid w:val="631A1780"/>
    <w:rsid w:val="63515837"/>
    <w:rsid w:val="635A392B"/>
    <w:rsid w:val="63640C4D"/>
    <w:rsid w:val="638212F8"/>
    <w:rsid w:val="6383157C"/>
    <w:rsid w:val="639251CD"/>
    <w:rsid w:val="63966A86"/>
    <w:rsid w:val="639A01CB"/>
    <w:rsid w:val="63A70B3A"/>
    <w:rsid w:val="63B23767"/>
    <w:rsid w:val="63B23B57"/>
    <w:rsid w:val="63CD4612"/>
    <w:rsid w:val="63D95197"/>
    <w:rsid w:val="63DD4261"/>
    <w:rsid w:val="63DE6D17"/>
    <w:rsid w:val="63F3219A"/>
    <w:rsid w:val="63FE35C9"/>
    <w:rsid w:val="64051686"/>
    <w:rsid w:val="64060882"/>
    <w:rsid w:val="640B2968"/>
    <w:rsid w:val="640B7B64"/>
    <w:rsid w:val="6424218B"/>
    <w:rsid w:val="642C4DA4"/>
    <w:rsid w:val="64343D98"/>
    <w:rsid w:val="64692753"/>
    <w:rsid w:val="6477666E"/>
    <w:rsid w:val="647A0A1F"/>
    <w:rsid w:val="647C5B23"/>
    <w:rsid w:val="648275DD"/>
    <w:rsid w:val="648876AC"/>
    <w:rsid w:val="648C760F"/>
    <w:rsid w:val="649E3CEB"/>
    <w:rsid w:val="64A65108"/>
    <w:rsid w:val="64AE2F0B"/>
    <w:rsid w:val="650B22A4"/>
    <w:rsid w:val="65182706"/>
    <w:rsid w:val="652F1DFE"/>
    <w:rsid w:val="65365DA2"/>
    <w:rsid w:val="65472967"/>
    <w:rsid w:val="65554CF2"/>
    <w:rsid w:val="655645C6"/>
    <w:rsid w:val="655A5E64"/>
    <w:rsid w:val="65651238"/>
    <w:rsid w:val="656945DF"/>
    <w:rsid w:val="656D7B2F"/>
    <w:rsid w:val="657203A4"/>
    <w:rsid w:val="65766A16"/>
    <w:rsid w:val="657D309C"/>
    <w:rsid w:val="65836BEF"/>
    <w:rsid w:val="658E5B0E"/>
    <w:rsid w:val="658F44F0"/>
    <w:rsid w:val="65931C55"/>
    <w:rsid w:val="659C6C56"/>
    <w:rsid w:val="659D21F5"/>
    <w:rsid w:val="65A40299"/>
    <w:rsid w:val="65B16CAA"/>
    <w:rsid w:val="65B732B6"/>
    <w:rsid w:val="65C854C3"/>
    <w:rsid w:val="65D265DC"/>
    <w:rsid w:val="6603474E"/>
    <w:rsid w:val="66034855"/>
    <w:rsid w:val="66304D1D"/>
    <w:rsid w:val="663A7A43"/>
    <w:rsid w:val="66560D21"/>
    <w:rsid w:val="665D559D"/>
    <w:rsid w:val="66660838"/>
    <w:rsid w:val="66707909"/>
    <w:rsid w:val="667207A9"/>
    <w:rsid w:val="667473F9"/>
    <w:rsid w:val="66831415"/>
    <w:rsid w:val="6695111E"/>
    <w:rsid w:val="66B624F6"/>
    <w:rsid w:val="66B74A17"/>
    <w:rsid w:val="66B9305E"/>
    <w:rsid w:val="66C915D5"/>
    <w:rsid w:val="66CC2D91"/>
    <w:rsid w:val="66D47E98"/>
    <w:rsid w:val="66D87988"/>
    <w:rsid w:val="66DB1226"/>
    <w:rsid w:val="66EB4E5F"/>
    <w:rsid w:val="66F14791"/>
    <w:rsid w:val="66F905F9"/>
    <w:rsid w:val="66FB2088"/>
    <w:rsid w:val="66FD119D"/>
    <w:rsid w:val="67065B78"/>
    <w:rsid w:val="671518D1"/>
    <w:rsid w:val="6723497B"/>
    <w:rsid w:val="672E23CE"/>
    <w:rsid w:val="675239A5"/>
    <w:rsid w:val="675C16E3"/>
    <w:rsid w:val="67683702"/>
    <w:rsid w:val="677032E6"/>
    <w:rsid w:val="677B47B7"/>
    <w:rsid w:val="678208A6"/>
    <w:rsid w:val="67852F7C"/>
    <w:rsid w:val="679C36AB"/>
    <w:rsid w:val="679D028A"/>
    <w:rsid w:val="67A07D7A"/>
    <w:rsid w:val="67B730B4"/>
    <w:rsid w:val="67BA58C2"/>
    <w:rsid w:val="67BC0D99"/>
    <w:rsid w:val="67BE5C2E"/>
    <w:rsid w:val="67D5209E"/>
    <w:rsid w:val="67D52E66"/>
    <w:rsid w:val="67D56DB1"/>
    <w:rsid w:val="67D77C40"/>
    <w:rsid w:val="67E63842"/>
    <w:rsid w:val="67E9483E"/>
    <w:rsid w:val="67F72A09"/>
    <w:rsid w:val="68006DCC"/>
    <w:rsid w:val="68014CBD"/>
    <w:rsid w:val="68093B71"/>
    <w:rsid w:val="680A1B2B"/>
    <w:rsid w:val="681349F0"/>
    <w:rsid w:val="681C38A5"/>
    <w:rsid w:val="681E045A"/>
    <w:rsid w:val="682269E1"/>
    <w:rsid w:val="682D3D04"/>
    <w:rsid w:val="68324E76"/>
    <w:rsid w:val="68330BEE"/>
    <w:rsid w:val="68331321"/>
    <w:rsid w:val="68376930"/>
    <w:rsid w:val="68420E31"/>
    <w:rsid w:val="684701E9"/>
    <w:rsid w:val="684A6664"/>
    <w:rsid w:val="68541290"/>
    <w:rsid w:val="68617509"/>
    <w:rsid w:val="68774F7F"/>
    <w:rsid w:val="688F051A"/>
    <w:rsid w:val="688F22C8"/>
    <w:rsid w:val="68A07624"/>
    <w:rsid w:val="68A51AEC"/>
    <w:rsid w:val="68A92592"/>
    <w:rsid w:val="68C602A6"/>
    <w:rsid w:val="68C85D70"/>
    <w:rsid w:val="68CD7930"/>
    <w:rsid w:val="68D365F6"/>
    <w:rsid w:val="68D979E8"/>
    <w:rsid w:val="68E1689C"/>
    <w:rsid w:val="68E5013A"/>
    <w:rsid w:val="68E85E7D"/>
    <w:rsid w:val="68EB2FAD"/>
    <w:rsid w:val="68F16A25"/>
    <w:rsid w:val="68FA4735"/>
    <w:rsid w:val="690D068B"/>
    <w:rsid w:val="692045B1"/>
    <w:rsid w:val="69205368"/>
    <w:rsid w:val="6935689F"/>
    <w:rsid w:val="69392234"/>
    <w:rsid w:val="69456C9D"/>
    <w:rsid w:val="694802B5"/>
    <w:rsid w:val="6949204C"/>
    <w:rsid w:val="695166AE"/>
    <w:rsid w:val="69526202"/>
    <w:rsid w:val="69584DB0"/>
    <w:rsid w:val="695B03FD"/>
    <w:rsid w:val="69633C19"/>
    <w:rsid w:val="697430F8"/>
    <w:rsid w:val="69861FB1"/>
    <w:rsid w:val="698C0CB5"/>
    <w:rsid w:val="69A8231F"/>
    <w:rsid w:val="69AC2A06"/>
    <w:rsid w:val="69AF24F6"/>
    <w:rsid w:val="69B01F76"/>
    <w:rsid w:val="69D374C7"/>
    <w:rsid w:val="69EF47D1"/>
    <w:rsid w:val="6A0B61E6"/>
    <w:rsid w:val="6A1A2066"/>
    <w:rsid w:val="6A314079"/>
    <w:rsid w:val="6A3D5D54"/>
    <w:rsid w:val="6A482C32"/>
    <w:rsid w:val="6A4B1D98"/>
    <w:rsid w:val="6A521800"/>
    <w:rsid w:val="6A681023"/>
    <w:rsid w:val="6A7066BC"/>
    <w:rsid w:val="6A707ED8"/>
    <w:rsid w:val="6A710B3B"/>
    <w:rsid w:val="6A7B707A"/>
    <w:rsid w:val="6A8D0AD8"/>
    <w:rsid w:val="6A8F2113"/>
    <w:rsid w:val="6AA809AB"/>
    <w:rsid w:val="6AAE3674"/>
    <w:rsid w:val="6ABE7492"/>
    <w:rsid w:val="6AC559FB"/>
    <w:rsid w:val="6AE83F12"/>
    <w:rsid w:val="6AEA7C8A"/>
    <w:rsid w:val="6AEF3445"/>
    <w:rsid w:val="6B136F68"/>
    <w:rsid w:val="6B1536D9"/>
    <w:rsid w:val="6B1B7A7D"/>
    <w:rsid w:val="6B2214DD"/>
    <w:rsid w:val="6B2B475D"/>
    <w:rsid w:val="6B3233DF"/>
    <w:rsid w:val="6B3C37B0"/>
    <w:rsid w:val="6B3F6E71"/>
    <w:rsid w:val="6B655563"/>
    <w:rsid w:val="6B6E0B89"/>
    <w:rsid w:val="6B6E5904"/>
    <w:rsid w:val="6B715721"/>
    <w:rsid w:val="6B7D5AB5"/>
    <w:rsid w:val="6B8F4200"/>
    <w:rsid w:val="6BA240C1"/>
    <w:rsid w:val="6BA442DD"/>
    <w:rsid w:val="6BA63592"/>
    <w:rsid w:val="6BA75796"/>
    <w:rsid w:val="6BA844F1"/>
    <w:rsid w:val="6BAB3291"/>
    <w:rsid w:val="6BB87908"/>
    <w:rsid w:val="6BC2217D"/>
    <w:rsid w:val="6BCC2562"/>
    <w:rsid w:val="6BF350C3"/>
    <w:rsid w:val="6BFA214F"/>
    <w:rsid w:val="6BFA647E"/>
    <w:rsid w:val="6C046B2A"/>
    <w:rsid w:val="6C060AF4"/>
    <w:rsid w:val="6C0905E4"/>
    <w:rsid w:val="6C096518"/>
    <w:rsid w:val="6C204BAE"/>
    <w:rsid w:val="6C223454"/>
    <w:rsid w:val="6C272818"/>
    <w:rsid w:val="6C296590"/>
    <w:rsid w:val="6C3456CA"/>
    <w:rsid w:val="6C3F4006"/>
    <w:rsid w:val="6C3F5B5B"/>
    <w:rsid w:val="6C465394"/>
    <w:rsid w:val="6C5850C7"/>
    <w:rsid w:val="6C5B6CF3"/>
    <w:rsid w:val="6C6B1CC8"/>
    <w:rsid w:val="6C6E2EE4"/>
    <w:rsid w:val="6C8163CC"/>
    <w:rsid w:val="6C940066"/>
    <w:rsid w:val="6C9711BF"/>
    <w:rsid w:val="6CB26586"/>
    <w:rsid w:val="6CB9507A"/>
    <w:rsid w:val="6CBA6FC6"/>
    <w:rsid w:val="6CC255F8"/>
    <w:rsid w:val="6CCB6A0D"/>
    <w:rsid w:val="6CF27E66"/>
    <w:rsid w:val="6CFE67A0"/>
    <w:rsid w:val="6D0F4B8C"/>
    <w:rsid w:val="6D164A47"/>
    <w:rsid w:val="6D1D1436"/>
    <w:rsid w:val="6D244CF1"/>
    <w:rsid w:val="6D321CCA"/>
    <w:rsid w:val="6D3F7421"/>
    <w:rsid w:val="6D5A3E52"/>
    <w:rsid w:val="6D731CD3"/>
    <w:rsid w:val="6D8141AA"/>
    <w:rsid w:val="6D915BFB"/>
    <w:rsid w:val="6D9524B7"/>
    <w:rsid w:val="6D9B170F"/>
    <w:rsid w:val="6DB12CE1"/>
    <w:rsid w:val="6DB154D4"/>
    <w:rsid w:val="6DB34643"/>
    <w:rsid w:val="6DB90518"/>
    <w:rsid w:val="6DB91B96"/>
    <w:rsid w:val="6DDB09D1"/>
    <w:rsid w:val="6DDE1F78"/>
    <w:rsid w:val="6DE83117"/>
    <w:rsid w:val="6DF42BCE"/>
    <w:rsid w:val="6DF56896"/>
    <w:rsid w:val="6E094AA8"/>
    <w:rsid w:val="6E0A7D76"/>
    <w:rsid w:val="6E0E0133"/>
    <w:rsid w:val="6E125DAB"/>
    <w:rsid w:val="6E2435F0"/>
    <w:rsid w:val="6E337B9A"/>
    <w:rsid w:val="6E3E4091"/>
    <w:rsid w:val="6E407BC1"/>
    <w:rsid w:val="6E4E4603"/>
    <w:rsid w:val="6E5972AF"/>
    <w:rsid w:val="6E656CE4"/>
    <w:rsid w:val="6E7066F8"/>
    <w:rsid w:val="6E731506"/>
    <w:rsid w:val="6E7857A4"/>
    <w:rsid w:val="6E8201DA"/>
    <w:rsid w:val="6E8B1784"/>
    <w:rsid w:val="6E8E3022"/>
    <w:rsid w:val="6EA66EDE"/>
    <w:rsid w:val="6EA75E92"/>
    <w:rsid w:val="6EC349CC"/>
    <w:rsid w:val="6ED36051"/>
    <w:rsid w:val="6ED84BAD"/>
    <w:rsid w:val="6F023A4D"/>
    <w:rsid w:val="6F034B29"/>
    <w:rsid w:val="6F035B34"/>
    <w:rsid w:val="6F0B6421"/>
    <w:rsid w:val="6F0F266E"/>
    <w:rsid w:val="6F0F4163"/>
    <w:rsid w:val="6F233100"/>
    <w:rsid w:val="6F40598D"/>
    <w:rsid w:val="6F5B73A8"/>
    <w:rsid w:val="6F614293"/>
    <w:rsid w:val="6F6F69B0"/>
    <w:rsid w:val="6F7256A9"/>
    <w:rsid w:val="6F887A72"/>
    <w:rsid w:val="6F8A5598"/>
    <w:rsid w:val="6F8D5088"/>
    <w:rsid w:val="6F984159"/>
    <w:rsid w:val="6FA128AB"/>
    <w:rsid w:val="6FA53B61"/>
    <w:rsid w:val="6FB95E7D"/>
    <w:rsid w:val="6FC9530E"/>
    <w:rsid w:val="6FD743DA"/>
    <w:rsid w:val="6FEB0909"/>
    <w:rsid w:val="6FEF5D43"/>
    <w:rsid w:val="70001CFE"/>
    <w:rsid w:val="70011DF9"/>
    <w:rsid w:val="700E501F"/>
    <w:rsid w:val="7019691C"/>
    <w:rsid w:val="701D01BA"/>
    <w:rsid w:val="702C2AF3"/>
    <w:rsid w:val="70311EB7"/>
    <w:rsid w:val="703613FC"/>
    <w:rsid w:val="70383246"/>
    <w:rsid w:val="703C1AB2"/>
    <w:rsid w:val="70595CF8"/>
    <w:rsid w:val="70657DB3"/>
    <w:rsid w:val="70755433"/>
    <w:rsid w:val="70A22DB5"/>
    <w:rsid w:val="70BA00FF"/>
    <w:rsid w:val="70BC135A"/>
    <w:rsid w:val="70BC1E54"/>
    <w:rsid w:val="70C525FF"/>
    <w:rsid w:val="70E80E9C"/>
    <w:rsid w:val="70F01D72"/>
    <w:rsid w:val="70F52EE5"/>
    <w:rsid w:val="71125845"/>
    <w:rsid w:val="71193077"/>
    <w:rsid w:val="71366A12"/>
    <w:rsid w:val="714200A7"/>
    <w:rsid w:val="714B10AF"/>
    <w:rsid w:val="714F6A99"/>
    <w:rsid w:val="716F2C97"/>
    <w:rsid w:val="71711276"/>
    <w:rsid w:val="71722787"/>
    <w:rsid w:val="717927D7"/>
    <w:rsid w:val="7185744C"/>
    <w:rsid w:val="718819FB"/>
    <w:rsid w:val="71883D59"/>
    <w:rsid w:val="719243CD"/>
    <w:rsid w:val="71932495"/>
    <w:rsid w:val="71961CC1"/>
    <w:rsid w:val="71A072F4"/>
    <w:rsid w:val="71A45ADA"/>
    <w:rsid w:val="71A953B8"/>
    <w:rsid w:val="71C45802"/>
    <w:rsid w:val="71D46F10"/>
    <w:rsid w:val="71D60F68"/>
    <w:rsid w:val="71D6268C"/>
    <w:rsid w:val="71DE0C55"/>
    <w:rsid w:val="71E43E3A"/>
    <w:rsid w:val="720158B9"/>
    <w:rsid w:val="720C6430"/>
    <w:rsid w:val="7212161B"/>
    <w:rsid w:val="72314575"/>
    <w:rsid w:val="7231619E"/>
    <w:rsid w:val="723A5E1B"/>
    <w:rsid w:val="725105EF"/>
    <w:rsid w:val="725370F4"/>
    <w:rsid w:val="72676064"/>
    <w:rsid w:val="72742E58"/>
    <w:rsid w:val="727702A3"/>
    <w:rsid w:val="727F35F8"/>
    <w:rsid w:val="728F11F8"/>
    <w:rsid w:val="72B03607"/>
    <w:rsid w:val="72BB1F0C"/>
    <w:rsid w:val="72BC0A29"/>
    <w:rsid w:val="72C139C6"/>
    <w:rsid w:val="72C57DB1"/>
    <w:rsid w:val="72C8090E"/>
    <w:rsid w:val="72D8486C"/>
    <w:rsid w:val="72EE2836"/>
    <w:rsid w:val="72F52036"/>
    <w:rsid w:val="72F53670"/>
    <w:rsid w:val="730E64E0"/>
    <w:rsid w:val="730F143C"/>
    <w:rsid w:val="73166B77"/>
    <w:rsid w:val="73173BA2"/>
    <w:rsid w:val="731A53EC"/>
    <w:rsid w:val="731C7E47"/>
    <w:rsid w:val="7321769C"/>
    <w:rsid w:val="73237C79"/>
    <w:rsid w:val="7327134F"/>
    <w:rsid w:val="732775A1"/>
    <w:rsid w:val="733069A2"/>
    <w:rsid w:val="73337CF4"/>
    <w:rsid w:val="733817AF"/>
    <w:rsid w:val="733B127E"/>
    <w:rsid w:val="73465905"/>
    <w:rsid w:val="73674927"/>
    <w:rsid w:val="73675312"/>
    <w:rsid w:val="73685BF0"/>
    <w:rsid w:val="736D76AA"/>
    <w:rsid w:val="737F73DD"/>
    <w:rsid w:val="738549F4"/>
    <w:rsid w:val="73894987"/>
    <w:rsid w:val="73900965"/>
    <w:rsid w:val="739911A4"/>
    <w:rsid w:val="73AB3103"/>
    <w:rsid w:val="73AE23C8"/>
    <w:rsid w:val="73C34A2A"/>
    <w:rsid w:val="73D16280"/>
    <w:rsid w:val="73D634A1"/>
    <w:rsid w:val="7400407A"/>
    <w:rsid w:val="74082F2F"/>
    <w:rsid w:val="740D49E9"/>
    <w:rsid w:val="742F2BB2"/>
    <w:rsid w:val="743D41D8"/>
    <w:rsid w:val="743D54D0"/>
    <w:rsid w:val="74413BD9"/>
    <w:rsid w:val="744C75DE"/>
    <w:rsid w:val="745A5CA2"/>
    <w:rsid w:val="746A0E97"/>
    <w:rsid w:val="746F5B0A"/>
    <w:rsid w:val="747B12F7"/>
    <w:rsid w:val="74833266"/>
    <w:rsid w:val="74844CAB"/>
    <w:rsid w:val="74884070"/>
    <w:rsid w:val="74956EB9"/>
    <w:rsid w:val="749F57D2"/>
    <w:rsid w:val="749F690F"/>
    <w:rsid w:val="74A27FAF"/>
    <w:rsid w:val="74A92964"/>
    <w:rsid w:val="74B530B7"/>
    <w:rsid w:val="74BD05B1"/>
    <w:rsid w:val="74BE7A92"/>
    <w:rsid w:val="74C90910"/>
    <w:rsid w:val="74D81A74"/>
    <w:rsid w:val="74DA5EBE"/>
    <w:rsid w:val="74E7348C"/>
    <w:rsid w:val="750E65FE"/>
    <w:rsid w:val="752B2C4F"/>
    <w:rsid w:val="75320367"/>
    <w:rsid w:val="753A180E"/>
    <w:rsid w:val="753A35BC"/>
    <w:rsid w:val="754206C3"/>
    <w:rsid w:val="75491A51"/>
    <w:rsid w:val="754D2CE8"/>
    <w:rsid w:val="75795551"/>
    <w:rsid w:val="75840CDB"/>
    <w:rsid w:val="75846F2D"/>
    <w:rsid w:val="75863855"/>
    <w:rsid w:val="75892C99"/>
    <w:rsid w:val="75994786"/>
    <w:rsid w:val="75A1363B"/>
    <w:rsid w:val="75C6181F"/>
    <w:rsid w:val="75E023B5"/>
    <w:rsid w:val="75E47104"/>
    <w:rsid w:val="75E63744"/>
    <w:rsid w:val="760342F6"/>
    <w:rsid w:val="760616F0"/>
    <w:rsid w:val="760C31AA"/>
    <w:rsid w:val="760D6988"/>
    <w:rsid w:val="76137733"/>
    <w:rsid w:val="761A6C35"/>
    <w:rsid w:val="762073BA"/>
    <w:rsid w:val="762229CE"/>
    <w:rsid w:val="76456D5B"/>
    <w:rsid w:val="764C17F9"/>
    <w:rsid w:val="766A60F6"/>
    <w:rsid w:val="766C1E9B"/>
    <w:rsid w:val="76732A30"/>
    <w:rsid w:val="767E397C"/>
    <w:rsid w:val="7683545B"/>
    <w:rsid w:val="76A07D97"/>
    <w:rsid w:val="76B455F0"/>
    <w:rsid w:val="76C33938"/>
    <w:rsid w:val="76DB074B"/>
    <w:rsid w:val="76E00193"/>
    <w:rsid w:val="76EC08E6"/>
    <w:rsid w:val="76F704CC"/>
    <w:rsid w:val="76F81A07"/>
    <w:rsid w:val="77000835"/>
    <w:rsid w:val="770E66DF"/>
    <w:rsid w:val="77126B74"/>
    <w:rsid w:val="77191A02"/>
    <w:rsid w:val="7735542B"/>
    <w:rsid w:val="773C186D"/>
    <w:rsid w:val="77434D39"/>
    <w:rsid w:val="77440A1D"/>
    <w:rsid w:val="77447348"/>
    <w:rsid w:val="774A01AF"/>
    <w:rsid w:val="774C75D7"/>
    <w:rsid w:val="774E334F"/>
    <w:rsid w:val="77645F27"/>
    <w:rsid w:val="77731977"/>
    <w:rsid w:val="777A3AF4"/>
    <w:rsid w:val="77926176"/>
    <w:rsid w:val="77BC475C"/>
    <w:rsid w:val="77C21B73"/>
    <w:rsid w:val="77DF38DB"/>
    <w:rsid w:val="77E03119"/>
    <w:rsid w:val="77EE1625"/>
    <w:rsid w:val="78146346"/>
    <w:rsid w:val="782567A5"/>
    <w:rsid w:val="7834286B"/>
    <w:rsid w:val="78347EE4"/>
    <w:rsid w:val="783C7D99"/>
    <w:rsid w:val="78656F5C"/>
    <w:rsid w:val="78664DAD"/>
    <w:rsid w:val="786701EE"/>
    <w:rsid w:val="78727BCE"/>
    <w:rsid w:val="787B4617"/>
    <w:rsid w:val="789440B8"/>
    <w:rsid w:val="78994790"/>
    <w:rsid w:val="78B33E38"/>
    <w:rsid w:val="78B47B29"/>
    <w:rsid w:val="78B8411A"/>
    <w:rsid w:val="78CC4EE5"/>
    <w:rsid w:val="78D6203C"/>
    <w:rsid w:val="78E8332F"/>
    <w:rsid w:val="78F53219"/>
    <w:rsid w:val="78F918AC"/>
    <w:rsid w:val="79111943"/>
    <w:rsid w:val="79165A50"/>
    <w:rsid w:val="79166EE9"/>
    <w:rsid w:val="79183C14"/>
    <w:rsid w:val="79184FD6"/>
    <w:rsid w:val="791D747D"/>
    <w:rsid w:val="791E2C16"/>
    <w:rsid w:val="791F3EF0"/>
    <w:rsid w:val="79243F70"/>
    <w:rsid w:val="792702FB"/>
    <w:rsid w:val="7934083B"/>
    <w:rsid w:val="794013BD"/>
    <w:rsid w:val="794A1027"/>
    <w:rsid w:val="794E5888"/>
    <w:rsid w:val="795732A9"/>
    <w:rsid w:val="79585DBD"/>
    <w:rsid w:val="79661E25"/>
    <w:rsid w:val="79686A48"/>
    <w:rsid w:val="79691563"/>
    <w:rsid w:val="796D7C90"/>
    <w:rsid w:val="7972616C"/>
    <w:rsid w:val="797D21DF"/>
    <w:rsid w:val="7984574E"/>
    <w:rsid w:val="79AC38BD"/>
    <w:rsid w:val="79BA2377"/>
    <w:rsid w:val="79C45B4A"/>
    <w:rsid w:val="79D26947"/>
    <w:rsid w:val="79D30B16"/>
    <w:rsid w:val="79D67F70"/>
    <w:rsid w:val="79DA608C"/>
    <w:rsid w:val="79DC1538"/>
    <w:rsid w:val="79FC7092"/>
    <w:rsid w:val="79FD4854"/>
    <w:rsid w:val="7A015220"/>
    <w:rsid w:val="7A052022"/>
    <w:rsid w:val="7A0B162F"/>
    <w:rsid w:val="7A0F030A"/>
    <w:rsid w:val="7A1363BA"/>
    <w:rsid w:val="7A163991"/>
    <w:rsid w:val="7A1F54E3"/>
    <w:rsid w:val="7A29134A"/>
    <w:rsid w:val="7A3018D3"/>
    <w:rsid w:val="7A3D46FA"/>
    <w:rsid w:val="7A410F49"/>
    <w:rsid w:val="7A4B0019"/>
    <w:rsid w:val="7A557414"/>
    <w:rsid w:val="7A666C01"/>
    <w:rsid w:val="7A707A80"/>
    <w:rsid w:val="7A7159D2"/>
    <w:rsid w:val="7A765096"/>
    <w:rsid w:val="7A797FE0"/>
    <w:rsid w:val="7A7C6425"/>
    <w:rsid w:val="7A85177D"/>
    <w:rsid w:val="7A947AA1"/>
    <w:rsid w:val="7AA531E4"/>
    <w:rsid w:val="7AB45C76"/>
    <w:rsid w:val="7AC55B83"/>
    <w:rsid w:val="7ADB657C"/>
    <w:rsid w:val="7AE37E1D"/>
    <w:rsid w:val="7AED2E7F"/>
    <w:rsid w:val="7AF209A4"/>
    <w:rsid w:val="7B03648C"/>
    <w:rsid w:val="7B0E1773"/>
    <w:rsid w:val="7B1164BF"/>
    <w:rsid w:val="7B170355"/>
    <w:rsid w:val="7B1907E1"/>
    <w:rsid w:val="7B295E32"/>
    <w:rsid w:val="7B2D7DC5"/>
    <w:rsid w:val="7B4A02D1"/>
    <w:rsid w:val="7B4F7695"/>
    <w:rsid w:val="7B6169A1"/>
    <w:rsid w:val="7B734ACE"/>
    <w:rsid w:val="7B767A48"/>
    <w:rsid w:val="7B7961EA"/>
    <w:rsid w:val="7B7A552C"/>
    <w:rsid w:val="7B84497A"/>
    <w:rsid w:val="7BA37D8F"/>
    <w:rsid w:val="7BA479E1"/>
    <w:rsid w:val="7BBD0AA3"/>
    <w:rsid w:val="7BD03D0D"/>
    <w:rsid w:val="7BDC6B23"/>
    <w:rsid w:val="7BFB1BA9"/>
    <w:rsid w:val="7BFF31FD"/>
    <w:rsid w:val="7C082990"/>
    <w:rsid w:val="7C38637B"/>
    <w:rsid w:val="7C3A12F7"/>
    <w:rsid w:val="7C403335"/>
    <w:rsid w:val="7C484810"/>
    <w:rsid w:val="7C492357"/>
    <w:rsid w:val="7C4A1334"/>
    <w:rsid w:val="7C51460E"/>
    <w:rsid w:val="7C66738C"/>
    <w:rsid w:val="7C8620C8"/>
    <w:rsid w:val="7C8B1B67"/>
    <w:rsid w:val="7CBB4C0B"/>
    <w:rsid w:val="7CBF7CC6"/>
    <w:rsid w:val="7CD460A4"/>
    <w:rsid w:val="7CD7349E"/>
    <w:rsid w:val="7CDA1F32"/>
    <w:rsid w:val="7CDB7433"/>
    <w:rsid w:val="7CDD07A4"/>
    <w:rsid w:val="7CE22BCF"/>
    <w:rsid w:val="7CEC7892"/>
    <w:rsid w:val="7CEE5CAE"/>
    <w:rsid w:val="7CF44F76"/>
    <w:rsid w:val="7D172435"/>
    <w:rsid w:val="7D1B1F25"/>
    <w:rsid w:val="7D1D4835"/>
    <w:rsid w:val="7D20578D"/>
    <w:rsid w:val="7D225061"/>
    <w:rsid w:val="7D34501F"/>
    <w:rsid w:val="7D423956"/>
    <w:rsid w:val="7D425704"/>
    <w:rsid w:val="7D4D1AA2"/>
    <w:rsid w:val="7D4F7E21"/>
    <w:rsid w:val="7D5E0726"/>
    <w:rsid w:val="7D676F18"/>
    <w:rsid w:val="7D7004C3"/>
    <w:rsid w:val="7D706730"/>
    <w:rsid w:val="7D7C0ABC"/>
    <w:rsid w:val="7D9A5CA0"/>
    <w:rsid w:val="7D9A6F62"/>
    <w:rsid w:val="7DA0067C"/>
    <w:rsid w:val="7DAE5BC9"/>
    <w:rsid w:val="7DC3329E"/>
    <w:rsid w:val="7DC66335"/>
    <w:rsid w:val="7DD65E4C"/>
    <w:rsid w:val="7DE62533"/>
    <w:rsid w:val="7DED7BA6"/>
    <w:rsid w:val="7DF47665"/>
    <w:rsid w:val="7E056733"/>
    <w:rsid w:val="7E062BD5"/>
    <w:rsid w:val="7E064983"/>
    <w:rsid w:val="7E1D3F9D"/>
    <w:rsid w:val="7E3462C4"/>
    <w:rsid w:val="7E401CFF"/>
    <w:rsid w:val="7E4F6ACA"/>
    <w:rsid w:val="7E5971A9"/>
    <w:rsid w:val="7E5D0C4B"/>
    <w:rsid w:val="7E5D7970"/>
    <w:rsid w:val="7E941F8F"/>
    <w:rsid w:val="7E97382D"/>
    <w:rsid w:val="7E9F0934"/>
    <w:rsid w:val="7ED56344"/>
    <w:rsid w:val="7EDF4449"/>
    <w:rsid w:val="7EE31505"/>
    <w:rsid w:val="7EEE7822"/>
    <w:rsid w:val="7EF40368"/>
    <w:rsid w:val="7F0C2D8A"/>
    <w:rsid w:val="7F792F33"/>
    <w:rsid w:val="7F7F1B31"/>
    <w:rsid w:val="7F9400E4"/>
    <w:rsid w:val="7FA02BB5"/>
    <w:rsid w:val="7FA63119"/>
    <w:rsid w:val="7FB87E34"/>
    <w:rsid w:val="7FB954CE"/>
    <w:rsid w:val="7FC543CA"/>
    <w:rsid w:val="7FC55FBE"/>
    <w:rsid w:val="7FC95C68"/>
    <w:rsid w:val="7FCB7C32"/>
    <w:rsid w:val="7FCE626E"/>
    <w:rsid w:val="7FD25455"/>
    <w:rsid w:val="7FE900B8"/>
    <w:rsid w:val="7FEA736A"/>
    <w:rsid w:val="7FF562CE"/>
    <w:rsid w:val="7FF84F60"/>
    <w:rsid w:val="7FFA7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4"/>
      <w:szCs w:val="24"/>
      <w:lang w:val="zh-CN" w:eastAsia="zh-CN" w:bidi="zh-CN"/>
    </w:rPr>
  </w:style>
  <w:style w:type="paragraph" w:styleId="5">
    <w:name w:val="heading 1"/>
    <w:basedOn w:val="1"/>
    <w:next w:val="1"/>
    <w:qFormat/>
    <w:uiPriority w:val="1"/>
    <w:pPr>
      <w:ind w:left="2353" w:right="2356"/>
      <w:jc w:val="center"/>
      <w:outlineLvl w:val="0"/>
    </w:pPr>
    <w:rPr>
      <w:rFonts w:ascii="微软雅黑" w:hAnsi="微软雅黑" w:eastAsia="微软雅黑" w:cs="微软雅黑"/>
      <w:sz w:val="38"/>
      <w:szCs w:val="38"/>
    </w:rPr>
  </w:style>
  <w:style w:type="paragraph" w:styleId="6">
    <w:name w:val="heading 2"/>
    <w:basedOn w:val="1"/>
    <w:next w:val="1"/>
    <w:qFormat/>
    <w:uiPriority w:val="1"/>
    <w:pPr>
      <w:ind w:left="635" w:right="654"/>
      <w:jc w:val="center"/>
      <w:outlineLvl w:val="1"/>
    </w:pPr>
    <w:rPr>
      <w:rFonts w:ascii="微软雅黑" w:hAnsi="微软雅黑" w:eastAsia="微软雅黑" w:cs="微软雅黑"/>
      <w:sz w:val="36"/>
      <w:szCs w:val="36"/>
    </w:rPr>
  </w:style>
  <w:style w:type="paragraph" w:styleId="7">
    <w:name w:val="heading 3"/>
    <w:basedOn w:val="1"/>
    <w:next w:val="1"/>
    <w:link w:val="80"/>
    <w:qFormat/>
    <w:uiPriority w:val="1"/>
    <w:pPr>
      <w:ind w:left="1255"/>
      <w:outlineLvl w:val="2"/>
    </w:pPr>
    <w:rPr>
      <w:b/>
      <w:bCs/>
    </w:rPr>
  </w:style>
  <w:style w:type="paragraph" w:styleId="8">
    <w:name w:val="heading 5"/>
    <w:basedOn w:val="1"/>
    <w:next w:val="1"/>
    <w:qFormat/>
    <w:uiPriority w:val="1"/>
    <w:pPr>
      <w:outlineLvl w:val="4"/>
    </w:pPr>
    <w:rPr>
      <w:b/>
      <w:bCs/>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3">
    <w:name w:val="index heading"/>
    <w:basedOn w:val="1"/>
    <w:next w:val="4"/>
    <w:qFormat/>
    <w:uiPriority w:val="0"/>
    <w:rPr>
      <w:bCs/>
    </w:rPr>
  </w:style>
  <w:style w:type="paragraph" w:styleId="4">
    <w:name w:val="index 1"/>
    <w:basedOn w:val="1"/>
    <w:next w:val="1"/>
    <w:qFormat/>
    <w:uiPriority w:val="0"/>
    <w:pPr>
      <w:ind w:left="560" w:hanging="560"/>
      <w:jc w:val="both"/>
    </w:pPr>
    <w:rPr>
      <w:spacing w:val="10"/>
      <w:kern w:val="2"/>
      <w:sz w:val="21"/>
    </w:rPr>
  </w:style>
  <w:style w:type="paragraph" w:styleId="9">
    <w:name w:val="Normal Indent"/>
    <w:basedOn w:val="1"/>
    <w:next w:val="10"/>
    <w:qFormat/>
    <w:uiPriority w:val="0"/>
    <w:pPr>
      <w:adjustRightInd w:val="0"/>
      <w:spacing w:line="480" w:lineRule="atLeast"/>
      <w:ind w:firstLine="420"/>
      <w:textAlignment w:val="baseline"/>
    </w:pPr>
    <w:rPr>
      <w:sz w:val="28"/>
      <w:szCs w:val="20"/>
    </w:rPr>
  </w:style>
  <w:style w:type="paragraph" w:customStyle="1" w:styleId="10">
    <w:name w:val="表头"/>
    <w:basedOn w:val="11"/>
    <w:next w:val="1"/>
    <w:qFormat/>
    <w:uiPriority w:val="0"/>
    <w:pPr>
      <w:spacing w:line="240" w:lineRule="auto"/>
      <w:ind w:firstLine="0" w:firstLineChars="0"/>
      <w:jc w:val="center"/>
      <w:textAlignment w:val="baseline"/>
    </w:pPr>
    <w:rPr>
      <w:b/>
      <w:bCs/>
      <w:sz w:val="21"/>
    </w:rPr>
  </w:style>
  <w:style w:type="paragraph" w:customStyle="1" w:styleId="11">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12">
    <w:name w:val="toa heading"/>
    <w:basedOn w:val="1"/>
    <w:next w:val="1"/>
    <w:unhideWhenUsed/>
    <w:qFormat/>
    <w:uiPriority w:val="99"/>
    <w:pPr>
      <w:spacing w:before="120"/>
    </w:pPr>
    <w:rPr>
      <w:rFonts w:ascii="Arial" w:hAnsi="Arial" w:cs="Arial"/>
    </w:rPr>
  </w:style>
  <w:style w:type="paragraph" w:styleId="13">
    <w:name w:val="annotation text"/>
    <w:basedOn w:val="1"/>
    <w:link w:val="71"/>
    <w:qFormat/>
    <w:uiPriority w:val="0"/>
    <w:rPr>
      <w:szCs w:val="20"/>
    </w:rPr>
  </w:style>
  <w:style w:type="paragraph" w:styleId="14">
    <w:name w:val="Body Text"/>
    <w:basedOn w:val="1"/>
    <w:next w:val="1"/>
    <w:qFormat/>
    <w:uiPriority w:val="1"/>
    <w:rPr>
      <w:rFonts w:ascii="黑体" w:hAnsi="黑体" w:eastAsia="黑体" w:cs="黑体"/>
      <w:sz w:val="30"/>
      <w:szCs w:val="30"/>
    </w:rPr>
  </w:style>
  <w:style w:type="paragraph" w:styleId="15">
    <w:name w:val="Body Text Indent"/>
    <w:basedOn w:val="1"/>
    <w:next w:val="2"/>
    <w:qFormat/>
    <w:uiPriority w:val="0"/>
    <w:pPr>
      <w:spacing w:line="360" w:lineRule="auto"/>
      <w:ind w:firstLine="560" w:firstLineChars="200"/>
      <w:jc w:val="both"/>
    </w:pPr>
    <w:rPr>
      <w:rFonts w:ascii="Times New Roman" w:hAnsi="Times New Roman" w:cs="Times New Roman"/>
    </w:rPr>
  </w:style>
  <w:style w:type="paragraph" w:styleId="16">
    <w:name w:val="List 2"/>
    <w:basedOn w:val="1"/>
    <w:qFormat/>
    <w:uiPriority w:val="0"/>
    <w:pPr>
      <w:ind w:left="100" w:leftChars="200" w:hanging="200" w:hangingChars="200"/>
    </w:pPr>
  </w:style>
  <w:style w:type="paragraph" w:styleId="17">
    <w:name w:val="Plain Text"/>
    <w:basedOn w:val="1"/>
    <w:next w:val="1"/>
    <w:qFormat/>
    <w:uiPriority w:val="0"/>
    <w:pPr>
      <w:ind w:firstLine="200" w:firstLineChars="200"/>
    </w:pPr>
    <w:rPr>
      <w:rFonts w:hAnsi="Courier New"/>
      <w:sz w:val="21"/>
      <w:szCs w:val="20"/>
    </w:rPr>
  </w:style>
  <w:style w:type="paragraph" w:styleId="18">
    <w:name w:val="Body Text Indent 2"/>
    <w:basedOn w:val="1"/>
    <w:qFormat/>
    <w:uiPriority w:val="99"/>
    <w:pPr>
      <w:spacing w:line="360" w:lineRule="auto"/>
      <w:ind w:firstLine="435"/>
    </w:pPr>
    <w:rPr>
      <w:bCs/>
    </w:rPr>
  </w:style>
  <w:style w:type="paragraph" w:styleId="19">
    <w:name w:val="Balloon Text"/>
    <w:basedOn w:val="1"/>
    <w:link w:val="73"/>
    <w:qFormat/>
    <w:uiPriority w:val="0"/>
    <w:rPr>
      <w:sz w:val="18"/>
      <w:szCs w:val="18"/>
    </w:rPr>
  </w:style>
  <w:style w:type="paragraph" w:styleId="20">
    <w:name w:val="footer"/>
    <w:basedOn w:val="1"/>
    <w:qFormat/>
    <w:uiPriority w:val="0"/>
    <w:pPr>
      <w:tabs>
        <w:tab w:val="center" w:pos="4153"/>
        <w:tab w:val="right" w:pos="8306"/>
      </w:tabs>
      <w:snapToGrid w:val="0"/>
    </w:pPr>
    <w:rPr>
      <w:sz w:val="18"/>
    </w:rPr>
  </w:style>
  <w:style w:type="paragraph" w:styleId="21">
    <w:name w:val="toc 1"/>
    <w:basedOn w:val="1"/>
    <w:next w:val="1"/>
    <w:qFormat/>
    <w:uiPriority w:val="1"/>
    <w:pPr>
      <w:spacing w:before="160"/>
      <w:ind w:left="580"/>
    </w:pPr>
  </w:style>
  <w:style w:type="paragraph" w:styleId="22">
    <w:name w:val="Normal (Web)"/>
    <w:basedOn w:val="1"/>
    <w:qFormat/>
    <w:uiPriority w:val="0"/>
    <w:pPr>
      <w:spacing w:beforeAutospacing="1" w:afterAutospacing="1"/>
    </w:pPr>
    <w:rPr>
      <w:rFonts w:cs="Times New Roman"/>
      <w:lang w:val="en-US" w:bidi="ar-SA"/>
    </w:rPr>
  </w:style>
  <w:style w:type="paragraph" w:styleId="23">
    <w:name w:val="annotation subject"/>
    <w:basedOn w:val="13"/>
    <w:next w:val="13"/>
    <w:link w:val="72"/>
    <w:qFormat/>
    <w:uiPriority w:val="0"/>
    <w:rPr>
      <w:b/>
      <w:bCs/>
      <w:szCs w:val="24"/>
    </w:rPr>
  </w:style>
  <w:style w:type="paragraph" w:styleId="24">
    <w:name w:val="Body Text First Indent"/>
    <w:basedOn w:val="14"/>
    <w:next w:val="1"/>
    <w:qFormat/>
    <w:uiPriority w:val="0"/>
    <w:pPr>
      <w:ind w:firstLine="420" w:firstLineChars="100"/>
    </w:pPr>
    <w:rPr>
      <w:sz w:val="24"/>
    </w:rPr>
  </w:style>
  <w:style w:type="paragraph" w:styleId="25">
    <w:name w:val="Body Text First Indent 2"/>
    <w:basedOn w:val="1"/>
    <w:next w:val="24"/>
    <w:qFormat/>
    <w:uiPriority w:val="0"/>
    <w:pPr>
      <w:spacing w:after="120"/>
      <w:ind w:left="420" w:leftChars="200" w:firstLine="420"/>
    </w:pPr>
    <w:rPr>
      <w:rFonts w:eastAsia="仿宋_GB2312"/>
      <w:snapToGrid w:val="0"/>
      <w:color w:val="000000"/>
      <w:sz w:val="28"/>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bCs/>
    </w:rPr>
  </w:style>
  <w:style w:type="character" w:styleId="30">
    <w:name w:val="FollowedHyperlink"/>
    <w:basedOn w:val="28"/>
    <w:qFormat/>
    <w:uiPriority w:val="0"/>
    <w:rPr>
      <w:color w:val="136EC2"/>
      <w:u w:val="none"/>
    </w:rPr>
  </w:style>
  <w:style w:type="character" w:styleId="31">
    <w:name w:val="Emphasis"/>
    <w:basedOn w:val="28"/>
    <w:qFormat/>
    <w:uiPriority w:val="0"/>
  </w:style>
  <w:style w:type="character" w:styleId="32">
    <w:name w:val="HTML Definition"/>
    <w:basedOn w:val="28"/>
    <w:qFormat/>
    <w:uiPriority w:val="0"/>
  </w:style>
  <w:style w:type="character" w:styleId="33">
    <w:name w:val="HTML Acronym"/>
    <w:basedOn w:val="28"/>
    <w:qFormat/>
    <w:uiPriority w:val="0"/>
  </w:style>
  <w:style w:type="character" w:styleId="34">
    <w:name w:val="HTML Variable"/>
    <w:basedOn w:val="28"/>
    <w:qFormat/>
    <w:uiPriority w:val="0"/>
  </w:style>
  <w:style w:type="character" w:styleId="35">
    <w:name w:val="Hyperlink"/>
    <w:basedOn w:val="28"/>
    <w:qFormat/>
    <w:uiPriority w:val="0"/>
    <w:rPr>
      <w:color w:val="136EC2"/>
      <w:u w:val="none"/>
    </w:rPr>
  </w:style>
  <w:style w:type="character" w:styleId="36">
    <w:name w:val="HTML Code"/>
    <w:basedOn w:val="28"/>
    <w:qFormat/>
    <w:uiPriority w:val="0"/>
    <w:rPr>
      <w:rFonts w:ascii="Courier New" w:hAnsi="Courier New"/>
      <w:sz w:val="20"/>
      <w:u w:val="single"/>
    </w:rPr>
  </w:style>
  <w:style w:type="character" w:styleId="37">
    <w:name w:val="annotation reference"/>
    <w:basedOn w:val="28"/>
    <w:semiHidden/>
    <w:qFormat/>
    <w:uiPriority w:val="0"/>
    <w:rPr>
      <w:sz w:val="21"/>
    </w:rPr>
  </w:style>
  <w:style w:type="character" w:styleId="38">
    <w:name w:val="HTML Cite"/>
    <w:basedOn w:val="28"/>
    <w:qFormat/>
    <w:uiPriority w:val="0"/>
  </w:style>
  <w:style w:type="character" w:styleId="39">
    <w:name w:val="HTML Keyboard"/>
    <w:basedOn w:val="28"/>
    <w:qFormat/>
    <w:uiPriority w:val="0"/>
    <w:rPr>
      <w:rFonts w:ascii="monospace" w:hAnsi="monospace" w:eastAsia="monospace" w:cs="monospace"/>
      <w:sz w:val="21"/>
      <w:szCs w:val="21"/>
    </w:rPr>
  </w:style>
  <w:style w:type="character" w:styleId="40">
    <w:name w:val="HTML Sample"/>
    <w:basedOn w:val="28"/>
    <w:qFormat/>
    <w:uiPriority w:val="0"/>
    <w:rPr>
      <w:rFonts w:hint="default" w:ascii="monospace" w:hAnsi="monospace" w:eastAsia="monospace" w:cs="monospace"/>
      <w:sz w:val="21"/>
      <w:szCs w:val="21"/>
    </w:rPr>
  </w:style>
  <w:style w:type="paragraph" w:customStyle="1" w:styleId="41">
    <w:name w:val="样式 标题 1 + 四号 段前: 0 磅 段后: 0 磅 行距: 1.5 倍行距"/>
    <w:basedOn w:val="5"/>
    <w:next w:val="42"/>
    <w:qFormat/>
    <w:uiPriority w:val="0"/>
    <w:pPr>
      <w:adjustRightInd w:val="0"/>
      <w:spacing w:line="360" w:lineRule="auto"/>
      <w:textAlignment w:val="baseline"/>
    </w:pPr>
    <w:rPr>
      <w:rFonts w:ascii="黑体" w:hAnsi="黑体"/>
      <w:sz w:val="21"/>
      <w:szCs w:val="20"/>
      <w:lang w:val="en-US"/>
    </w:rPr>
  </w:style>
  <w:style w:type="paragraph" w:customStyle="1" w:styleId="42">
    <w:name w:val="文本正文"/>
    <w:basedOn w:val="1"/>
    <w:qFormat/>
    <w:uiPriority w:val="0"/>
    <w:pPr>
      <w:snapToGrid w:val="0"/>
      <w:spacing w:line="360" w:lineRule="auto"/>
      <w:ind w:firstLine="510"/>
    </w:pPr>
    <w:rPr>
      <w:spacing w:val="4"/>
      <w:kern w:val="24"/>
    </w:rPr>
  </w:style>
  <w:style w:type="paragraph" w:customStyle="1" w:styleId="43">
    <w:name w:val="表格"/>
    <w:basedOn w:val="9"/>
    <w:next w:val="1"/>
    <w:qFormat/>
    <w:uiPriority w:val="0"/>
    <w:pPr>
      <w:snapToGrid w:val="0"/>
      <w:spacing w:line="240" w:lineRule="atLeast"/>
      <w:ind w:firstLine="0"/>
      <w:jc w:val="center"/>
    </w:pPr>
    <w:rPr>
      <w:rFonts w:ascii="Times New Roman" w:hAnsi="Times New Roman"/>
      <w:sz w:val="21"/>
    </w:rPr>
  </w:style>
  <w:style w:type="table" w:customStyle="1" w:styleId="44">
    <w:name w:val="Table Normal"/>
    <w:semiHidden/>
    <w:unhideWhenUsed/>
    <w:qFormat/>
    <w:uiPriority w:val="2"/>
    <w:tblPr>
      <w:tblCellMar>
        <w:top w:w="0" w:type="dxa"/>
        <w:left w:w="0" w:type="dxa"/>
        <w:bottom w:w="0" w:type="dxa"/>
        <w:right w:w="0" w:type="dxa"/>
      </w:tblCellMar>
    </w:tblPr>
  </w:style>
  <w:style w:type="paragraph" w:styleId="45">
    <w:name w:val="List Paragraph"/>
    <w:basedOn w:val="1"/>
    <w:qFormat/>
    <w:uiPriority w:val="1"/>
  </w:style>
  <w:style w:type="paragraph" w:customStyle="1" w:styleId="46">
    <w:name w:val="Table Paragraph"/>
    <w:basedOn w:val="1"/>
    <w:qFormat/>
    <w:uiPriority w:val="1"/>
  </w:style>
  <w:style w:type="paragraph" w:customStyle="1" w:styleId="47">
    <w:name w:val="表格文字"/>
    <w:basedOn w:val="10"/>
    <w:next w:val="1"/>
    <w:qFormat/>
    <w:uiPriority w:val="0"/>
    <w:pPr>
      <w:autoSpaceDE w:val="0"/>
      <w:autoSpaceDN w:val="0"/>
      <w:textAlignment w:val="bottom"/>
    </w:pPr>
    <w:rPr>
      <w:color w:val="000000"/>
      <w:szCs w:val="21"/>
    </w:rPr>
  </w:style>
  <w:style w:type="paragraph" w:customStyle="1" w:styleId="48">
    <w:name w:val="表格字体"/>
    <w:basedOn w:val="1"/>
    <w:qFormat/>
    <w:uiPriority w:val="0"/>
    <w:pPr>
      <w:spacing w:line="240" w:lineRule="exact"/>
      <w:jc w:val="center"/>
    </w:pPr>
    <w:rPr>
      <w:rFonts w:ascii="Times New Roman" w:hAnsi="Times New Roman" w:cs="Times New Roman"/>
      <w:sz w:val="21"/>
      <w:szCs w:val="21"/>
      <w:lang w:val="en-US" w:bidi="ar-SA"/>
    </w:rPr>
  </w:style>
  <w:style w:type="character" w:customStyle="1" w:styleId="49">
    <w:name w:val="s1"/>
    <w:basedOn w:val="28"/>
    <w:qFormat/>
    <w:uiPriority w:val="0"/>
    <w:rPr>
      <w:color w:val="DDDDDD"/>
      <w:sz w:val="18"/>
      <w:szCs w:val="18"/>
    </w:rPr>
  </w:style>
  <w:style w:type="character" w:customStyle="1" w:styleId="50">
    <w:name w:val="btn-auto-11"/>
    <w:basedOn w:val="28"/>
    <w:qFormat/>
    <w:uiPriority w:val="0"/>
  </w:style>
  <w:style w:type="character" w:customStyle="1" w:styleId="51">
    <w:name w:val="btn-task-gray1"/>
    <w:basedOn w:val="28"/>
    <w:qFormat/>
    <w:uiPriority w:val="0"/>
    <w:rPr>
      <w:color w:val="FFFFFF"/>
      <w:u w:val="none"/>
      <w:shd w:val="clear" w:color="auto" w:fill="CCCCCC"/>
    </w:rPr>
  </w:style>
  <w:style w:type="character" w:customStyle="1" w:styleId="52">
    <w:name w:val="btn-task-gray2"/>
    <w:basedOn w:val="28"/>
    <w:qFormat/>
    <w:uiPriority w:val="0"/>
  </w:style>
  <w:style w:type="character" w:customStyle="1" w:styleId="53">
    <w:name w:val="btn-task-gray"/>
    <w:basedOn w:val="28"/>
    <w:qFormat/>
    <w:uiPriority w:val="0"/>
    <w:rPr>
      <w:color w:val="FFFFFF"/>
      <w:u w:val="none"/>
      <w:shd w:val="clear" w:color="auto" w:fill="CCCCCC"/>
    </w:rPr>
  </w:style>
  <w:style w:type="character" w:customStyle="1" w:styleId="54">
    <w:name w:val="hover"/>
    <w:basedOn w:val="28"/>
    <w:qFormat/>
    <w:uiPriority w:val="0"/>
  </w:style>
  <w:style w:type="character" w:customStyle="1" w:styleId="55">
    <w:name w:val="hover11"/>
    <w:basedOn w:val="28"/>
    <w:qFormat/>
    <w:uiPriority w:val="0"/>
  </w:style>
  <w:style w:type="character" w:customStyle="1" w:styleId="56">
    <w:name w:val="headline-content2"/>
    <w:qFormat/>
    <w:uiPriority w:val="0"/>
  </w:style>
  <w:style w:type="paragraph" w:customStyle="1" w:styleId="57">
    <w:name w:val="表题"/>
    <w:basedOn w:val="1"/>
    <w:qFormat/>
    <w:uiPriority w:val="0"/>
    <w:pPr>
      <w:tabs>
        <w:tab w:val="right" w:pos="0"/>
      </w:tabs>
      <w:adjustRightInd w:val="0"/>
      <w:snapToGrid w:val="0"/>
      <w:jc w:val="center"/>
    </w:pPr>
    <w:rPr>
      <w:rFonts w:ascii="Times New Roman" w:hAnsi="Times New Roman" w:cs="Times New Roman"/>
      <w:b/>
      <w:spacing w:val="11"/>
      <w:sz w:val="21"/>
    </w:rPr>
  </w:style>
  <w:style w:type="paragraph" w:customStyle="1" w:styleId="58">
    <w:name w:val="p0"/>
    <w:basedOn w:val="1"/>
    <w:qFormat/>
    <w:uiPriority w:val="0"/>
    <w:pPr>
      <w:widowControl/>
    </w:pPr>
    <w:rPr>
      <w:rFonts w:eastAsia="Arial Unicode MS"/>
      <w:szCs w:val="21"/>
    </w:rPr>
  </w:style>
  <w:style w:type="paragraph" w:customStyle="1" w:styleId="59">
    <w:name w:val="翔一正文"/>
    <w:basedOn w:val="1"/>
    <w:next w:val="1"/>
    <w:semiHidden/>
    <w:qFormat/>
    <w:uiPriority w:val="0"/>
    <w:pPr>
      <w:spacing w:line="360" w:lineRule="auto"/>
      <w:ind w:firstLine="1446" w:firstLineChars="200"/>
    </w:pPr>
    <w:rPr>
      <w:szCs w:val="21"/>
    </w:rPr>
  </w:style>
  <w:style w:type="paragraph" w:customStyle="1" w:styleId="60">
    <w:name w:val="纯文本1"/>
    <w:basedOn w:val="1"/>
    <w:qFormat/>
    <w:uiPriority w:val="0"/>
    <w:rPr>
      <w:rFonts w:hAnsi="Courier New" w:cs="Courier New"/>
      <w:szCs w:val="21"/>
    </w:rPr>
  </w:style>
  <w:style w:type="paragraph" w:customStyle="1" w:styleId="61">
    <w:name w:val="表格格式"/>
    <w:basedOn w:val="1"/>
    <w:next w:val="1"/>
    <w:qFormat/>
    <w:uiPriority w:val="0"/>
    <w:pPr>
      <w:adjustRightInd w:val="0"/>
      <w:snapToGrid w:val="0"/>
      <w:ind w:left="-120" w:leftChars="-50" w:right="-120" w:rightChars="-50"/>
      <w:jc w:val="center"/>
    </w:pPr>
    <w:rPr>
      <w:sz w:val="18"/>
    </w:rPr>
  </w:style>
  <w:style w:type="paragraph" w:customStyle="1" w:styleId="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3">
    <w:name w:val="WPSOffice手动目录 1"/>
    <w:qFormat/>
    <w:uiPriority w:val="0"/>
    <w:rPr>
      <w:rFonts w:ascii="Times New Roman" w:hAnsi="Times New Roman" w:eastAsia="宋体" w:cs="Times New Roman"/>
      <w:lang w:val="en-US" w:eastAsia="zh-CN" w:bidi="ar-SA"/>
    </w:rPr>
  </w:style>
  <w:style w:type="paragraph" w:customStyle="1" w:styleId="64">
    <w:name w:val="表格文字2"/>
    <w:basedOn w:val="1"/>
    <w:qFormat/>
    <w:uiPriority w:val="0"/>
    <w:pPr>
      <w:tabs>
        <w:tab w:val="left" w:pos="277"/>
        <w:tab w:val="left" w:pos="600"/>
        <w:tab w:val="left" w:pos="780"/>
        <w:tab w:val="left" w:pos="2517"/>
      </w:tabs>
      <w:adjustRightInd w:val="0"/>
      <w:jc w:val="center"/>
      <w:textAlignment w:val="baseline"/>
    </w:pPr>
    <w:rPr>
      <w:rFonts w:ascii="Times New Roman" w:hAnsi="Times New Roman"/>
      <w:sz w:val="21"/>
      <w:szCs w:val="21"/>
    </w:rPr>
  </w:style>
  <w:style w:type="paragraph" w:customStyle="1" w:styleId="65">
    <w:name w:val="表格内文字格式"/>
    <w:basedOn w:val="1"/>
    <w:next w:val="1"/>
    <w:qFormat/>
    <w:uiPriority w:val="0"/>
    <w:pPr>
      <w:spacing w:line="360" w:lineRule="auto"/>
      <w:ind w:right="-49" w:rightChars="-26" w:firstLine="436" w:firstLineChars="200"/>
    </w:pPr>
    <w:rPr>
      <w:rFonts w:ascii="Arial" w:hAnsi="Arial" w:cs="Arial"/>
      <w:bCs/>
      <w:kern w:val="10"/>
      <w:szCs w:val="21"/>
    </w:rPr>
  </w:style>
  <w:style w:type="paragraph" w:customStyle="1" w:styleId="66">
    <w:name w:val="正常段落"/>
    <w:basedOn w:val="9"/>
    <w:qFormat/>
    <w:uiPriority w:val="0"/>
    <w:pPr>
      <w:tabs>
        <w:tab w:val="left" w:pos="5530"/>
      </w:tabs>
      <w:spacing w:line="440" w:lineRule="exact"/>
    </w:pPr>
    <w:rPr>
      <w:rFonts w:hAnsi="Times New Roman"/>
    </w:rPr>
  </w:style>
  <w:style w:type="paragraph" w:customStyle="1" w:styleId="67">
    <w:name w:val="样式 样式 标题 2 + 段前: 0.5 行 + 段前: 6 磅 段后: 6 磅"/>
    <w:basedOn w:val="1"/>
    <w:qFormat/>
    <w:uiPriority w:val="0"/>
    <w:pPr>
      <w:keepLines/>
      <w:adjustRightInd w:val="0"/>
      <w:snapToGrid w:val="0"/>
      <w:spacing w:line="480" w:lineRule="exact"/>
      <w:ind w:firstLine="471"/>
      <w:outlineLvl w:val="1"/>
    </w:pPr>
    <w:rPr>
      <w:rFonts w:hint="eastAsia" w:ascii="黑体" w:hAnsi="Arial" w:eastAsia="黑体"/>
      <w:szCs w:val="20"/>
    </w:rPr>
  </w:style>
  <w:style w:type="paragraph" w:customStyle="1" w:styleId="68">
    <w:name w:val="赵"/>
    <w:basedOn w:val="1"/>
    <w:qFormat/>
    <w:uiPriority w:val="0"/>
    <w:pPr>
      <w:spacing w:line="360" w:lineRule="auto"/>
      <w:ind w:firstLine="200" w:firstLineChars="200"/>
    </w:pPr>
    <w:rPr>
      <w:color w:val="000000"/>
    </w:rPr>
  </w:style>
  <w:style w:type="paragraph" w:customStyle="1" w:styleId="69">
    <w:name w:val="表格内容"/>
    <w:basedOn w:val="1"/>
    <w:qFormat/>
    <w:uiPriority w:val="0"/>
    <w:pPr>
      <w:adjustRightInd w:val="0"/>
      <w:snapToGrid w:val="0"/>
      <w:jc w:val="center"/>
      <w:textAlignment w:val="baseline"/>
    </w:pPr>
    <w:rPr>
      <w:snapToGrid w:val="0"/>
      <w:sz w:val="21"/>
    </w:rPr>
  </w:style>
  <w:style w:type="paragraph" w:customStyle="1" w:styleId="70">
    <w:name w:val="Default"/>
    <w:basedOn w:val="1"/>
    <w:qFormat/>
    <w:uiPriority w:val="0"/>
    <w:pPr>
      <w:adjustRightInd w:val="0"/>
    </w:pPr>
    <w:rPr>
      <w:color w:val="000000"/>
    </w:rPr>
  </w:style>
  <w:style w:type="character" w:customStyle="1" w:styleId="71">
    <w:name w:val="批注文字 Char"/>
    <w:basedOn w:val="28"/>
    <w:link w:val="13"/>
    <w:qFormat/>
    <w:uiPriority w:val="0"/>
    <w:rPr>
      <w:rFonts w:ascii="宋体" w:hAnsi="宋体" w:cs="宋体"/>
      <w:sz w:val="24"/>
      <w:lang w:val="zh-CN" w:bidi="zh-CN"/>
    </w:rPr>
  </w:style>
  <w:style w:type="character" w:customStyle="1" w:styleId="72">
    <w:name w:val="批注主题 Char"/>
    <w:basedOn w:val="71"/>
    <w:link w:val="23"/>
    <w:qFormat/>
    <w:uiPriority w:val="0"/>
    <w:rPr>
      <w:rFonts w:ascii="宋体" w:hAnsi="宋体" w:cs="宋体"/>
      <w:b/>
      <w:bCs/>
      <w:sz w:val="24"/>
      <w:szCs w:val="24"/>
      <w:lang w:val="zh-CN" w:bidi="zh-CN"/>
    </w:rPr>
  </w:style>
  <w:style w:type="character" w:customStyle="1" w:styleId="73">
    <w:name w:val="批注框文本 Char"/>
    <w:basedOn w:val="28"/>
    <w:link w:val="19"/>
    <w:qFormat/>
    <w:uiPriority w:val="0"/>
    <w:rPr>
      <w:rFonts w:ascii="宋体" w:hAnsi="宋体" w:cs="宋体"/>
      <w:sz w:val="18"/>
      <w:szCs w:val="18"/>
      <w:lang w:val="zh-CN" w:bidi="zh-CN"/>
    </w:rPr>
  </w:style>
  <w:style w:type="paragraph" w:customStyle="1" w:styleId="74">
    <w:name w:val="ypy正文"/>
    <w:basedOn w:val="1"/>
    <w:qFormat/>
    <w:uiPriority w:val="0"/>
    <w:pPr>
      <w:spacing w:line="360" w:lineRule="auto"/>
      <w:ind w:firstLine="200" w:firstLineChars="200"/>
    </w:pPr>
  </w:style>
  <w:style w:type="paragraph" w:customStyle="1" w:styleId="75">
    <w:name w:val="正文首行缩进2"/>
    <w:basedOn w:val="1"/>
    <w:qFormat/>
    <w:uiPriority w:val="99"/>
    <w:pPr>
      <w:spacing w:line="500" w:lineRule="atLeast"/>
      <w:ind w:firstLine="560"/>
    </w:pPr>
    <w:rPr>
      <w:szCs w:val="21"/>
    </w:rPr>
  </w:style>
  <w:style w:type="paragraph" w:customStyle="1" w:styleId="76">
    <w:name w:val="11"/>
    <w:basedOn w:val="14"/>
    <w:qFormat/>
    <w:uiPriority w:val="0"/>
    <w:pPr>
      <w:adjustRightInd w:val="0"/>
      <w:spacing w:line="360" w:lineRule="auto"/>
      <w:ind w:firstLine="1320" w:firstLineChars="550"/>
    </w:pPr>
    <w:rPr>
      <w:kern w:val="24"/>
      <w:sz w:val="21"/>
    </w:rPr>
  </w:style>
  <w:style w:type="character" w:customStyle="1" w:styleId="77">
    <w:name w:val="样式1"/>
    <w:basedOn w:val="28"/>
    <w:qFormat/>
    <w:uiPriority w:val="0"/>
    <w:rPr>
      <w:rFonts w:ascii="Times New Roman" w:hAnsi="Times New Roman" w:eastAsia="宋体" w:cs="Times New Roman"/>
      <w:sz w:val="24"/>
      <w:szCs w:val="24"/>
      <w:lang w:val="en-US" w:eastAsia="zh-CN"/>
    </w:rPr>
  </w:style>
  <w:style w:type="character" w:customStyle="1" w:styleId="78">
    <w:name w:val="样式2"/>
    <w:basedOn w:val="28"/>
    <w:qFormat/>
    <w:uiPriority w:val="0"/>
    <w:rPr>
      <w:rFonts w:ascii="Times New Roman" w:hAnsi="Times New Roman"/>
      <w:sz w:val="21"/>
      <w:szCs w:val="24"/>
      <w:lang w:val="zh-CN"/>
    </w:rPr>
  </w:style>
  <w:style w:type="paragraph" w:customStyle="1" w:styleId="79">
    <w:name w:val="环科院正文"/>
    <w:basedOn w:val="1"/>
    <w:qFormat/>
    <w:uiPriority w:val="0"/>
    <w:pPr>
      <w:tabs>
        <w:tab w:val="left" w:pos="5760"/>
      </w:tabs>
      <w:spacing w:line="360" w:lineRule="auto"/>
      <w:ind w:firstLine="480" w:firstLineChars="200"/>
    </w:pPr>
    <w:rPr>
      <w:bCs/>
      <w:szCs w:val="20"/>
    </w:rPr>
  </w:style>
  <w:style w:type="character" w:customStyle="1" w:styleId="80">
    <w:name w:val="标题 3 Char"/>
    <w:link w:val="7"/>
    <w:qFormat/>
    <w:uiPriority w:val="1"/>
    <w:rPr>
      <w:rFonts w:ascii="宋体" w:hAnsi="宋体" w:cs="宋体"/>
      <w:b/>
      <w:bCs/>
      <w:sz w:val="24"/>
      <w:szCs w:val="24"/>
      <w:lang w:val="zh-CN" w:bidi="zh-CN"/>
    </w:rPr>
  </w:style>
  <w:style w:type="paragraph" w:customStyle="1" w:styleId="81">
    <w:name w:val="【正文】"/>
    <w:basedOn w:val="1"/>
    <w:qFormat/>
    <w:uiPriority w:val="0"/>
    <w:pPr>
      <w:spacing w:line="360" w:lineRule="auto"/>
      <w:ind w:firstLine="200" w:firstLineChars="200"/>
      <w:jc w:val="both"/>
    </w:pPr>
    <w:rPr>
      <w:rFonts w:ascii="Times New Roman" w:hAnsi="Times New Roman" w:cs="Times New Roman"/>
      <w:kern w:val="2"/>
      <w:lang w:val="en-US" w:bidi="ar-SA"/>
    </w:rPr>
  </w:style>
  <w:style w:type="character" w:customStyle="1" w:styleId="82">
    <w:name w:val="NormalCharacter"/>
    <w:qFormat/>
    <w:uiPriority w:val="0"/>
  </w:style>
  <w:style w:type="paragraph" w:customStyle="1" w:styleId="83">
    <w:name w:val="表第一列"/>
    <w:basedOn w:val="24"/>
    <w:qFormat/>
    <w:uiPriority w:val="0"/>
    <w:pPr>
      <w:keepNext/>
      <w:keepLines/>
      <w:widowControl/>
      <w:tabs>
        <w:tab w:val="left" w:pos="1727"/>
        <w:tab w:val="left" w:pos="1884"/>
        <w:tab w:val="left" w:pos="2940"/>
      </w:tabs>
      <w:adjustRightInd w:val="0"/>
      <w:snapToGrid w:val="0"/>
      <w:spacing w:before="60" w:line="0" w:lineRule="atLeast"/>
      <w:ind w:right="113" w:firstLine="0" w:firstLineChars="0"/>
      <w:jc w:val="center"/>
    </w:pPr>
    <w:rPr>
      <w:rFonts w:ascii="宋体" w:hAnsi="宋体"/>
      <w:color w:val="000000"/>
      <w:spacing w:val="-4"/>
      <w:sz w:val="1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microsoft.com/office/2006/relationships/keyMapCustomizations" Target="customizations.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oleObject" Target="embeddings/oleObject4.bin"/><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emf"/><Relationship Id="rId23" Type="http://schemas.openxmlformats.org/officeDocument/2006/relationships/oleObject" Target="embeddings/oleObject3.bin"/><Relationship Id="rId22" Type="http://schemas.openxmlformats.org/officeDocument/2006/relationships/image" Target="media/image7.emf"/><Relationship Id="rId21" Type="http://schemas.openxmlformats.org/officeDocument/2006/relationships/oleObject" Target="embeddings/oleObject2.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package" Target="embeddings/Microsoft_Visio___1.vsdx"/><Relationship Id="rId18" Type="http://schemas.openxmlformats.org/officeDocument/2006/relationships/image" Target="media/image5.emf"/><Relationship Id="rId17" Type="http://schemas.openxmlformats.org/officeDocument/2006/relationships/oleObject" Target="embeddings/oleObject1.bin"/><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8323</Words>
  <Characters>47443</Characters>
  <Lines>395</Lines>
  <Paragraphs>111</Paragraphs>
  <TotalTime>0</TotalTime>
  <ScaleCrop>false</ScaleCrop>
  <LinksUpToDate>false</LinksUpToDate>
  <CharactersWithSpaces>55655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2021-04-08T02:22:00Z</dcterms:created>
  <dc:creator>lhj</dc:creator>
  <cp:lastModifiedBy>黄某某*</cp:lastModifiedBy>
  <cp:lastPrinted>2021-08-24T05:05:00Z</cp:lastPrinted>
  <dcterms:modified xsi:type="dcterms:W3CDTF">2021-12-31T01:08:45Z</dcterms:modified>
  <dc:title>附件2</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2021-04-08T00:00:00Z</vt:filetime>
  </property>
  <property fmtid="{D5CDD505-2E9C-101B-9397-08002B2CF9AE}" pid="5" name="KSOProductBuildVer">
    <vt:lpwstr>2052-11.1.0.11194</vt:lpwstr>
  </property>
  <property fmtid="{D5CDD505-2E9C-101B-9397-08002B2CF9AE}" pid="6" name="ICV">
    <vt:lpwstr>92733A3193704DE3BF86BF847CD12578</vt:lpwstr>
  </property>
</Properties>
</file>