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86C" w:rsidRPr="00F45BA4" w:rsidRDefault="00E37314" w:rsidP="00F45BA4">
      <w:pPr>
        <w:widowControl w:val="0"/>
        <w:adjustRightInd w:val="0"/>
        <w:snapToGrid w:val="0"/>
        <w:spacing w:line="640" w:lineRule="exact"/>
        <w:jc w:val="center"/>
        <w:textAlignment w:val="baseline"/>
        <w:rPr>
          <w:rFonts w:ascii="方正小标宋_GBK" w:eastAsia="方正小标宋_GBK" w:hAnsi="方正小标宋简体" w:cs="方正小标宋简体" w:hint="eastAsia"/>
          <w:sz w:val="44"/>
          <w:szCs w:val="44"/>
        </w:rPr>
      </w:pPr>
      <w:r w:rsidRPr="00F45BA4">
        <w:rPr>
          <w:rFonts w:ascii="方正小标宋_GBK" w:eastAsia="方正小标宋_GBK" w:hAnsi="方正小标宋简体" w:cs="方正小标宋简体" w:hint="eastAsia"/>
          <w:sz w:val="44"/>
          <w:szCs w:val="44"/>
        </w:rPr>
        <w:t>昆明市晋宁区2021年招标投标指标</w:t>
      </w:r>
    </w:p>
    <w:p w:rsidR="0032586C" w:rsidRPr="00F45BA4" w:rsidRDefault="00E37314" w:rsidP="00F45BA4">
      <w:pPr>
        <w:widowControl w:val="0"/>
        <w:adjustRightInd w:val="0"/>
        <w:snapToGrid w:val="0"/>
        <w:spacing w:line="640" w:lineRule="exact"/>
        <w:jc w:val="center"/>
        <w:textAlignment w:val="baseline"/>
        <w:rPr>
          <w:rFonts w:ascii="方正小标宋_GBK" w:eastAsia="方正小标宋_GBK" w:hAnsi="方正小标宋简体" w:cs="方正小标宋简体" w:hint="eastAsia"/>
          <w:sz w:val="44"/>
          <w:szCs w:val="44"/>
        </w:rPr>
      </w:pPr>
      <w:r w:rsidRPr="00F45BA4">
        <w:rPr>
          <w:rFonts w:ascii="方正小标宋_GBK" w:eastAsia="方正小标宋_GBK" w:hAnsi="方正小标宋简体" w:cs="方正小标宋简体" w:hint="eastAsia"/>
          <w:sz w:val="44"/>
          <w:szCs w:val="44"/>
        </w:rPr>
        <w:t>全面优化提升营商环境行动实施细则</w:t>
      </w:r>
    </w:p>
    <w:p w:rsidR="0032586C" w:rsidRPr="00F45BA4" w:rsidRDefault="00E37314" w:rsidP="00F45BA4">
      <w:pPr>
        <w:widowControl w:val="0"/>
        <w:adjustRightInd w:val="0"/>
        <w:snapToGrid w:val="0"/>
        <w:spacing w:line="640" w:lineRule="exact"/>
        <w:jc w:val="center"/>
        <w:textAlignment w:val="baseline"/>
        <w:rPr>
          <w:rFonts w:ascii="方正小标宋_GBK" w:eastAsia="方正小标宋_GBK" w:hAnsi="方正小标宋简体" w:cs="方正小标宋简体" w:hint="eastAsia"/>
          <w:sz w:val="44"/>
          <w:szCs w:val="44"/>
        </w:rPr>
      </w:pPr>
      <w:r w:rsidRPr="00F45BA4">
        <w:rPr>
          <w:rFonts w:ascii="方正小标宋_GBK" w:eastAsia="方正小标宋_GBK" w:hAnsi="方正小标宋简体" w:cs="方正小标宋简体" w:hint="eastAsia"/>
          <w:sz w:val="44"/>
          <w:szCs w:val="44"/>
        </w:rPr>
        <w:t>(征求意见稿）</w:t>
      </w:r>
    </w:p>
    <w:p w:rsidR="0032586C" w:rsidRDefault="0032586C">
      <w:pPr>
        <w:pStyle w:val="a0"/>
        <w:ind w:firstLine="889"/>
        <w:rPr>
          <w:rFonts w:ascii="方正小标宋简体" w:eastAsia="方正小标宋简体" w:hAnsi="方正小标宋简体" w:cs="方正小标宋简体"/>
          <w:sz w:val="44"/>
          <w:szCs w:val="44"/>
        </w:rPr>
      </w:pPr>
    </w:p>
    <w:p w:rsidR="0032586C" w:rsidRDefault="00E37314">
      <w:pPr>
        <w:widowControl w:val="0"/>
        <w:spacing w:line="560" w:lineRule="exact"/>
        <w:ind w:firstLineChars="200" w:firstLine="640"/>
        <w:textAlignment w:val="baseline"/>
        <w:rPr>
          <w:b/>
          <w:i/>
          <w:caps/>
        </w:rPr>
      </w:pPr>
      <w:r>
        <w:rPr>
          <w:rFonts w:hint="eastAsia"/>
        </w:rPr>
        <w:t>按照党中央、国务院和省委、省政府、市委、市政府决策部署，为深入贯彻《优化营商环境条例》《云南省优化营商环境办法》，扎实做好“六稳”工作，全面落实“六保”任务，持续深化“放管服”改革，加快打造“办事不求人、审批不见面、最多跑一次”和“全程服务有保障”的营商环境，更大激发市场主体活力，增强发展内生动力，为晋宁经济高质量发展持续注入新动能，根据《关于印发&lt;昆明市晋宁区2021年全面优化提升营商环境行动实施细则&gt;的通知》（晋政办通〔2021〕20号），制定本行动实施细则。</w:t>
      </w:r>
    </w:p>
    <w:p w:rsidR="0032586C" w:rsidRDefault="00E37314">
      <w:pPr>
        <w:widowControl w:val="0"/>
        <w:spacing w:line="560" w:lineRule="exact"/>
        <w:ind w:firstLineChars="200" w:firstLine="640"/>
        <w:textAlignment w:val="baseline"/>
        <w:rPr>
          <w:rFonts w:ascii="黑体" w:eastAsia="黑体" w:hAnsi="黑体"/>
          <w:sz w:val="20"/>
        </w:rPr>
      </w:pPr>
      <w:r>
        <w:rPr>
          <w:rFonts w:ascii="黑体" w:eastAsia="黑体" w:hAnsi="黑体" w:hint="eastAsia"/>
        </w:rPr>
        <w:t>一、工作目标</w:t>
      </w:r>
    </w:p>
    <w:p w:rsidR="0032586C" w:rsidRDefault="00E37314">
      <w:pPr>
        <w:pStyle w:val="a0"/>
        <w:ind w:firstLine="646"/>
      </w:pPr>
      <w:r>
        <w:rPr>
          <w:rFonts w:hint="eastAsia"/>
        </w:rPr>
        <w:t>深入学习贯彻习近平总书记考察云南重要讲话精神，紧紧围绕建设区域性国际中心城市目标，坚持“高质量营商环境为高质量发展服务”，推进新一轮深化“放管服”改革优化营商环境，减事项、减环节、减材料、减时限、减费用，降低制度性交易成本。以数字政府、系统集成为引领，持续优化便捷高效的政务环境，让市场主体省心；全面提升企业生产经营环境，让市场主体顺心；着力营造开放包容的市场环境，让市场主体放心；全面优化公平正义的法治环境，让</w:t>
      </w:r>
      <w:r>
        <w:rPr>
          <w:rFonts w:hint="eastAsia"/>
        </w:rPr>
        <w:lastRenderedPageBreak/>
        <w:t>市场主体安心；不断提升舒适稳定的生活环境，让市场主体定心，高质量打造市场化、法治化、国际化、便利化一流营商环境。</w:t>
      </w:r>
    </w:p>
    <w:p w:rsidR="0032586C" w:rsidRDefault="00E37314">
      <w:pPr>
        <w:widowControl w:val="0"/>
        <w:spacing w:line="560" w:lineRule="exact"/>
        <w:ind w:firstLineChars="200" w:firstLine="640"/>
        <w:textAlignment w:val="baseline"/>
        <w:rPr>
          <w:rFonts w:ascii="黑体" w:eastAsia="黑体" w:hAnsi="黑体"/>
          <w:sz w:val="20"/>
        </w:rPr>
      </w:pPr>
      <w:r>
        <w:rPr>
          <w:rFonts w:ascii="黑体" w:eastAsia="黑体" w:hAnsi="黑体" w:hint="eastAsia"/>
        </w:rPr>
        <w:t>二、主要任务</w:t>
      </w:r>
    </w:p>
    <w:p w:rsidR="0032586C" w:rsidRDefault="00E37314">
      <w:pPr>
        <w:widowControl w:val="0"/>
        <w:spacing w:line="560" w:lineRule="exact"/>
        <w:ind w:firstLineChars="200" w:firstLine="640"/>
        <w:textAlignment w:val="baseline"/>
      </w:pPr>
      <w:r>
        <w:rPr>
          <w:rFonts w:hint="eastAsia"/>
        </w:rPr>
        <w:t>持续完善统一规范、全流程电子化的公共资源交易平台功能，坚持公共服务职能定位，结合流程需求，规范服务行为，提升服务水平，实施分布式部署省公共资源交易智慧化平台。推进信用数据共享，对接信用中国（云南）信用数据，推动市场主体信用数据在交易平台共享共用。规范公共资源交易不良行为记录，推进“双随机、一公开”监督检查常态化。强化监督制度创新，查找本地区存在问题，制定措施和办法，提升监督能力。开展以水利工程建设项目招标投标为重点的专项治理。按照“规则统一、权责清晰、竞争有序、监管到位”的要求，规范推进投标保函运用。</w:t>
      </w:r>
    </w:p>
    <w:p w:rsidR="0032586C" w:rsidRDefault="00E37314">
      <w:pPr>
        <w:widowControl w:val="0"/>
        <w:spacing w:line="560" w:lineRule="exact"/>
        <w:ind w:firstLineChars="200" w:firstLine="640"/>
        <w:textAlignment w:val="baseline"/>
        <w:rPr>
          <w:rFonts w:ascii="楷体" w:eastAsia="楷体" w:hAnsi="楷体" w:cs="楷体"/>
        </w:rPr>
      </w:pPr>
      <w:r>
        <w:rPr>
          <w:rFonts w:ascii="楷体" w:eastAsia="楷体" w:hAnsi="楷体" w:cs="楷体" w:hint="eastAsia"/>
        </w:rPr>
        <w:t>牵头单位：区政务局牵头</w:t>
      </w:r>
    </w:p>
    <w:p w:rsidR="0032586C" w:rsidRDefault="00E37314">
      <w:pPr>
        <w:widowControl w:val="0"/>
        <w:spacing w:line="560" w:lineRule="exact"/>
        <w:ind w:firstLineChars="200" w:firstLine="640"/>
        <w:textAlignment w:val="baseline"/>
        <w:rPr>
          <w:rFonts w:ascii="楷体" w:eastAsia="楷体" w:hAnsi="楷体" w:cs="楷体"/>
        </w:rPr>
      </w:pPr>
      <w:r>
        <w:rPr>
          <w:rFonts w:ascii="楷体" w:eastAsia="楷体" w:hAnsi="楷体" w:cs="楷体" w:hint="eastAsia"/>
        </w:rPr>
        <w:t>责任单位：区发展改革局、区住房城乡建设局、区交通运输局、区水务局等区级有关部门，各乡镇（街道），古滇管委会、工业园区管委会</w:t>
      </w:r>
    </w:p>
    <w:p w:rsidR="0032586C" w:rsidRDefault="00E37314">
      <w:pPr>
        <w:widowControl w:val="0"/>
        <w:spacing w:line="560" w:lineRule="exact"/>
        <w:ind w:firstLineChars="200" w:firstLine="640"/>
        <w:textAlignment w:val="baseline"/>
      </w:pPr>
      <w:r>
        <w:rPr>
          <w:rFonts w:ascii="黑体" w:eastAsia="黑体" w:hAnsi="黑体" w:hint="eastAsia"/>
        </w:rPr>
        <w:t>三、组织保障</w:t>
      </w:r>
    </w:p>
    <w:p w:rsidR="0032586C" w:rsidRDefault="00E37314">
      <w:pPr>
        <w:widowControl w:val="0"/>
        <w:spacing w:line="560" w:lineRule="exact"/>
        <w:ind w:firstLineChars="200" w:firstLine="640"/>
        <w:textAlignment w:val="baseline"/>
        <w:rPr>
          <w:rFonts w:ascii="楷体" w:eastAsia="楷体" w:hAnsi="楷体" w:cs="楷体"/>
        </w:rPr>
      </w:pPr>
      <w:r>
        <w:rPr>
          <w:rFonts w:ascii="楷体" w:eastAsia="楷体" w:hAnsi="楷体" w:cs="楷体" w:hint="eastAsia"/>
        </w:rPr>
        <w:t>（一）强化组织领导，明晰部门权责</w:t>
      </w:r>
    </w:p>
    <w:p w:rsidR="0032586C" w:rsidRDefault="00E37314">
      <w:pPr>
        <w:widowControl w:val="0"/>
        <w:spacing w:line="560" w:lineRule="exact"/>
        <w:ind w:firstLineChars="200" w:firstLine="640"/>
        <w:textAlignment w:val="baseline"/>
        <w:rPr>
          <w:b/>
          <w:i/>
          <w:caps/>
        </w:rPr>
      </w:pPr>
      <w:r>
        <w:rPr>
          <w:rFonts w:hint="eastAsia"/>
        </w:rPr>
        <w:t>区政务局作为牵头部门，强化对招标投标指标营商环境建设的统筹协调，各责任部门认真按照工作要求开展工作。各部门主要负责同志是本领域、本部门、本乡镇（街道）招标投标指标优化营商环境第一责任人，分管同志是主要负责</w:t>
      </w:r>
      <w:r>
        <w:rPr>
          <w:rFonts w:hint="eastAsia"/>
        </w:rPr>
        <w:lastRenderedPageBreak/>
        <w:t>同志，具体负责人员是具体负责人。各责任单位于2021年9月15日前将本单位评分领导、分管领导、具体负责人的信息通过OA系统报区政务局，联系人：</w:t>
      </w:r>
      <w:r w:rsidR="006B7DBC">
        <w:rPr>
          <w:rFonts w:hint="eastAsia"/>
        </w:rPr>
        <w:t>李宗润</w:t>
      </w:r>
      <w:r>
        <w:rPr>
          <w:rFonts w:hint="eastAsia"/>
        </w:rPr>
        <w:t>，电话</w:t>
      </w:r>
      <w:r w:rsidR="006B7DBC">
        <w:rPr>
          <w:rFonts w:hint="eastAsia"/>
        </w:rPr>
        <w:t>13708448818</w:t>
      </w:r>
      <w:bookmarkStart w:id="0" w:name="_GoBack"/>
      <w:bookmarkEnd w:id="0"/>
      <w:r>
        <w:rPr>
          <w:rFonts w:hint="eastAsia"/>
        </w:rPr>
        <w:t>。2021年12月10日前，各责任部门将工作推进落实情况报区政务局，区政务局汇总后于2021年12月1</w:t>
      </w:r>
      <w:r>
        <w:t>5</w:t>
      </w:r>
      <w:r>
        <w:rPr>
          <w:rFonts w:hint="eastAsia"/>
        </w:rPr>
        <w:t>日前报送区营商环境办（区政务局）。</w:t>
      </w:r>
    </w:p>
    <w:p w:rsidR="0032586C" w:rsidRDefault="00E37314">
      <w:pPr>
        <w:widowControl w:val="0"/>
        <w:spacing w:line="560" w:lineRule="exact"/>
        <w:ind w:firstLineChars="200" w:firstLine="640"/>
        <w:textAlignment w:val="baseline"/>
        <w:rPr>
          <w:rFonts w:ascii="楷体" w:eastAsia="楷体" w:hAnsi="楷体" w:cs="楷体"/>
        </w:rPr>
      </w:pPr>
      <w:r>
        <w:rPr>
          <w:rFonts w:ascii="楷体" w:eastAsia="楷体" w:hAnsi="楷体" w:cs="楷体" w:hint="eastAsia"/>
        </w:rPr>
        <w:t>（二）加强政策宣传，突出示范引领</w:t>
      </w:r>
    </w:p>
    <w:p w:rsidR="0032586C" w:rsidRDefault="00E37314">
      <w:pPr>
        <w:pStyle w:val="a0"/>
        <w:ind w:firstLine="646"/>
      </w:pPr>
      <w:r>
        <w:rPr>
          <w:rFonts w:hint="eastAsia"/>
        </w:rPr>
        <w:t>将营商环境宣传推介纳入全区宣传重点，让市场主体和社会各界更多知晓和享受到晋宁营商环境持续优化带来的变化和红利。开展优化营商环境典型案例评选和宣传，加强正向激励和标杆引导，形成互学互鉴、比学赶超的浓厚氛围。牵头单位、各责任单位要在网站、新媒体平台等，持续开展常态化营商环境宣传活动，及时宣传报道晋宁优化营商环境的实践和成效，加大对典型案例和先进事迹的宣传力度。</w:t>
      </w:r>
    </w:p>
    <w:p w:rsidR="0032586C" w:rsidRDefault="0032586C">
      <w:pPr>
        <w:pStyle w:val="a0"/>
        <w:ind w:firstLine="646"/>
      </w:pPr>
    </w:p>
    <w:p w:rsidR="0032586C" w:rsidRDefault="0032586C">
      <w:pPr>
        <w:pStyle w:val="a0"/>
        <w:ind w:firstLine="646"/>
      </w:pPr>
    </w:p>
    <w:p w:rsidR="0032586C" w:rsidRDefault="00E37314">
      <w:pPr>
        <w:pStyle w:val="a0"/>
        <w:ind w:firstLineChars="1801" w:firstLine="5763"/>
      </w:pPr>
      <w:r>
        <w:rPr>
          <w:rFonts w:hint="eastAsia"/>
        </w:rPr>
        <w:t xml:space="preserve"> 2021年9月</w:t>
      </w:r>
      <w:r w:rsidR="00F45BA4">
        <w:rPr>
          <w:rFonts w:hint="eastAsia"/>
        </w:rPr>
        <w:t>8</w:t>
      </w:r>
      <w:r>
        <w:rPr>
          <w:rFonts w:hint="eastAsia"/>
        </w:rPr>
        <w:t>日</w:t>
      </w:r>
    </w:p>
    <w:p w:rsidR="0032586C" w:rsidRDefault="00E37314">
      <w:pPr>
        <w:widowControl w:val="0"/>
        <w:spacing w:line="560" w:lineRule="exact"/>
        <w:ind w:leftChars="200" w:left="1600" w:hangingChars="300" w:hanging="960"/>
        <w:textAlignment w:val="baseline"/>
      </w:pPr>
      <w:r>
        <w:rPr>
          <w:rFonts w:hint="eastAsia"/>
        </w:rPr>
        <w:t>附件：1.晋宁区2021年招标投标指标全面优化提升营商环境负责人员信息统计表</w:t>
      </w:r>
    </w:p>
    <w:p w:rsidR="0032586C" w:rsidRDefault="00E37314">
      <w:pPr>
        <w:pStyle w:val="a0"/>
        <w:ind w:leftChars="200" w:left="1600" w:hangingChars="300" w:hanging="960"/>
        <w:sectPr w:rsidR="0032586C">
          <w:footerReference w:type="default" r:id="rId7"/>
          <w:pgSz w:w="11906" w:h="16838"/>
          <w:pgMar w:top="1440" w:right="1800" w:bottom="1440" w:left="1800" w:header="851" w:footer="992" w:gutter="0"/>
          <w:pgNumType w:fmt="numberInDash"/>
          <w:cols w:space="425"/>
          <w:docGrid w:type="lines" w:linePitch="312"/>
        </w:sectPr>
      </w:pPr>
      <w:r>
        <w:rPr>
          <w:rFonts w:hint="eastAsia"/>
        </w:rPr>
        <w:t xml:space="preserve">      2.昆明市晋宁区2021年招标投标指标全面优化提升营商环境</w:t>
      </w:r>
      <w:r w:rsidR="00027917" w:rsidRPr="00027917">
        <w:rPr>
          <w:rFonts w:hint="eastAsia"/>
        </w:rPr>
        <w:t>工作责任清单</w:t>
      </w:r>
    </w:p>
    <w:p w:rsidR="0032586C" w:rsidRDefault="00E37314">
      <w:pPr>
        <w:pStyle w:val="a0"/>
        <w:ind w:firstLineChars="0" w:firstLine="0"/>
        <w:jc w:val="left"/>
        <w:rPr>
          <w:rFonts w:ascii="黑体" w:eastAsia="黑体" w:hAnsi="黑体" w:cs="黑体"/>
        </w:rPr>
      </w:pPr>
      <w:r>
        <w:rPr>
          <w:rFonts w:ascii="黑体" w:eastAsia="黑体" w:hAnsi="黑体" w:cs="黑体" w:hint="eastAsia"/>
        </w:rPr>
        <w:lastRenderedPageBreak/>
        <w:t>附件1：</w:t>
      </w:r>
    </w:p>
    <w:p w:rsidR="0032586C" w:rsidRDefault="00E37314">
      <w:pPr>
        <w:pStyle w:val="a0"/>
        <w:ind w:firstLineChars="0" w:firstLine="0"/>
        <w:jc w:val="center"/>
      </w:pPr>
      <w:r>
        <w:t>晋宁区2021年招标投标指标全面优化提升营商环境</w:t>
      </w:r>
    </w:p>
    <w:p w:rsidR="0032586C" w:rsidRDefault="00E37314">
      <w:pPr>
        <w:pStyle w:val="a0"/>
        <w:ind w:firstLineChars="0" w:firstLine="0"/>
        <w:jc w:val="center"/>
      </w:pPr>
      <w:r>
        <w:t>负责人员信息统计表</w:t>
      </w:r>
    </w:p>
    <w:tbl>
      <w:tblPr>
        <w:tblStyle w:val="a6"/>
        <w:tblW w:w="13920" w:type="dxa"/>
        <w:tblLayout w:type="fixed"/>
        <w:tblLook w:val="04A0"/>
      </w:tblPr>
      <w:tblGrid>
        <w:gridCol w:w="954"/>
        <w:gridCol w:w="2331"/>
        <w:gridCol w:w="1590"/>
        <w:gridCol w:w="3705"/>
        <w:gridCol w:w="2730"/>
        <w:gridCol w:w="2610"/>
      </w:tblGrid>
      <w:tr w:rsidR="0032586C">
        <w:tc>
          <w:tcPr>
            <w:tcW w:w="954" w:type="dxa"/>
          </w:tcPr>
          <w:p w:rsidR="0032586C" w:rsidRDefault="00E37314">
            <w:pPr>
              <w:pStyle w:val="a0"/>
              <w:ind w:firstLineChars="0" w:firstLine="0"/>
              <w:jc w:val="center"/>
            </w:pPr>
            <w:r>
              <w:rPr>
                <w:rFonts w:hint="eastAsia"/>
              </w:rPr>
              <w:t>序号</w:t>
            </w:r>
          </w:p>
        </w:tc>
        <w:tc>
          <w:tcPr>
            <w:tcW w:w="2331" w:type="dxa"/>
          </w:tcPr>
          <w:p w:rsidR="0032586C" w:rsidRDefault="00E37314">
            <w:pPr>
              <w:pStyle w:val="a0"/>
              <w:ind w:firstLine="646"/>
              <w:jc w:val="center"/>
            </w:pPr>
            <w:r>
              <w:rPr>
                <w:rFonts w:hint="eastAsia"/>
              </w:rPr>
              <w:t>单位</w:t>
            </w:r>
          </w:p>
        </w:tc>
        <w:tc>
          <w:tcPr>
            <w:tcW w:w="1590" w:type="dxa"/>
          </w:tcPr>
          <w:p w:rsidR="0032586C" w:rsidRDefault="00E37314">
            <w:pPr>
              <w:pStyle w:val="a0"/>
              <w:ind w:firstLineChars="0" w:firstLine="0"/>
              <w:jc w:val="center"/>
            </w:pPr>
            <w:r>
              <w:rPr>
                <w:rFonts w:hint="eastAsia"/>
              </w:rPr>
              <w:t>姓名</w:t>
            </w:r>
          </w:p>
        </w:tc>
        <w:tc>
          <w:tcPr>
            <w:tcW w:w="3705" w:type="dxa"/>
          </w:tcPr>
          <w:p w:rsidR="0032586C" w:rsidRDefault="00E37314">
            <w:pPr>
              <w:pStyle w:val="a0"/>
              <w:ind w:firstLineChars="0" w:firstLine="0"/>
              <w:jc w:val="center"/>
            </w:pPr>
            <w:r>
              <w:rPr>
                <w:rFonts w:hint="eastAsia"/>
              </w:rPr>
              <w:t>电话号码</w:t>
            </w:r>
          </w:p>
        </w:tc>
        <w:tc>
          <w:tcPr>
            <w:tcW w:w="2730" w:type="dxa"/>
          </w:tcPr>
          <w:p w:rsidR="0032586C" w:rsidRDefault="00E37314">
            <w:pPr>
              <w:pStyle w:val="a0"/>
              <w:ind w:firstLine="646"/>
              <w:jc w:val="center"/>
            </w:pPr>
            <w:r>
              <w:rPr>
                <w:rFonts w:hint="eastAsia"/>
              </w:rPr>
              <w:t>电子邮箱</w:t>
            </w:r>
          </w:p>
        </w:tc>
        <w:tc>
          <w:tcPr>
            <w:tcW w:w="2610" w:type="dxa"/>
          </w:tcPr>
          <w:p w:rsidR="0032586C" w:rsidRDefault="00E37314">
            <w:pPr>
              <w:pStyle w:val="a0"/>
              <w:ind w:firstLine="646"/>
              <w:jc w:val="center"/>
            </w:pPr>
            <w:r>
              <w:rPr>
                <w:rFonts w:hint="eastAsia"/>
              </w:rPr>
              <w:t>备注</w:t>
            </w:r>
          </w:p>
        </w:tc>
      </w:tr>
      <w:tr w:rsidR="0032586C">
        <w:tc>
          <w:tcPr>
            <w:tcW w:w="954" w:type="dxa"/>
          </w:tcPr>
          <w:p w:rsidR="0032586C" w:rsidRDefault="00E37314">
            <w:pPr>
              <w:pStyle w:val="a0"/>
              <w:ind w:firstLine="646"/>
              <w:jc w:val="center"/>
            </w:pPr>
            <w:r>
              <w:rPr>
                <w:rFonts w:hint="eastAsia"/>
              </w:rPr>
              <w:t>1</w:t>
            </w:r>
          </w:p>
        </w:tc>
        <w:tc>
          <w:tcPr>
            <w:tcW w:w="2331" w:type="dxa"/>
          </w:tcPr>
          <w:p w:rsidR="0032586C" w:rsidRDefault="0032586C">
            <w:pPr>
              <w:pStyle w:val="a0"/>
              <w:ind w:firstLine="646"/>
              <w:jc w:val="center"/>
            </w:pPr>
          </w:p>
        </w:tc>
        <w:tc>
          <w:tcPr>
            <w:tcW w:w="1590" w:type="dxa"/>
          </w:tcPr>
          <w:p w:rsidR="0032586C" w:rsidRDefault="0032586C">
            <w:pPr>
              <w:pStyle w:val="a0"/>
              <w:ind w:firstLine="646"/>
              <w:jc w:val="center"/>
            </w:pPr>
          </w:p>
        </w:tc>
        <w:tc>
          <w:tcPr>
            <w:tcW w:w="3705" w:type="dxa"/>
          </w:tcPr>
          <w:p w:rsidR="0032586C" w:rsidRDefault="0032586C">
            <w:pPr>
              <w:pStyle w:val="a0"/>
              <w:ind w:firstLine="646"/>
              <w:jc w:val="center"/>
            </w:pPr>
          </w:p>
        </w:tc>
        <w:tc>
          <w:tcPr>
            <w:tcW w:w="2730" w:type="dxa"/>
          </w:tcPr>
          <w:p w:rsidR="0032586C" w:rsidRDefault="00E37314">
            <w:pPr>
              <w:pStyle w:val="a0"/>
              <w:ind w:firstLine="646"/>
              <w:jc w:val="center"/>
            </w:pPr>
            <w:r>
              <w:rPr>
                <w:rFonts w:hint="eastAsia"/>
              </w:rPr>
              <w:t>不填</w:t>
            </w:r>
          </w:p>
        </w:tc>
        <w:tc>
          <w:tcPr>
            <w:tcW w:w="2610" w:type="dxa"/>
          </w:tcPr>
          <w:p w:rsidR="0032586C" w:rsidRDefault="00E37314">
            <w:pPr>
              <w:pStyle w:val="a0"/>
              <w:ind w:firstLine="646"/>
              <w:jc w:val="center"/>
            </w:pPr>
            <w:r>
              <w:rPr>
                <w:rFonts w:hint="eastAsia"/>
              </w:rPr>
              <w:t>主要领导</w:t>
            </w:r>
          </w:p>
        </w:tc>
      </w:tr>
      <w:tr w:rsidR="0032586C">
        <w:tc>
          <w:tcPr>
            <w:tcW w:w="954" w:type="dxa"/>
          </w:tcPr>
          <w:p w:rsidR="0032586C" w:rsidRDefault="00E37314">
            <w:pPr>
              <w:pStyle w:val="a0"/>
              <w:ind w:firstLine="646"/>
              <w:jc w:val="center"/>
            </w:pPr>
            <w:r>
              <w:rPr>
                <w:rFonts w:hint="eastAsia"/>
              </w:rPr>
              <w:t>2</w:t>
            </w:r>
          </w:p>
        </w:tc>
        <w:tc>
          <w:tcPr>
            <w:tcW w:w="2331" w:type="dxa"/>
          </w:tcPr>
          <w:p w:rsidR="0032586C" w:rsidRDefault="0032586C">
            <w:pPr>
              <w:pStyle w:val="a0"/>
              <w:ind w:firstLine="646"/>
              <w:jc w:val="center"/>
            </w:pPr>
          </w:p>
        </w:tc>
        <w:tc>
          <w:tcPr>
            <w:tcW w:w="1590" w:type="dxa"/>
          </w:tcPr>
          <w:p w:rsidR="0032586C" w:rsidRDefault="0032586C">
            <w:pPr>
              <w:pStyle w:val="a0"/>
              <w:ind w:firstLine="646"/>
              <w:jc w:val="center"/>
            </w:pPr>
          </w:p>
        </w:tc>
        <w:tc>
          <w:tcPr>
            <w:tcW w:w="3705" w:type="dxa"/>
          </w:tcPr>
          <w:p w:rsidR="0032586C" w:rsidRDefault="0032586C">
            <w:pPr>
              <w:pStyle w:val="a0"/>
              <w:ind w:firstLine="646"/>
              <w:jc w:val="center"/>
            </w:pPr>
          </w:p>
        </w:tc>
        <w:tc>
          <w:tcPr>
            <w:tcW w:w="2730" w:type="dxa"/>
          </w:tcPr>
          <w:p w:rsidR="0032586C" w:rsidRDefault="00E37314">
            <w:pPr>
              <w:pStyle w:val="a0"/>
              <w:ind w:firstLine="646"/>
              <w:jc w:val="center"/>
            </w:pPr>
            <w:r>
              <w:rPr>
                <w:rFonts w:hint="eastAsia"/>
              </w:rPr>
              <w:t>不填</w:t>
            </w:r>
          </w:p>
        </w:tc>
        <w:tc>
          <w:tcPr>
            <w:tcW w:w="2610" w:type="dxa"/>
          </w:tcPr>
          <w:p w:rsidR="0032586C" w:rsidRDefault="00E37314">
            <w:pPr>
              <w:pStyle w:val="a0"/>
              <w:ind w:firstLine="646"/>
              <w:jc w:val="center"/>
            </w:pPr>
            <w:r>
              <w:rPr>
                <w:rFonts w:hint="eastAsia"/>
              </w:rPr>
              <w:t>分管领导</w:t>
            </w:r>
          </w:p>
        </w:tc>
      </w:tr>
      <w:tr w:rsidR="0032586C">
        <w:tc>
          <w:tcPr>
            <w:tcW w:w="954" w:type="dxa"/>
          </w:tcPr>
          <w:p w:rsidR="0032586C" w:rsidRDefault="00E37314">
            <w:pPr>
              <w:pStyle w:val="a0"/>
              <w:ind w:firstLine="646"/>
              <w:jc w:val="center"/>
            </w:pPr>
            <w:r>
              <w:rPr>
                <w:rFonts w:hint="eastAsia"/>
              </w:rPr>
              <w:t>3</w:t>
            </w:r>
          </w:p>
        </w:tc>
        <w:tc>
          <w:tcPr>
            <w:tcW w:w="2331" w:type="dxa"/>
          </w:tcPr>
          <w:p w:rsidR="0032586C" w:rsidRDefault="0032586C">
            <w:pPr>
              <w:pStyle w:val="a0"/>
              <w:ind w:firstLine="646"/>
              <w:jc w:val="center"/>
            </w:pPr>
          </w:p>
        </w:tc>
        <w:tc>
          <w:tcPr>
            <w:tcW w:w="1590" w:type="dxa"/>
          </w:tcPr>
          <w:p w:rsidR="0032586C" w:rsidRDefault="0032586C">
            <w:pPr>
              <w:pStyle w:val="a0"/>
              <w:ind w:firstLine="646"/>
              <w:jc w:val="center"/>
            </w:pPr>
          </w:p>
        </w:tc>
        <w:tc>
          <w:tcPr>
            <w:tcW w:w="3705" w:type="dxa"/>
          </w:tcPr>
          <w:p w:rsidR="0032586C" w:rsidRDefault="0032586C">
            <w:pPr>
              <w:pStyle w:val="a0"/>
              <w:ind w:firstLine="646"/>
              <w:jc w:val="center"/>
            </w:pPr>
          </w:p>
        </w:tc>
        <w:tc>
          <w:tcPr>
            <w:tcW w:w="2730" w:type="dxa"/>
          </w:tcPr>
          <w:p w:rsidR="0032586C" w:rsidRDefault="0032586C">
            <w:pPr>
              <w:pStyle w:val="a0"/>
              <w:ind w:firstLine="646"/>
              <w:jc w:val="center"/>
            </w:pPr>
          </w:p>
        </w:tc>
        <w:tc>
          <w:tcPr>
            <w:tcW w:w="2610" w:type="dxa"/>
          </w:tcPr>
          <w:p w:rsidR="0032586C" w:rsidRDefault="00E37314">
            <w:pPr>
              <w:pStyle w:val="a0"/>
              <w:ind w:firstLineChars="0" w:firstLine="0"/>
              <w:jc w:val="center"/>
            </w:pPr>
            <w:r>
              <w:rPr>
                <w:rFonts w:hint="eastAsia"/>
              </w:rPr>
              <w:t xml:space="preserve">  具体工作人员</w:t>
            </w:r>
          </w:p>
        </w:tc>
      </w:tr>
      <w:tr w:rsidR="0032586C">
        <w:tc>
          <w:tcPr>
            <w:tcW w:w="954" w:type="dxa"/>
          </w:tcPr>
          <w:p w:rsidR="0032586C" w:rsidRDefault="0032586C">
            <w:pPr>
              <w:pStyle w:val="a0"/>
              <w:ind w:firstLine="646"/>
              <w:jc w:val="center"/>
            </w:pPr>
          </w:p>
        </w:tc>
        <w:tc>
          <w:tcPr>
            <w:tcW w:w="2331" w:type="dxa"/>
          </w:tcPr>
          <w:p w:rsidR="0032586C" w:rsidRDefault="0032586C">
            <w:pPr>
              <w:pStyle w:val="a0"/>
              <w:ind w:firstLine="646"/>
              <w:jc w:val="center"/>
            </w:pPr>
          </w:p>
        </w:tc>
        <w:tc>
          <w:tcPr>
            <w:tcW w:w="1590" w:type="dxa"/>
          </w:tcPr>
          <w:p w:rsidR="0032586C" w:rsidRDefault="0032586C">
            <w:pPr>
              <w:pStyle w:val="a0"/>
              <w:ind w:firstLine="646"/>
              <w:jc w:val="center"/>
            </w:pPr>
          </w:p>
        </w:tc>
        <w:tc>
          <w:tcPr>
            <w:tcW w:w="3705" w:type="dxa"/>
          </w:tcPr>
          <w:p w:rsidR="0032586C" w:rsidRDefault="0032586C">
            <w:pPr>
              <w:pStyle w:val="a0"/>
              <w:ind w:firstLine="646"/>
              <w:jc w:val="center"/>
            </w:pPr>
          </w:p>
        </w:tc>
        <w:tc>
          <w:tcPr>
            <w:tcW w:w="2730" w:type="dxa"/>
          </w:tcPr>
          <w:p w:rsidR="0032586C" w:rsidRDefault="0032586C">
            <w:pPr>
              <w:pStyle w:val="a0"/>
              <w:ind w:firstLine="646"/>
              <w:jc w:val="center"/>
            </w:pPr>
          </w:p>
        </w:tc>
        <w:tc>
          <w:tcPr>
            <w:tcW w:w="2610" w:type="dxa"/>
          </w:tcPr>
          <w:p w:rsidR="0032586C" w:rsidRDefault="0032586C">
            <w:pPr>
              <w:pStyle w:val="a0"/>
              <w:ind w:firstLine="646"/>
              <w:jc w:val="center"/>
            </w:pPr>
          </w:p>
        </w:tc>
      </w:tr>
    </w:tbl>
    <w:p w:rsidR="0032586C" w:rsidRDefault="0032586C">
      <w:pPr>
        <w:pStyle w:val="a0"/>
        <w:ind w:firstLineChars="0" w:firstLine="0"/>
        <w:jc w:val="center"/>
      </w:pPr>
    </w:p>
    <w:p w:rsidR="0032586C" w:rsidRDefault="0032586C">
      <w:pPr>
        <w:pStyle w:val="a0"/>
        <w:ind w:firstLineChars="0" w:firstLine="0"/>
        <w:jc w:val="center"/>
      </w:pPr>
    </w:p>
    <w:p w:rsidR="0032586C" w:rsidRDefault="0032586C">
      <w:pPr>
        <w:pStyle w:val="a0"/>
        <w:ind w:firstLineChars="0" w:firstLine="0"/>
        <w:jc w:val="center"/>
      </w:pPr>
    </w:p>
    <w:p w:rsidR="0032586C" w:rsidRDefault="0032586C">
      <w:pPr>
        <w:pStyle w:val="a0"/>
        <w:ind w:firstLineChars="0" w:firstLine="0"/>
        <w:jc w:val="center"/>
      </w:pPr>
    </w:p>
    <w:p w:rsidR="0032586C" w:rsidRDefault="0032586C">
      <w:pPr>
        <w:pStyle w:val="a0"/>
        <w:ind w:firstLineChars="0" w:firstLine="0"/>
        <w:jc w:val="center"/>
      </w:pPr>
    </w:p>
    <w:p w:rsidR="0032586C" w:rsidRDefault="00E37314">
      <w:pPr>
        <w:pStyle w:val="a0"/>
        <w:ind w:firstLineChars="0" w:firstLine="0"/>
        <w:jc w:val="left"/>
        <w:rPr>
          <w:rFonts w:ascii="黑体" w:eastAsia="黑体" w:hAnsi="黑体"/>
          <w:sz w:val="20"/>
        </w:rPr>
      </w:pPr>
      <w:r>
        <w:rPr>
          <w:rFonts w:ascii="黑体" w:eastAsia="黑体" w:hAnsi="黑体" w:cs="黑体" w:hint="eastAsia"/>
        </w:rPr>
        <w:lastRenderedPageBreak/>
        <w:t>附件2：</w:t>
      </w:r>
    </w:p>
    <w:p w:rsidR="0032586C" w:rsidRDefault="00E37314">
      <w:pPr>
        <w:widowControl w:val="0"/>
        <w:jc w:val="center"/>
        <w:textAlignment w:val="baseline"/>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昆明市晋宁区2021年全面优化提升营商环境工作责任清单</w:t>
      </w:r>
    </w:p>
    <w:tbl>
      <w:tblPr>
        <w:tblStyle w:val="a6"/>
        <w:tblW w:w="12895" w:type="dxa"/>
        <w:jc w:val="center"/>
        <w:tblLayout w:type="fixed"/>
        <w:tblLook w:val="04A0"/>
      </w:tblPr>
      <w:tblGrid>
        <w:gridCol w:w="1129"/>
        <w:gridCol w:w="1843"/>
        <w:gridCol w:w="4678"/>
        <w:gridCol w:w="1559"/>
        <w:gridCol w:w="1843"/>
        <w:gridCol w:w="1843"/>
      </w:tblGrid>
      <w:tr w:rsidR="0032586C">
        <w:trPr>
          <w:trHeight w:val="688"/>
          <w:tblHeader/>
          <w:jc w:val="center"/>
        </w:trPr>
        <w:tc>
          <w:tcPr>
            <w:tcW w:w="1129" w:type="dxa"/>
            <w:vAlign w:val="center"/>
          </w:tcPr>
          <w:p w:rsidR="0032586C" w:rsidRDefault="00E37314">
            <w:pPr>
              <w:snapToGrid w:val="0"/>
              <w:spacing w:line="240" w:lineRule="auto"/>
              <w:jc w:val="center"/>
              <w:textAlignment w:val="baseline"/>
              <w:rPr>
                <w:rFonts w:ascii="黑体" w:eastAsia="黑体" w:hAnsi="黑体"/>
                <w:sz w:val="21"/>
                <w:szCs w:val="21"/>
              </w:rPr>
            </w:pPr>
            <w:r>
              <w:rPr>
                <w:rFonts w:ascii="黑体" w:eastAsia="黑体" w:hAnsi="黑体" w:hint="eastAsia"/>
                <w:sz w:val="21"/>
                <w:szCs w:val="21"/>
              </w:rPr>
              <w:t>改革目标</w:t>
            </w:r>
          </w:p>
        </w:tc>
        <w:tc>
          <w:tcPr>
            <w:tcW w:w="1843" w:type="dxa"/>
            <w:vAlign w:val="center"/>
          </w:tcPr>
          <w:p w:rsidR="0032586C" w:rsidRDefault="00E37314">
            <w:pPr>
              <w:snapToGrid w:val="0"/>
              <w:spacing w:line="240" w:lineRule="auto"/>
              <w:jc w:val="center"/>
              <w:textAlignment w:val="baseline"/>
              <w:rPr>
                <w:rFonts w:ascii="黑体" w:eastAsia="黑体" w:hAnsi="黑体"/>
                <w:sz w:val="21"/>
                <w:szCs w:val="21"/>
              </w:rPr>
            </w:pPr>
            <w:r>
              <w:rPr>
                <w:rFonts w:ascii="黑体" w:eastAsia="黑体" w:hAnsi="黑体" w:hint="eastAsia"/>
                <w:sz w:val="21"/>
                <w:szCs w:val="21"/>
              </w:rPr>
              <w:t>改革内容</w:t>
            </w:r>
          </w:p>
        </w:tc>
        <w:tc>
          <w:tcPr>
            <w:tcW w:w="4678" w:type="dxa"/>
            <w:vAlign w:val="center"/>
          </w:tcPr>
          <w:p w:rsidR="0032586C" w:rsidRDefault="00E37314">
            <w:pPr>
              <w:snapToGrid w:val="0"/>
              <w:spacing w:line="240" w:lineRule="auto"/>
              <w:jc w:val="center"/>
              <w:textAlignment w:val="baseline"/>
              <w:rPr>
                <w:rFonts w:ascii="黑体" w:eastAsia="黑体" w:hAnsi="黑体"/>
                <w:sz w:val="21"/>
                <w:szCs w:val="21"/>
              </w:rPr>
            </w:pPr>
            <w:r>
              <w:rPr>
                <w:rFonts w:ascii="黑体" w:eastAsia="黑体" w:hAnsi="黑体" w:hint="eastAsia"/>
                <w:sz w:val="21"/>
                <w:szCs w:val="21"/>
              </w:rPr>
              <w:t>重点任务</w:t>
            </w:r>
          </w:p>
        </w:tc>
        <w:tc>
          <w:tcPr>
            <w:tcW w:w="1559" w:type="dxa"/>
            <w:vAlign w:val="center"/>
          </w:tcPr>
          <w:p w:rsidR="0032586C" w:rsidRDefault="00E37314">
            <w:pPr>
              <w:snapToGrid w:val="0"/>
              <w:spacing w:line="240" w:lineRule="auto"/>
              <w:jc w:val="center"/>
              <w:textAlignment w:val="baseline"/>
              <w:rPr>
                <w:rFonts w:ascii="黑体" w:eastAsia="黑体" w:hAnsi="黑体"/>
                <w:sz w:val="21"/>
                <w:szCs w:val="21"/>
              </w:rPr>
            </w:pPr>
            <w:r>
              <w:rPr>
                <w:rFonts w:ascii="黑体" w:eastAsia="黑体" w:hAnsi="黑体" w:hint="eastAsia"/>
                <w:sz w:val="21"/>
                <w:szCs w:val="21"/>
              </w:rPr>
              <w:t>牵头单位</w:t>
            </w:r>
          </w:p>
        </w:tc>
        <w:tc>
          <w:tcPr>
            <w:tcW w:w="1843" w:type="dxa"/>
            <w:vAlign w:val="center"/>
          </w:tcPr>
          <w:p w:rsidR="0032586C" w:rsidRDefault="00E37314">
            <w:pPr>
              <w:snapToGrid w:val="0"/>
              <w:spacing w:line="240" w:lineRule="auto"/>
              <w:jc w:val="center"/>
              <w:textAlignment w:val="baseline"/>
              <w:rPr>
                <w:rFonts w:ascii="黑体" w:eastAsia="黑体" w:hAnsi="黑体"/>
                <w:sz w:val="21"/>
                <w:szCs w:val="21"/>
              </w:rPr>
            </w:pPr>
            <w:r>
              <w:rPr>
                <w:rFonts w:ascii="黑体" w:eastAsia="黑体" w:hAnsi="黑体" w:hint="eastAsia"/>
                <w:sz w:val="21"/>
                <w:szCs w:val="21"/>
              </w:rPr>
              <w:t>责任单位</w:t>
            </w:r>
          </w:p>
        </w:tc>
        <w:tc>
          <w:tcPr>
            <w:tcW w:w="1843" w:type="dxa"/>
            <w:vAlign w:val="center"/>
          </w:tcPr>
          <w:p w:rsidR="0032586C" w:rsidRDefault="00E37314">
            <w:pPr>
              <w:snapToGrid w:val="0"/>
              <w:spacing w:line="240" w:lineRule="auto"/>
              <w:jc w:val="center"/>
              <w:textAlignment w:val="baseline"/>
              <w:rPr>
                <w:rFonts w:ascii="黑体" w:eastAsia="黑体" w:hAnsi="黑体"/>
                <w:sz w:val="21"/>
                <w:szCs w:val="21"/>
              </w:rPr>
            </w:pPr>
            <w:r>
              <w:rPr>
                <w:rFonts w:ascii="黑体" w:eastAsia="黑体" w:hAnsi="黑体" w:hint="eastAsia"/>
                <w:sz w:val="21"/>
                <w:szCs w:val="21"/>
              </w:rPr>
              <w:t>完成时限</w:t>
            </w:r>
          </w:p>
        </w:tc>
      </w:tr>
      <w:tr w:rsidR="0032586C">
        <w:trPr>
          <w:trHeight w:val="839"/>
          <w:jc w:val="center"/>
        </w:trPr>
        <w:tc>
          <w:tcPr>
            <w:tcW w:w="1129" w:type="dxa"/>
            <w:vMerge w:val="restart"/>
            <w:vAlign w:val="center"/>
          </w:tcPr>
          <w:p w:rsidR="0032586C" w:rsidRDefault="00E37314">
            <w:pPr>
              <w:snapToGrid w:val="0"/>
              <w:spacing w:line="240" w:lineRule="auto"/>
              <w:jc w:val="center"/>
              <w:textAlignment w:val="baseline"/>
              <w:rPr>
                <w:sz w:val="21"/>
                <w:szCs w:val="21"/>
              </w:rPr>
            </w:pPr>
            <w:r>
              <w:rPr>
                <w:rFonts w:hint="eastAsia"/>
                <w:sz w:val="21"/>
                <w:szCs w:val="21"/>
              </w:rPr>
              <w:t>全面提升企业生产经营环境，让市场主体顺心</w:t>
            </w:r>
          </w:p>
        </w:tc>
        <w:tc>
          <w:tcPr>
            <w:tcW w:w="1843" w:type="dxa"/>
            <w:vMerge w:val="restart"/>
            <w:vAlign w:val="center"/>
          </w:tcPr>
          <w:p w:rsidR="0032586C" w:rsidRDefault="00E37314">
            <w:pPr>
              <w:snapToGrid w:val="0"/>
              <w:spacing w:line="240" w:lineRule="auto"/>
              <w:jc w:val="center"/>
              <w:textAlignment w:val="baseline"/>
              <w:rPr>
                <w:sz w:val="21"/>
                <w:szCs w:val="21"/>
              </w:rPr>
            </w:pPr>
            <w:r>
              <w:rPr>
                <w:rFonts w:hint="eastAsia"/>
                <w:sz w:val="21"/>
                <w:szCs w:val="21"/>
              </w:rPr>
              <w:t>招标投标</w:t>
            </w:r>
          </w:p>
        </w:tc>
        <w:tc>
          <w:tcPr>
            <w:tcW w:w="4678" w:type="dxa"/>
            <w:vAlign w:val="center"/>
          </w:tcPr>
          <w:p w:rsidR="0032586C" w:rsidRDefault="00E37314">
            <w:pPr>
              <w:snapToGrid w:val="0"/>
              <w:spacing w:line="240" w:lineRule="auto"/>
              <w:textAlignment w:val="baseline"/>
              <w:rPr>
                <w:sz w:val="21"/>
                <w:szCs w:val="21"/>
              </w:rPr>
            </w:pPr>
            <w:r>
              <w:rPr>
                <w:rFonts w:hint="eastAsia"/>
                <w:sz w:val="21"/>
                <w:szCs w:val="21"/>
              </w:rPr>
              <w:t>1.持续完善统一规范、全流程电子化的公共资源交易平台功能，坚持公共服务职能定位，结合流程需求，规范服务行为，提升服务水平，实施分布式部署省公共资源交易智慧化平台。</w:t>
            </w:r>
          </w:p>
        </w:tc>
        <w:tc>
          <w:tcPr>
            <w:tcW w:w="1559" w:type="dxa"/>
            <w:vMerge w:val="restart"/>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2021年12月底前</w:t>
            </w:r>
          </w:p>
        </w:tc>
      </w:tr>
      <w:tr w:rsidR="0032586C">
        <w:trPr>
          <w:trHeight w:val="1416"/>
          <w:jc w:val="center"/>
        </w:trPr>
        <w:tc>
          <w:tcPr>
            <w:tcW w:w="1129" w:type="dxa"/>
            <w:vMerge/>
            <w:vAlign w:val="center"/>
          </w:tcPr>
          <w:p w:rsidR="0032586C" w:rsidRDefault="0032586C">
            <w:pPr>
              <w:snapToGrid w:val="0"/>
              <w:spacing w:line="240" w:lineRule="auto"/>
              <w:jc w:val="center"/>
              <w:textAlignment w:val="baseline"/>
              <w:rPr>
                <w:sz w:val="21"/>
                <w:szCs w:val="21"/>
              </w:rPr>
            </w:pPr>
          </w:p>
        </w:tc>
        <w:tc>
          <w:tcPr>
            <w:tcW w:w="1843" w:type="dxa"/>
            <w:vMerge/>
            <w:vAlign w:val="center"/>
          </w:tcPr>
          <w:p w:rsidR="0032586C" w:rsidRDefault="0032586C">
            <w:pPr>
              <w:snapToGrid w:val="0"/>
              <w:spacing w:line="240" w:lineRule="auto"/>
              <w:jc w:val="center"/>
              <w:textAlignment w:val="baseline"/>
              <w:rPr>
                <w:sz w:val="21"/>
                <w:szCs w:val="21"/>
              </w:rPr>
            </w:pPr>
          </w:p>
        </w:tc>
        <w:tc>
          <w:tcPr>
            <w:tcW w:w="4678" w:type="dxa"/>
            <w:vAlign w:val="center"/>
          </w:tcPr>
          <w:p w:rsidR="0032586C" w:rsidRDefault="00E37314">
            <w:pPr>
              <w:snapToGrid w:val="0"/>
              <w:spacing w:line="240" w:lineRule="auto"/>
              <w:textAlignment w:val="baseline"/>
              <w:rPr>
                <w:sz w:val="21"/>
                <w:szCs w:val="21"/>
              </w:rPr>
            </w:pPr>
            <w:r>
              <w:rPr>
                <w:rFonts w:hint="eastAsia"/>
                <w:sz w:val="21"/>
                <w:szCs w:val="21"/>
              </w:rPr>
              <w:t>2.推进信用数据共享，对接信用中国（云南）信用数据，推动市场主体信用数据在交易平台共享共用。</w:t>
            </w:r>
          </w:p>
        </w:tc>
        <w:tc>
          <w:tcPr>
            <w:tcW w:w="1559" w:type="dxa"/>
            <w:vMerge/>
            <w:vAlign w:val="center"/>
          </w:tcPr>
          <w:p w:rsidR="0032586C" w:rsidRDefault="0032586C">
            <w:pPr>
              <w:snapToGrid w:val="0"/>
              <w:spacing w:line="240" w:lineRule="auto"/>
              <w:jc w:val="center"/>
              <w:textAlignment w:val="baseline"/>
              <w:rPr>
                <w:sz w:val="21"/>
                <w:szCs w:val="21"/>
              </w:rPr>
            </w:pP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p w:rsidR="0032586C" w:rsidRDefault="00E37314">
            <w:pPr>
              <w:snapToGrid w:val="0"/>
              <w:spacing w:line="240" w:lineRule="auto"/>
              <w:jc w:val="center"/>
              <w:textAlignment w:val="baseline"/>
              <w:rPr>
                <w:sz w:val="21"/>
                <w:szCs w:val="21"/>
              </w:rPr>
            </w:pPr>
            <w:r>
              <w:rPr>
                <w:rFonts w:hint="eastAsia"/>
                <w:sz w:val="21"/>
                <w:szCs w:val="21"/>
              </w:rPr>
              <w:t>区发展改革局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2021年12月底前</w:t>
            </w:r>
          </w:p>
        </w:tc>
      </w:tr>
      <w:tr w:rsidR="0032586C">
        <w:trPr>
          <w:trHeight w:val="1269"/>
          <w:jc w:val="center"/>
        </w:trPr>
        <w:tc>
          <w:tcPr>
            <w:tcW w:w="1129" w:type="dxa"/>
            <w:vMerge/>
            <w:vAlign w:val="center"/>
          </w:tcPr>
          <w:p w:rsidR="0032586C" w:rsidRDefault="0032586C">
            <w:pPr>
              <w:snapToGrid w:val="0"/>
              <w:spacing w:line="240" w:lineRule="auto"/>
              <w:jc w:val="center"/>
              <w:textAlignment w:val="baseline"/>
              <w:rPr>
                <w:sz w:val="21"/>
                <w:szCs w:val="21"/>
              </w:rPr>
            </w:pPr>
          </w:p>
        </w:tc>
        <w:tc>
          <w:tcPr>
            <w:tcW w:w="1843" w:type="dxa"/>
            <w:vMerge/>
            <w:vAlign w:val="center"/>
          </w:tcPr>
          <w:p w:rsidR="0032586C" w:rsidRDefault="0032586C">
            <w:pPr>
              <w:snapToGrid w:val="0"/>
              <w:spacing w:line="240" w:lineRule="auto"/>
              <w:jc w:val="center"/>
              <w:textAlignment w:val="baseline"/>
              <w:rPr>
                <w:sz w:val="21"/>
                <w:szCs w:val="21"/>
              </w:rPr>
            </w:pPr>
          </w:p>
        </w:tc>
        <w:tc>
          <w:tcPr>
            <w:tcW w:w="4678" w:type="dxa"/>
            <w:vAlign w:val="center"/>
          </w:tcPr>
          <w:p w:rsidR="0032586C" w:rsidRDefault="00E37314">
            <w:pPr>
              <w:snapToGrid w:val="0"/>
              <w:spacing w:line="240" w:lineRule="auto"/>
              <w:textAlignment w:val="baseline"/>
              <w:rPr>
                <w:sz w:val="21"/>
                <w:szCs w:val="21"/>
              </w:rPr>
            </w:pPr>
            <w:r>
              <w:rPr>
                <w:rFonts w:hint="eastAsia"/>
                <w:sz w:val="21"/>
                <w:szCs w:val="21"/>
              </w:rPr>
              <w:t>3.规范公共资源交易不良行为记录，推进“双随机、一公开”监督检查常态化。</w:t>
            </w:r>
          </w:p>
        </w:tc>
        <w:tc>
          <w:tcPr>
            <w:tcW w:w="1559" w:type="dxa"/>
            <w:vMerge/>
            <w:vAlign w:val="center"/>
          </w:tcPr>
          <w:p w:rsidR="0032586C" w:rsidRDefault="0032586C">
            <w:pPr>
              <w:snapToGrid w:val="0"/>
              <w:spacing w:line="240" w:lineRule="auto"/>
              <w:jc w:val="center"/>
              <w:textAlignment w:val="baseline"/>
              <w:rPr>
                <w:sz w:val="21"/>
                <w:szCs w:val="21"/>
              </w:rPr>
            </w:pP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2021年12月底前</w:t>
            </w:r>
          </w:p>
        </w:tc>
      </w:tr>
      <w:tr w:rsidR="0032586C">
        <w:trPr>
          <w:trHeight w:val="1269"/>
          <w:jc w:val="center"/>
        </w:trPr>
        <w:tc>
          <w:tcPr>
            <w:tcW w:w="1129" w:type="dxa"/>
            <w:vMerge/>
            <w:vAlign w:val="center"/>
          </w:tcPr>
          <w:p w:rsidR="0032586C" w:rsidRDefault="0032586C">
            <w:pPr>
              <w:snapToGrid w:val="0"/>
              <w:spacing w:line="240" w:lineRule="auto"/>
              <w:jc w:val="center"/>
              <w:textAlignment w:val="baseline"/>
              <w:rPr>
                <w:sz w:val="21"/>
                <w:szCs w:val="21"/>
              </w:rPr>
            </w:pPr>
          </w:p>
        </w:tc>
        <w:tc>
          <w:tcPr>
            <w:tcW w:w="1843" w:type="dxa"/>
            <w:vMerge/>
            <w:vAlign w:val="center"/>
          </w:tcPr>
          <w:p w:rsidR="0032586C" w:rsidRDefault="0032586C">
            <w:pPr>
              <w:snapToGrid w:val="0"/>
              <w:spacing w:line="240" w:lineRule="auto"/>
              <w:jc w:val="center"/>
              <w:textAlignment w:val="baseline"/>
              <w:rPr>
                <w:sz w:val="21"/>
                <w:szCs w:val="21"/>
              </w:rPr>
            </w:pPr>
          </w:p>
        </w:tc>
        <w:tc>
          <w:tcPr>
            <w:tcW w:w="4678" w:type="dxa"/>
            <w:vAlign w:val="center"/>
          </w:tcPr>
          <w:p w:rsidR="0032586C" w:rsidRDefault="00E37314">
            <w:pPr>
              <w:snapToGrid w:val="0"/>
              <w:spacing w:line="240" w:lineRule="auto"/>
              <w:textAlignment w:val="baseline"/>
              <w:rPr>
                <w:sz w:val="21"/>
                <w:szCs w:val="21"/>
              </w:rPr>
            </w:pPr>
            <w:r>
              <w:rPr>
                <w:rFonts w:hint="eastAsia"/>
                <w:sz w:val="21"/>
                <w:szCs w:val="21"/>
              </w:rPr>
              <w:t>4.强化监督制度创新，查找本地区存在问题，制定措施和办法，提升监督能力。</w:t>
            </w:r>
          </w:p>
        </w:tc>
        <w:tc>
          <w:tcPr>
            <w:tcW w:w="1559" w:type="dxa"/>
            <w:vMerge/>
            <w:vAlign w:val="center"/>
          </w:tcPr>
          <w:p w:rsidR="0032586C" w:rsidRDefault="0032586C">
            <w:pPr>
              <w:snapToGrid w:val="0"/>
              <w:spacing w:line="240" w:lineRule="auto"/>
              <w:jc w:val="center"/>
              <w:textAlignment w:val="baseline"/>
              <w:rPr>
                <w:sz w:val="21"/>
                <w:szCs w:val="21"/>
              </w:rPr>
            </w:pP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2021年12月底前</w:t>
            </w:r>
          </w:p>
        </w:tc>
      </w:tr>
      <w:tr w:rsidR="0032586C">
        <w:trPr>
          <w:trHeight w:val="1269"/>
          <w:jc w:val="center"/>
        </w:trPr>
        <w:tc>
          <w:tcPr>
            <w:tcW w:w="1129" w:type="dxa"/>
            <w:vMerge/>
            <w:vAlign w:val="center"/>
          </w:tcPr>
          <w:p w:rsidR="0032586C" w:rsidRDefault="0032586C">
            <w:pPr>
              <w:snapToGrid w:val="0"/>
              <w:spacing w:line="240" w:lineRule="auto"/>
              <w:jc w:val="center"/>
              <w:textAlignment w:val="baseline"/>
              <w:rPr>
                <w:sz w:val="21"/>
                <w:szCs w:val="21"/>
              </w:rPr>
            </w:pPr>
          </w:p>
        </w:tc>
        <w:tc>
          <w:tcPr>
            <w:tcW w:w="1843" w:type="dxa"/>
            <w:vMerge/>
            <w:vAlign w:val="center"/>
          </w:tcPr>
          <w:p w:rsidR="0032586C" w:rsidRDefault="0032586C">
            <w:pPr>
              <w:snapToGrid w:val="0"/>
              <w:spacing w:line="240" w:lineRule="auto"/>
              <w:jc w:val="center"/>
              <w:textAlignment w:val="baseline"/>
              <w:rPr>
                <w:sz w:val="21"/>
                <w:szCs w:val="21"/>
              </w:rPr>
            </w:pPr>
          </w:p>
        </w:tc>
        <w:tc>
          <w:tcPr>
            <w:tcW w:w="4678" w:type="dxa"/>
            <w:vAlign w:val="center"/>
          </w:tcPr>
          <w:p w:rsidR="0032586C" w:rsidRDefault="00E37314">
            <w:pPr>
              <w:snapToGrid w:val="0"/>
              <w:spacing w:line="240" w:lineRule="auto"/>
              <w:textAlignment w:val="baseline"/>
              <w:rPr>
                <w:sz w:val="21"/>
                <w:szCs w:val="21"/>
              </w:rPr>
            </w:pPr>
            <w:r>
              <w:rPr>
                <w:rFonts w:hint="eastAsia"/>
                <w:sz w:val="21"/>
                <w:szCs w:val="21"/>
              </w:rPr>
              <w:t>5.开展以水利工程建设项目招标投标为重点的专项治理。</w:t>
            </w:r>
          </w:p>
        </w:tc>
        <w:tc>
          <w:tcPr>
            <w:tcW w:w="1559" w:type="dxa"/>
            <w:vMerge/>
            <w:vAlign w:val="center"/>
          </w:tcPr>
          <w:p w:rsidR="0032586C" w:rsidRDefault="0032586C">
            <w:pPr>
              <w:snapToGrid w:val="0"/>
              <w:spacing w:line="240" w:lineRule="auto"/>
              <w:jc w:val="center"/>
              <w:textAlignment w:val="baseline"/>
              <w:rPr>
                <w:sz w:val="21"/>
                <w:szCs w:val="21"/>
              </w:rPr>
            </w:pP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p w:rsidR="0032586C" w:rsidRDefault="00E37314">
            <w:pPr>
              <w:snapToGrid w:val="0"/>
              <w:spacing w:line="240" w:lineRule="auto"/>
              <w:jc w:val="center"/>
              <w:textAlignment w:val="baseline"/>
              <w:rPr>
                <w:sz w:val="21"/>
                <w:szCs w:val="21"/>
              </w:rPr>
            </w:pPr>
            <w:r>
              <w:rPr>
                <w:rFonts w:hint="eastAsia"/>
                <w:sz w:val="21"/>
                <w:szCs w:val="21"/>
              </w:rPr>
              <w:t>区水务局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2021年12月底前</w:t>
            </w:r>
          </w:p>
        </w:tc>
      </w:tr>
      <w:tr w:rsidR="0032586C">
        <w:trPr>
          <w:trHeight w:val="1269"/>
          <w:jc w:val="center"/>
        </w:trPr>
        <w:tc>
          <w:tcPr>
            <w:tcW w:w="1129" w:type="dxa"/>
            <w:vMerge/>
            <w:vAlign w:val="center"/>
          </w:tcPr>
          <w:p w:rsidR="0032586C" w:rsidRDefault="0032586C">
            <w:pPr>
              <w:snapToGrid w:val="0"/>
              <w:spacing w:line="240" w:lineRule="auto"/>
              <w:jc w:val="center"/>
              <w:textAlignment w:val="baseline"/>
              <w:rPr>
                <w:sz w:val="21"/>
                <w:szCs w:val="21"/>
              </w:rPr>
            </w:pPr>
          </w:p>
        </w:tc>
        <w:tc>
          <w:tcPr>
            <w:tcW w:w="1843" w:type="dxa"/>
            <w:vMerge/>
            <w:vAlign w:val="center"/>
          </w:tcPr>
          <w:p w:rsidR="0032586C" w:rsidRDefault="0032586C">
            <w:pPr>
              <w:snapToGrid w:val="0"/>
              <w:spacing w:line="240" w:lineRule="auto"/>
              <w:jc w:val="center"/>
              <w:textAlignment w:val="baseline"/>
              <w:rPr>
                <w:sz w:val="21"/>
                <w:szCs w:val="21"/>
              </w:rPr>
            </w:pPr>
          </w:p>
        </w:tc>
        <w:tc>
          <w:tcPr>
            <w:tcW w:w="4678" w:type="dxa"/>
            <w:vAlign w:val="center"/>
          </w:tcPr>
          <w:p w:rsidR="0032586C" w:rsidRDefault="00E37314">
            <w:pPr>
              <w:snapToGrid w:val="0"/>
              <w:spacing w:line="240" w:lineRule="auto"/>
              <w:textAlignment w:val="baseline"/>
              <w:rPr>
                <w:sz w:val="21"/>
                <w:szCs w:val="21"/>
              </w:rPr>
            </w:pPr>
            <w:r>
              <w:rPr>
                <w:rFonts w:hint="eastAsia"/>
                <w:sz w:val="21"/>
                <w:szCs w:val="21"/>
              </w:rPr>
              <w:t>6.按照“规则统一、权责清晰、竞争有序、监管到位”的要求，规范推进投标保函运用。</w:t>
            </w:r>
          </w:p>
        </w:tc>
        <w:tc>
          <w:tcPr>
            <w:tcW w:w="1559" w:type="dxa"/>
            <w:vMerge/>
            <w:vAlign w:val="center"/>
          </w:tcPr>
          <w:p w:rsidR="0032586C" w:rsidRDefault="0032586C">
            <w:pPr>
              <w:snapToGrid w:val="0"/>
              <w:spacing w:line="240" w:lineRule="auto"/>
              <w:jc w:val="center"/>
              <w:textAlignment w:val="baseline"/>
              <w:rPr>
                <w:sz w:val="21"/>
                <w:szCs w:val="21"/>
              </w:rPr>
            </w:pP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区政务局</w:t>
            </w:r>
          </w:p>
        </w:tc>
        <w:tc>
          <w:tcPr>
            <w:tcW w:w="1843" w:type="dxa"/>
            <w:vAlign w:val="center"/>
          </w:tcPr>
          <w:p w:rsidR="0032586C" w:rsidRDefault="00E37314">
            <w:pPr>
              <w:snapToGrid w:val="0"/>
              <w:spacing w:line="240" w:lineRule="auto"/>
              <w:jc w:val="center"/>
              <w:textAlignment w:val="baseline"/>
              <w:rPr>
                <w:sz w:val="21"/>
                <w:szCs w:val="21"/>
              </w:rPr>
            </w:pPr>
            <w:r>
              <w:rPr>
                <w:rFonts w:hint="eastAsia"/>
                <w:sz w:val="21"/>
                <w:szCs w:val="21"/>
              </w:rPr>
              <w:t>2021年12月底前</w:t>
            </w:r>
          </w:p>
        </w:tc>
      </w:tr>
    </w:tbl>
    <w:p w:rsidR="0032586C" w:rsidRDefault="0032586C">
      <w:pPr>
        <w:pStyle w:val="a0"/>
        <w:ind w:firstLineChars="0" w:firstLine="0"/>
      </w:pPr>
    </w:p>
    <w:p w:rsidR="0032586C" w:rsidRDefault="0032586C"/>
    <w:sectPr w:rsidR="0032586C" w:rsidSect="00BA0B48">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3C7" w:rsidRDefault="00E053C7">
      <w:pPr>
        <w:spacing w:line="240" w:lineRule="auto"/>
      </w:pPr>
      <w:r>
        <w:separator/>
      </w:r>
    </w:p>
  </w:endnote>
  <w:endnote w:type="continuationSeparator" w:id="1">
    <w:p w:rsidR="00E053C7" w:rsidRDefault="00E053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86C" w:rsidRDefault="00BA0B48">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196.8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stroked="f" strokeweight=".5pt">
          <v:textbox style="mso-fit-shape-to-text:t" inset="0,0,0,0">
            <w:txbxContent>
              <w:p w:rsidR="0032586C" w:rsidRDefault="00BA0B48">
                <w:pPr>
                  <w:pStyle w:val="a4"/>
                </w:pPr>
                <w:r>
                  <w:rPr>
                    <w:rFonts w:hint="eastAsia"/>
                  </w:rPr>
                  <w:fldChar w:fldCharType="begin"/>
                </w:r>
                <w:r w:rsidR="00E37314">
                  <w:rPr>
                    <w:rFonts w:hint="eastAsia"/>
                  </w:rPr>
                  <w:instrText xml:space="preserve"> PAGE  \* MERGEFORMAT </w:instrText>
                </w:r>
                <w:r>
                  <w:rPr>
                    <w:rFonts w:hint="eastAsia"/>
                  </w:rPr>
                  <w:fldChar w:fldCharType="separate"/>
                </w:r>
                <w:r w:rsidR="00F45BA4">
                  <w:rPr>
                    <w:noProof/>
                  </w:rPr>
                  <w:t>- 4 -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3C7" w:rsidRDefault="00E053C7">
      <w:pPr>
        <w:spacing w:line="240" w:lineRule="auto"/>
      </w:pPr>
      <w:r>
        <w:separator/>
      </w:r>
    </w:p>
  </w:footnote>
  <w:footnote w:type="continuationSeparator" w:id="1">
    <w:p w:rsidR="00E053C7" w:rsidRDefault="00E053C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DB6152"/>
    <w:rsid w:val="00027917"/>
    <w:rsid w:val="0032586C"/>
    <w:rsid w:val="00615697"/>
    <w:rsid w:val="006B7DBC"/>
    <w:rsid w:val="00BA0B48"/>
    <w:rsid w:val="00E053C7"/>
    <w:rsid w:val="00E37314"/>
    <w:rsid w:val="00F45BA4"/>
    <w:rsid w:val="03F4380B"/>
    <w:rsid w:val="05FB1817"/>
    <w:rsid w:val="06A01AF6"/>
    <w:rsid w:val="09EC08E5"/>
    <w:rsid w:val="0CD77A30"/>
    <w:rsid w:val="0DCE2944"/>
    <w:rsid w:val="11515553"/>
    <w:rsid w:val="170A7C8C"/>
    <w:rsid w:val="19BB5B3D"/>
    <w:rsid w:val="1ADE683C"/>
    <w:rsid w:val="1E182ECA"/>
    <w:rsid w:val="218455C6"/>
    <w:rsid w:val="28E24EB8"/>
    <w:rsid w:val="2AB24F59"/>
    <w:rsid w:val="2F243B1C"/>
    <w:rsid w:val="317E18DA"/>
    <w:rsid w:val="35F27AFE"/>
    <w:rsid w:val="36197FA5"/>
    <w:rsid w:val="37980C99"/>
    <w:rsid w:val="3A741B21"/>
    <w:rsid w:val="3D5C37EC"/>
    <w:rsid w:val="400F4557"/>
    <w:rsid w:val="40417CA7"/>
    <w:rsid w:val="42741713"/>
    <w:rsid w:val="4781689B"/>
    <w:rsid w:val="4891749B"/>
    <w:rsid w:val="52DB6152"/>
    <w:rsid w:val="56AF617B"/>
    <w:rsid w:val="56F426B7"/>
    <w:rsid w:val="5B38668D"/>
    <w:rsid w:val="61BB6B8C"/>
    <w:rsid w:val="6D9B3A2D"/>
    <w:rsid w:val="6FF225B9"/>
    <w:rsid w:val="71E16A79"/>
    <w:rsid w:val="733642D4"/>
    <w:rsid w:val="74486E6C"/>
    <w:rsid w:val="7CA434DD"/>
    <w:rsid w:val="7F525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A0B48"/>
    <w:pPr>
      <w:spacing w:line="240" w:lineRule="atLeast"/>
      <w:jc w:val="both"/>
    </w:pPr>
    <w:rPr>
      <w:rFonts w:ascii="仿宋_GB2312" w:eastAsia="仿宋_GB2312"/>
      <w:sz w:val="3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实施方案正文"/>
    <w:basedOn w:val="a"/>
    <w:uiPriority w:val="99"/>
    <w:qFormat/>
    <w:rsid w:val="00BA0B48"/>
    <w:pPr>
      <w:ind w:firstLineChars="202" w:firstLine="566"/>
    </w:pPr>
    <w:rPr>
      <w:szCs w:val="28"/>
    </w:rPr>
  </w:style>
  <w:style w:type="paragraph" w:styleId="a4">
    <w:name w:val="footer"/>
    <w:uiPriority w:val="99"/>
    <w:unhideWhenUsed/>
    <w:qFormat/>
    <w:rsid w:val="00BA0B48"/>
    <w:pPr>
      <w:tabs>
        <w:tab w:val="center" w:pos="4320"/>
        <w:tab w:val="right" w:pos="8640"/>
      </w:tabs>
      <w:jc w:val="both"/>
    </w:pPr>
    <w:rPr>
      <w:rFonts w:ascii="仿宋_GB2312" w:eastAsia="仿宋_GB2312"/>
      <w:sz w:val="32"/>
      <w:szCs w:val="22"/>
    </w:rPr>
  </w:style>
  <w:style w:type="paragraph" w:styleId="a5">
    <w:name w:val="header"/>
    <w:basedOn w:val="a"/>
    <w:rsid w:val="00BA0B4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2"/>
    <w:rsid w:val="00BA0B4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spacing w:line="240" w:lineRule="atLeast"/>
      <w:jc w:val="both"/>
    </w:pPr>
    <w:rPr>
      <w:rFonts w:ascii="仿宋_GB2312" w:eastAsia="仿宋_GB231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实施方案正文"/>
    <w:basedOn w:val="a"/>
    <w:uiPriority w:val="99"/>
    <w:qFormat/>
    <w:pPr>
      <w:ind w:firstLineChars="202" w:firstLine="566"/>
    </w:pPr>
    <w:rPr>
      <w:szCs w:val="28"/>
    </w:rPr>
  </w:style>
  <w:style w:type="paragraph" w:styleId="a4">
    <w:name w:val="footer"/>
    <w:uiPriority w:val="99"/>
    <w:unhideWhenUsed/>
    <w:qFormat/>
    <w:pPr>
      <w:tabs>
        <w:tab w:val="center" w:pos="4320"/>
        <w:tab w:val="right" w:pos="8640"/>
      </w:tabs>
      <w:jc w:val="both"/>
    </w:pPr>
    <w:rPr>
      <w:rFonts w:ascii="仿宋_GB2312" w:eastAsia="仿宋_GB2312"/>
      <w:sz w:val="32"/>
      <w:szCs w:val="22"/>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table" w:styleId="a6">
    <w:name w:val="Table Grid"/>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309</Words>
  <Characters>1766</Characters>
  <Application>Microsoft Office Word</Application>
  <DocSecurity>0</DocSecurity>
  <Lines>14</Lines>
  <Paragraphs>4</Paragraphs>
  <ScaleCrop>false</ScaleCrop>
  <Company>昆明市晋宁区党政机关单位</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温柔一刀Lzr</dc:creator>
  <cp:lastModifiedBy>XSD</cp:lastModifiedBy>
  <cp:revision>4</cp:revision>
  <dcterms:created xsi:type="dcterms:W3CDTF">2021-09-07T06:23:00Z</dcterms:created>
  <dcterms:modified xsi:type="dcterms:W3CDTF">2021-09-08T05:13:00Z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