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晋宁区区属企业国有资本收益收取管理办法</w:t>
      </w:r>
    </w:p>
    <w:p>
      <w:pPr>
        <w:spacing w:line="620" w:lineRule="exact"/>
        <w:jc w:val="center"/>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征求意见</w:t>
      </w:r>
      <w:r>
        <w:rPr>
          <w:rFonts w:hint="eastAsia" w:ascii="楷体" w:hAnsi="楷体" w:eastAsia="楷体"/>
          <w:sz w:val="32"/>
          <w:szCs w:val="32"/>
        </w:rPr>
        <w:t>稿）</w:t>
      </w:r>
    </w:p>
    <w:p>
      <w:pPr>
        <w:widowControl/>
        <w:spacing w:line="560" w:lineRule="exact"/>
        <w:jc w:val="center"/>
        <w:rPr>
          <w:rFonts w:ascii="方正小标宋_GBK" w:hAnsi="方正小标宋_GBK" w:eastAsia="方正小标宋_GBK" w:cs="方正小标宋_GBK"/>
          <w:kern w:val="0"/>
          <w:sz w:val="44"/>
          <w:szCs w:val="44"/>
        </w:rPr>
      </w:pPr>
    </w:p>
    <w:p>
      <w:pPr>
        <w:widowControl/>
        <w:spacing w:line="620" w:lineRule="exact"/>
        <w:jc w:val="center"/>
        <w:rPr>
          <w:rFonts w:ascii="黑体" w:hAnsi="黑体" w:eastAsia="黑体" w:cs="黑体"/>
          <w:kern w:val="0"/>
          <w:sz w:val="32"/>
          <w:szCs w:val="32"/>
        </w:rPr>
      </w:pPr>
      <w:r>
        <w:rPr>
          <w:rFonts w:hint="eastAsia" w:ascii="黑体" w:hAnsi="黑体" w:eastAsia="黑体" w:cs="黑体"/>
          <w:kern w:val="0"/>
          <w:sz w:val="32"/>
          <w:szCs w:val="32"/>
        </w:rPr>
        <w:t>第一章  总  则</w:t>
      </w:r>
    </w:p>
    <w:p>
      <w:pPr>
        <w:widowControl/>
        <w:spacing w:line="620" w:lineRule="exact"/>
        <w:ind w:firstLine="643" w:firstLineChars="200"/>
        <w:rPr>
          <w:rFonts w:ascii="仿宋_GB2312" w:hAnsi="仿宋_GB2312" w:eastAsia="仿宋_GB2312" w:cs="仿宋_GB2312"/>
          <w:kern w:val="21"/>
          <w:sz w:val="32"/>
          <w:szCs w:val="32"/>
        </w:rPr>
      </w:pPr>
      <w:r>
        <w:rPr>
          <w:rFonts w:hint="eastAsia" w:ascii="仿宋_GB2312" w:hAnsi="黑体" w:eastAsia="仿宋_GB2312" w:cs="黑体"/>
          <w:b/>
          <w:kern w:val="0"/>
          <w:sz w:val="32"/>
          <w:szCs w:val="32"/>
        </w:rPr>
        <w:t>第一条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为加强区属企业国有资本收益</w:t>
      </w:r>
      <w:bookmarkStart w:id="0" w:name="_GoBack"/>
      <w:bookmarkEnd w:id="0"/>
      <w:r>
        <w:rPr>
          <w:rFonts w:hint="eastAsia" w:ascii="仿宋_GB2312" w:hAnsi="仿宋_GB2312" w:eastAsia="仿宋_GB2312" w:cs="仿宋_GB2312"/>
          <w:kern w:val="0"/>
          <w:sz w:val="32"/>
          <w:szCs w:val="32"/>
        </w:rPr>
        <w:t>管理，依据《中华人民</w:t>
      </w:r>
      <w:r>
        <w:rPr>
          <w:rFonts w:hint="eastAsia" w:ascii="仿宋_GB2312" w:hAnsi="仿宋_GB2312" w:eastAsia="仿宋_GB2312" w:cs="仿宋_GB2312"/>
          <w:kern w:val="21"/>
          <w:sz w:val="32"/>
          <w:szCs w:val="32"/>
        </w:rPr>
        <w:t>共和国公司法》、《中华人民共和国预算法》、《中华人民共</w:t>
      </w:r>
      <w:r>
        <w:rPr>
          <w:rFonts w:hint="eastAsia" w:ascii="仿宋_GB2312" w:hAnsi="仿宋_GB2312" w:eastAsia="仿宋_GB2312" w:cs="仿宋_GB2312"/>
          <w:kern w:val="0"/>
          <w:sz w:val="32"/>
          <w:szCs w:val="32"/>
        </w:rPr>
        <w:t>和国</w:t>
      </w:r>
      <w:r>
        <w:rPr>
          <w:rFonts w:hint="eastAsia" w:ascii="仿宋_GB2312" w:hAnsi="仿宋_GB2312" w:eastAsia="仿宋_GB2312" w:cs="仿宋_GB2312"/>
          <w:kern w:val="21"/>
          <w:sz w:val="32"/>
          <w:szCs w:val="32"/>
        </w:rPr>
        <w:t>企业国有资产法》、《中央企业国有资本收益收取管理办法》</w:t>
      </w:r>
      <w:r>
        <w:rPr>
          <w:rFonts w:hint="eastAsia" w:ascii="仿宋_GB2312" w:hAnsi="仿宋_GB2312" w:eastAsia="仿宋_GB2312" w:cs="仿宋_GB2312"/>
          <w:kern w:val="0"/>
          <w:sz w:val="32"/>
          <w:szCs w:val="32"/>
        </w:rPr>
        <w:t>（财</w:t>
      </w:r>
      <w:r>
        <w:rPr>
          <w:rFonts w:hint="eastAsia" w:ascii="仿宋_GB2312" w:hAnsi="仿宋_GB2312" w:eastAsia="仿宋_GB2312" w:cs="仿宋_GB2312"/>
          <w:kern w:val="21"/>
          <w:sz w:val="32"/>
          <w:szCs w:val="32"/>
        </w:rPr>
        <w:t>资〔2016〕32号）和《昆明市人民政府关于印发国有资本经营预算编报及收益收取管理两个办法的通知》（昆政发〔2012〕48号），结合区属企业实际情况，制定本办法。</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第二条</w:t>
      </w:r>
      <w:r>
        <w:rPr>
          <w:rFonts w:hint="eastAsia" w:ascii="仿宋_GB2312" w:hAnsi="黑体" w:eastAsia="仿宋_GB2312" w:cs="黑体"/>
          <w:b/>
          <w:kern w:val="0"/>
          <w:sz w:val="32"/>
          <w:szCs w:val="32"/>
          <w:u w:val="single" w:color="FFFFFF" w:themeColor="background1"/>
        </w:rPr>
        <w:t xml:space="preserve"> </w:t>
      </w:r>
      <w:r>
        <w:rPr>
          <w:rFonts w:hint="eastAsia" w:ascii="仿宋_GB2312" w:hAnsi="仿宋_GB2312" w:eastAsia="仿宋_GB2312" w:cs="仿宋_GB2312"/>
          <w:kern w:val="0"/>
          <w:sz w:val="32"/>
          <w:szCs w:val="32"/>
          <w:u w:val="single" w:color="FFFFFF" w:themeColor="background1"/>
        </w:rPr>
        <w:t xml:space="preserve"> 昆明市</w:t>
      </w:r>
      <w:r>
        <w:rPr>
          <w:rFonts w:hint="eastAsia" w:ascii="仿宋_GB2312" w:hAnsi="仿宋_GB2312" w:eastAsia="仿宋_GB2312" w:cs="仿宋_GB2312"/>
          <w:kern w:val="0"/>
          <w:sz w:val="32"/>
          <w:szCs w:val="32"/>
        </w:rPr>
        <w:t>晋宁区人民政府国有资产监督管理委员会（以下简称</w:t>
      </w:r>
      <w:r>
        <w:rPr>
          <w:rFonts w:hint="eastAsia" w:ascii="仿宋_GB2312" w:hAnsi="仿宋_GB2312" w:eastAsia="仿宋_GB2312" w:cs="仿宋_GB2312"/>
          <w:spacing w:val="-20"/>
          <w:kern w:val="13"/>
          <w:sz w:val="32"/>
          <w:szCs w:val="32"/>
        </w:rPr>
        <w:t>“区国资委”）</w:t>
      </w:r>
      <w:r>
        <w:rPr>
          <w:rFonts w:hint="eastAsia" w:ascii="仿宋_GB2312" w:hAnsi="仿宋_GB2312" w:eastAsia="仿宋_GB2312" w:cs="仿宋_GB2312"/>
          <w:kern w:val="0"/>
          <w:sz w:val="32"/>
          <w:szCs w:val="32"/>
        </w:rPr>
        <w:t>代表</w:t>
      </w:r>
      <w:r>
        <w:rPr>
          <w:rFonts w:hint="eastAsia" w:ascii="仿宋_GB2312" w:hAnsi="仿宋_GB2312" w:eastAsia="仿宋_GB2312" w:cs="仿宋_GB2312"/>
          <w:kern w:val="0"/>
          <w:sz w:val="32"/>
          <w:szCs w:val="32"/>
          <w:u w:val="single" w:color="FFFFFF" w:themeColor="background1"/>
        </w:rPr>
        <w:t>昆明市</w:t>
      </w:r>
      <w:r>
        <w:rPr>
          <w:rFonts w:hint="eastAsia" w:ascii="仿宋_GB2312" w:hAnsi="仿宋_GB2312" w:eastAsia="仿宋_GB2312" w:cs="仿宋_GB2312"/>
          <w:kern w:val="0"/>
          <w:sz w:val="32"/>
          <w:szCs w:val="32"/>
        </w:rPr>
        <w:t>晋宁区人民政府履行出资人职责的国有独</w:t>
      </w:r>
      <w:r>
        <w:rPr>
          <w:rFonts w:hint="eastAsia" w:ascii="仿宋_GB2312" w:hAnsi="仿宋_GB2312" w:eastAsia="仿宋_GB2312" w:cs="仿宋_GB2312"/>
          <w:spacing w:val="-20"/>
          <w:kern w:val="0"/>
          <w:sz w:val="32"/>
          <w:szCs w:val="32"/>
        </w:rPr>
        <w:t>资、</w:t>
      </w:r>
      <w:r>
        <w:rPr>
          <w:rFonts w:hint="eastAsia" w:ascii="仿宋_GB2312" w:hAnsi="仿宋_GB2312" w:eastAsia="仿宋_GB2312" w:cs="仿宋_GB2312"/>
          <w:kern w:val="24"/>
          <w:sz w:val="32"/>
          <w:szCs w:val="32"/>
        </w:rPr>
        <w:t>国有控股和参股企业（以</w:t>
      </w:r>
      <w:r>
        <w:rPr>
          <w:rFonts w:hint="eastAsia" w:ascii="仿宋_GB2312" w:hAnsi="仿宋_GB2312" w:eastAsia="仿宋_GB2312" w:cs="仿宋_GB2312"/>
          <w:kern w:val="21"/>
          <w:sz w:val="32"/>
          <w:szCs w:val="32"/>
        </w:rPr>
        <w:t>下简称“区属企业”）国有资本收益的申报、审核、上交，适</w:t>
      </w:r>
      <w:r>
        <w:rPr>
          <w:rFonts w:hint="eastAsia" w:ascii="仿宋_GB2312" w:hAnsi="仿宋_GB2312" w:eastAsia="仿宋_GB2312" w:cs="仿宋_GB2312"/>
          <w:kern w:val="0"/>
          <w:sz w:val="32"/>
          <w:szCs w:val="32"/>
        </w:rPr>
        <w:t>用本办法。</w:t>
      </w:r>
      <w:r>
        <w:rPr>
          <w:rFonts w:hint="eastAsia" w:ascii="仿宋_GB2312" w:hAnsi="仿宋_GB2312" w:eastAsia="仿宋_GB2312" w:cs="仿宋_GB2312"/>
          <w:kern w:val="24"/>
          <w:sz w:val="32"/>
          <w:szCs w:val="32"/>
        </w:rPr>
        <w:t xml:space="preserve">    </w:t>
      </w:r>
      <w:r>
        <w:rPr>
          <w:rFonts w:hint="eastAsia" w:ascii="仿宋_GB2312" w:hAnsi="仿宋_GB2312" w:eastAsia="仿宋_GB2312" w:cs="仿宋_GB2312"/>
          <w:kern w:val="21"/>
          <w:sz w:val="32"/>
          <w:szCs w:val="32"/>
        </w:rPr>
        <w:t xml:space="preserve">                                                                                                                   </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 xml:space="preserve">第三条  </w:t>
      </w:r>
      <w:r>
        <w:rPr>
          <w:rFonts w:hint="eastAsia" w:ascii="仿宋_GB2312" w:hAnsi="仿宋_GB2312" w:eastAsia="仿宋_GB2312" w:cs="仿宋_GB2312"/>
          <w:kern w:val="0"/>
          <w:sz w:val="32"/>
          <w:szCs w:val="32"/>
        </w:rPr>
        <w:t>本办法所称国有资本收益，是指国家以所有者身份依法取得的国有资本投资收益，具体包括：</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（一）</w:t>
      </w:r>
      <w:r>
        <w:rPr>
          <w:rFonts w:hint="eastAsia" w:ascii="仿宋_GB2312" w:hAnsi="仿宋_GB2312" w:eastAsia="仿宋_GB2312" w:cs="仿宋_GB2312"/>
          <w:kern w:val="0"/>
          <w:sz w:val="32"/>
          <w:szCs w:val="32"/>
        </w:rPr>
        <w:t>应交利润，即国有独资企业按规定应当上交国家的利润；</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（二）</w:t>
      </w:r>
      <w:r>
        <w:rPr>
          <w:rFonts w:hint="eastAsia" w:ascii="仿宋_GB2312" w:hAnsi="仿宋_GB2312" w:eastAsia="仿宋_GB2312" w:cs="仿宋_GB2312"/>
          <w:kern w:val="0"/>
          <w:sz w:val="32"/>
          <w:szCs w:val="32"/>
        </w:rPr>
        <w:t>国有股股利、股息，即国有控股、参股企业国有股权（股份）获得的股利、股息收入；</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（三）</w:t>
      </w:r>
      <w:r>
        <w:rPr>
          <w:rFonts w:hint="eastAsia" w:ascii="仿宋_GB2312" w:hAnsi="仿宋_GB2312" w:eastAsia="仿宋_GB2312" w:cs="仿宋_GB2312"/>
          <w:kern w:val="0"/>
          <w:sz w:val="32"/>
          <w:szCs w:val="32"/>
        </w:rPr>
        <w:t>国有产权转让收入，即转让国有产权、股权（股份）获得的收入（扣除转让费用）；</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（四）</w:t>
      </w:r>
      <w:r>
        <w:rPr>
          <w:rFonts w:hint="eastAsia" w:ascii="仿宋_GB2312" w:hAnsi="仿宋_GB2312" w:eastAsia="仿宋_GB2312" w:cs="仿宋_GB2312"/>
          <w:kern w:val="0"/>
          <w:sz w:val="32"/>
          <w:szCs w:val="32"/>
        </w:rPr>
        <w:t>企业清算收入，即国有独资企业清算收入（扣除清算费用），国有控股、参股企业国有股权（股份）分享的公司清算收入（扣除清算费用）；</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（五）</w:t>
      </w:r>
      <w:r>
        <w:rPr>
          <w:rFonts w:hint="eastAsia" w:ascii="仿宋_GB2312" w:hAnsi="仿宋_GB2312" w:eastAsia="仿宋_GB2312" w:cs="仿宋_GB2312"/>
          <w:kern w:val="0"/>
          <w:sz w:val="32"/>
          <w:szCs w:val="32"/>
        </w:rPr>
        <w:t>其他国有资本收益。</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 xml:space="preserve">第四条  </w:t>
      </w:r>
      <w:r>
        <w:rPr>
          <w:rFonts w:hint="eastAsia" w:ascii="仿宋_GB2312" w:hAnsi="仿宋_GB2312" w:eastAsia="仿宋_GB2312" w:cs="仿宋_GB2312"/>
          <w:kern w:val="0"/>
          <w:sz w:val="32"/>
          <w:szCs w:val="32"/>
        </w:rPr>
        <w:t>区属企业国有资本收益应当按照国库集中收缴的有关规定直接上交区财政，纳入区级国有资本经营预算收入管理。</w:t>
      </w:r>
      <w:r>
        <w:rPr>
          <w:rFonts w:hint="eastAsia" w:ascii="仿宋_GB2312" w:hAnsi="仿宋_GB2312" w:eastAsia="仿宋_GB2312" w:cs="仿宋_GB2312"/>
          <w:kern w:val="0"/>
          <w:sz w:val="32"/>
          <w:szCs w:val="32"/>
          <w:u w:val="single" w:color="FFFFFF" w:themeColor="background1"/>
        </w:rPr>
        <w:t>法律法规另有规定的，从其规定。</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第五条</w:t>
      </w:r>
      <w:r>
        <w:rPr>
          <w:rFonts w:hint="eastAsia" w:ascii="宋体" w:hAnsi="宋体" w:cs="宋体"/>
          <w:kern w:val="0"/>
          <w:sz w:val="32"/>
          <w:szCs w:val="32"/>
        </w:rPr>
        <w:t> </w:t>
      </w:r>
      <w:r>
        <w:rPr>
          <w:rFonts w:hint="eastAsia" w:ascii="仿宋_GB2312" w:hAnsi="仿宋_GB2312" w:eastAsia="仿宋_GB2312" w:cs="仿宋_GB2312"/>
          <w:kern w:val="0"/>
          <w:sz w:val="32"/>
          <w:szCs w:val="32"/>
        </w:rPr>
        <w:t>区属企业国有资本收益由区财政局负责收取，区国资委负责组织、监督区属企业上交国有资本收益。</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第六条</w:t>
      </w:r>
      <w:r>
        <w:rPr>
          <w:rFonts w:hint="eastAsia" w:ascii="仿宋_GB2312" w:hAnsi="黑体" w:eastAsia="仿宋_GB2312" w:cs="黑体"/>
          <w:kern w:val="0"/>
          <w:sz w:val="32"/>
          <w:szCs w:val="32"/>
        </w:rPr>
        <w:t xml:space="preserve">  </w:t>
      </w:r>
      <w:r>
        <w:rPr>
          <w:rFonts w:hint="eastAsia" w:ascii="仿宋_GB2312" w:hAnsi="仿宋_GB2312" w:eastAsia="仿宋_GB2312" w:cs="仿宋_GB2312"/>
          <w:kern w:val="0"/>
          <w:sz w:val="32"/>
          <w:szCs w:val="32"/>
        </w:rPr>
        <w:t>为加快预算执行进度，财政可以预收部分区属企业国有资本收益。</w:t>
      </w:r>
    </w:p>
    <w:p>
      <w:pPr>
        <w:widowControl/>
        <w:spacing w:line="620" w:lineRule="exact"/>
        <w:jc w:val="center"/>
        <w:rPr>
          <w:rFonts w:ascii="黑体" w:hAnsi="黑体" w:eastAsia="黑体" w:cs="黑体"/>
          <w:kern w:val="0"/>
          <w:sz w:val="32"/>
          <w:szCs w:val="32"/>
        </w:rPr>
      </w:pPr>
    </w:p>
    <w:p>
      <w:pPr>
        <w:widowControl/>
        <w:spacing w:line="620" w:lineRule="exact"/>
        <w:jc w:val="center"/>
        <w:rPr>
          <w:rFonts w:ascii="黑体" w:hAnsi="黑体" w:eastAsia="黑体" w:cs="黑体"/>
          <w:kern w:val="0"/>
          <w:sz w:val="32"/>
          <w:szCs w:val="32"/>
        </w:rPr>
      </w:pPr>
      <w:r>
        <w:rPr>
          <w:rFonts w:hint="eastAsia" w:ascii="黑体" w:hAnsi="黑体" w:eastAsia="黑体" w:cs="黑体"/>
          <w:kern w:val="0"/>
          <w:sz w:val="32"/>
          <w:szCs w:val="32"/>
        </w:rPr>
        <w:t>第二章 区属企业国有资本收益的申报</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第七条</w:t>
      </w:r>
      <w:r>
        <w:rPr>
          <w:rFonts w:hint="eastAsia" w:ascii="宋体" w:hAnsi="宋体" w:cs="宋体"/>
          <w:kern w:val="0"/>
          <w:sz w:val="32"/>
          <w:szCs w:val="32"/>
        </w:rPr>
        <w:t> </w:t>
      </w:r>
      <w:r>
        <w:rPr>
          <w:rFonts w:hint="eastAsia" w:ascii="仿宋_GB2312" w:hAnsi="仿宋_GB2312" w:eastAsia="仿宋_GB2312" w:cs="仿宋_GB2312"/>
          <w:kern w:val="0"/>
          <w:sz w:val="32"/>
          <w:szCs w:val="32"/>
        </w:rPr>
        <w:t>区属企业国有资本收益上交比例按以下标准执行：</w:t>
      </w:r>
    </w:p>
    <w:p>
      <w:pPr>
        <w:widowControl/>
        <w:numPr>
          <w:ilvl w:val="0"/>
          <w:numId w:val="1"/>
        </w:num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应交利润，国有独资企业根据</w:t>
      </w:r>
      <w:r>
        <w:rPr>
          <w:rFonts w:hint="eastAsia" w:ascii="仿宋_GB2312" w:hAnsi="仿宋_GB2312" w:eastAsia="仿宋_GB2312" w:cs="仿宋_GB2312"/>
          <w:kern w:val="0"/>
          <w:sz w:val="32"/>
          <w:szCs w:val="32"/>
          <w:u w:val="single" w:color="FFFFFF" w:themeColor="background1"/>
        </w:rPr>
        <w:t>上一年度</w:t>
      </w:r>
      <w:r>
        <w:rPr>
          <w:rFonts w:hint="eastAsia" w:ascii="仿宋_GB2312" w:hAnsi="仿宋_GB2312" w:eastAsia="仿宋_GB2312" w:cs="仿宋_GB2312"/>
          <w:kern w:val="0"/>
          <w:sz w:val="32"/>
          <w:szCs w:val="32"/>
        </w:rPr>
        <w:t>企业可供投资者分配利润，按照不低于15%计算上交（上交比例实行动态管理，上级另有规定的按上级规定执行）。亏损的企业应计算填写亏损数，并认真分析企业亏损原因，提出减亏或改进经营的措施。涉及因调整以前年度损益增加可供投资者分配利润的，应相应计算应补缴利润金额，补缴金额根据补缴当年的上缴比例进行计算；</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（二）国有股股利、股息收入，国有控股、参股企业按照企业董事会（股东会）决议通过的利润分配方案中确定的国有股获得的股利、股息收入全额上交；</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（三）产权转让收入，按照国有产权、股份转让净收入（扣除转让费用）全额上交；</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（四）企业清算收入，按清算净收入（扣除相关费用后）全额上交；</w:t>
      </w:r>
    </w:p>
    <w:p>
      <w:pPr>
        <w:widowControl/>
        <w:spacing w:line="620" w:lineRule="exact"/>
        <w:ind w:firstLine="640" w:firstLineChars="200"/>
        <w:rPr>
          <w:rFonts w:ascii="仿宋_GB2312" w:hAnsi="仿宋_GB2312" w:eastAsia="仿宋_GB2312" w:cs="仿宋_GB2312"/>
          <w:color w:val="C00000"/>
          <w:kern w:val="0"/>
          <w:sz w:val="32"/>
          <w:szCs w:val="32"/>
        </w:rPr>
      </w:pPr>
      <w:r>
        <w:rPr>
          <w:rFonts w:hint="eastAsia" w:ascii="仿宋_GB2312" w:hAnsi="楷体_GB2312" w:eastAsia="仿宋_GB2312" w:cs="楷体_GB2312"/>
          <w:kern w:val="0"/>
          <w:sz w:val="32"/>
          <w:szCs w:val="32"/>
        </w:rPr>
        <w:t>（五）</w:t>
      </w:r>
      <w:r>
        <w:rPr>
          <w:rFonts w:hint="eastAsia" w:ascii="仿宋_GB2312" w:hAnsi="仿宋_GB2312" w:eastAsia="仿宋_GB2312" w:cs="仿宋_GB2312"/>
          <w:kern w:val="0"/>
          <w:sz w:val="32"/>
          <w:szCs w:val="32"/>
        </w:rPr>
        <w:t>法律、法规和规章规定应上交的其他国有资本收益收入，按照所得净收入全额上交。</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第八条</w:t>
      </w:r>
      <w:r>
        <w:rPr>
          <w:rFonts w:hint="eastAsia" w:ascii="仿宋_GB2312" w:hAnsi="黑体" w:eastAsia="仿宋_GB2312" w:cs="黑体"/>
          <w:kern w:val="0"/>
          <w:sz w:val="32"/>
          <w:szCs w:val="32"/>
        </w:rPr>
        <w:t xml:space="preserve">  </w:t>
      </w:r>
      <w:r>
        <w:rPr>
          <w:rFonts w:hint="eastAsia" w:ascii="仿宋_GB2312" w:hAnsi="仿宋_GB2312" w:eastAsia="仿宋_GB2312" w:cs="仿宋_GB2312"/>
          <w:kern w:val="0"/>
          <w:sz w:val="32"/>
          <w:szCs w:val="32"/>
        </w:rPr>
        <w:t>区属企业上交国有资本收益应当按规定申报，并如实填写区属企业国有资本收益申报表。具体申报时间及要求如下：</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（一）应交利润，每年5月31日前，由区属企业按照净利润和规定的上交比例一次申报，并附送经依法审计的年度合并财务会计报告；</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国有股股利、股息，在股东会或者股东大会（没有设立股东会或者股东大会的为董事会，下同）表决日起30个工作日内，由国有控股、参股企业据实申报，并附送经依法审计的年度合并财务会计报告和股东会或股东大会的决议通过的利润分配方案；</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（三）国有产权转让收入，在签订产权转让合同之日起30个工作日内</w:t>
      </w:r>
      <w:r>
        <w:rPr>
          <w:rFonts w:hint="eastAsia" w:ascii="仿宋_GB2312" w:hAnsi="仿宋_GB2312" w:eastAsia="仿宋_GB2312" w:cs="仿宋_GB2312"/>
          <w:kern w:val="0"/>
          <w:sz w:val="32"/>
          <w:szCs w:val="32"/>
          <w:u w:val="single" w:color="FFFFFF" w:themeColor="background1"/>
        </w:rPr>
        <w:t>，由企业据实</w:t>
      </w:r>
      <w:r>
        <w:rPr>
          <w:rFonts w:hint="eastAsia" w:ascii="仿宋_GB2312" w:hAnsi="仿宋_GB2312" w:eastAsia="仿宋_GB2312" w:cs="仿宋_GB2312"/>
          <w:kern w:val="0"/>
          <w:sz w:val="32"/>
          <w:szCs w:val="32"/>
        </w:rPr>
        <w:t>申报，并附送产权转让合同和经核准或备案的资产评估报告；</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（四）企业清算收入，在清算组或者管理人编制剩余财产分配方案之日起30个工作日内，由清算组或者管理人据实申报，并附送经依法审计的清算报告，涉及资产评估项目应附送经核准或备案的资产评估报告；</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（五）</w:t>
      </w:r>
      <w:r>
        <w:rPr>
          <w:rFonts w:hint="eastAsia" w:ascii="仿宋_GB2312" w:hAnsi="仿宋_GB2312" w:eastAsia="仿宋_GB2312" w:cs="仿宋_GB2312"/>
          <w:kern w:val="0"/>
          <w:sz w:val="32"/>
          <w:szCs w:val="32"/>
        </w:rPr>
        <w:t>其他国有资本收益，在收益确定之日起30个工作日内，由有关单位申报，并附送有关经济事项发生和金额确认的资料。</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第九条</w:t>
      </w:r>
      <w:r>
        <w:rPr>
          <w:rFonts w:hint="eastAsia" w:ascii="仿宋_GB2312" w:hAnsi="黑体" w:eastAsia="仿宋_GB2312" w:cs="黑体"/>
          <w:kern w:val="0"/>
          <w:sz w:val="32"/>
          <w:szCs w:val="32"/>
        </w:rPr>
        <w:t xml:space="preserve">  </w:t>
      </w:r>
      <w:r>
        <w:rPr>
          <w:rFonts w:hint="eastAsia" w:ascii="仿宋_GB2312" w:hAnsi="仿宋_GB2312" w:eastAsia="仿宋_GB2312" w:cs="仿宋_GB2312"/>
          <w:kern w:val="0"/>
          <w:sz w:val="32"/>
          <w:szCs w:val="32"/>
        </w:rPr>
        <w:t>国有独资企业拥有全资公司或者控股子公司、子企业的，应当由集团公司根据国有独资企业经依法审计的年度合并财务会计报告反映的归属于母公司所有者的净利润为基础申报。</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企业计算当年应交利润时，可从净利润中扣除以前年度未弥补亏损和提取的法定公积金（企业法定公积金累计额已达注册资本50%以上的不再抵扣）。</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第十条</w:t>
      </w:r>
      <w:r>
        <w:rPr>
          <w:rFonts w:hint="eastAsia" w:ascii="宋体" w:hAnsi="宋体" w:cs="宋体"/>
          <w:kern w:val="0"/>
          <w:sz w:val="32"/>
          <w:szCs w:val="32"/>
        </w:rPr>
        <w:t> </w:t>
      </w:r>
      <w:r>
        <w:rPr>
          <w:rFonts w:hint="eastAsia" w:ascii="仿宋_GB2312" w:hAnsi="仿宋_GB2312" w:eastAsia="仿宋_GB2312" w:cs="仿宋_GB2312"/>
          <w:kern w:val="0"/>
          <w:sz w:val="32"/>
          <w:szCs w:val="32"/>
        </w:rPr>
        <w:t>国有独资企业调整以前年度损益的，应相应补交或抵减应交利润。</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第十一条</w:t>
      </w:r>
      <w:r>
        <w:rPr>
          <w:rFonts w:hint="eastAsia" w:ascii="宋体" w:hAnsi="宋体" w:cs="宋体"/>
          <w:kern w:val="0"/>
          <w:sz w:val="32"/>
          <w:szCs w:val="32"/>
        </w:rPr>
        <w:t> </w:t>
      </w:r>
      <w:r>
        <w:rPr>
          <w:rFonts w:hint="eastAsia" w:ascii="仿宋_GB2312" w:hAnsi="仿宋_GB2312" w:eastAsia="仿宋_GB2312" w:cs="仿宋_GB2312"/>
          <w:kern w:val="0"/>
          <w:sz w:val="32"/>
          <w:szCs w:val="32"/>
        </w:rPr>
        <w:t>国有控股、参股企业应当依法分配年度净利润。当年不予分配的，应当说明暂不分配的理由和依据，并出具股东会或者股东大会的决议。</w:t>
      </w:r>
    </w:p>
    <w:p>
      <w:pPr>
        <w:widowControl/>
        <w:spacing w:line="620" w:lineRule="exact"/>
        <w:jc w:val="center"/>
        <w:rPr>
          <w:rFonts w:ascii="黑体" w:hAnsi="黑体" w:eastAsia="黑体" w:cs="黑体"/>
          <w:kern w:val="0"/>
          <w:sz w:val="32"/>
          <w:szCs w:val="32"/>
        </w:rPr>
      </w:pPr>
    </w:p>
    <w:p>
      <w:pPr>
        <w:widowControl/>
        <w:spacing w:line="620" w:lineRule="exact"/>
        <w:jc w:val="center"/>
        <w:rPr>
          <w:rFonts w:ascii="黑体" w:hAnsi="黑体" w:eastAsia="黑体" w:cs="黑体"/>
          <w:kern w:val="0"/>
          <w:sz w:val="32"/>
          <w:szCs w:val="32"/>
        </w:rPr>
      </w:pPr>
      <w:r>
        <w:rPr>
          <w:rFonts w:hint="eastAsia" w:ascii="黑体" w:hAnsi="黑体" w:eastAsia="黑体" w:cs="黑体"/>
          <w:kern w:val="0"/>
          <w:sz w:val="32"/>
          <w:szCs w:val="32"/>
        </w:rPr>
        <w:t>第三章  区属企业国有资本收益的审核</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第十二条</w:t>
      </w:r>
      <w:r>
        <w:rPr>
          <w:rFonts w:hint="eastAsia" w:ascii="宋体" w:hAnsi="宋体" w:cs="宋体"/>
          <w:b/>
          <w:kern w:val="0"/>
          <w:sz w:val="32"/>
          <w:szCs w:val="32"/>
        </w:rPr>
        <w:t> </w:t>
      </w:r>
      <w:r>
        <w:rPr>
          <w:rFonts w:hint="eastAsia" w:ascii="仿宋_GB2312" w:hAnsi="仿宋_GB2312" w:eastAsia="仿宋_GB2312" w:cs="仿宋_GB2312"/>
          <w:kern w:val="0"/>
          <w:sz w:val="32"/>
          <w:szCs w:val="32"/>
        </w:rPr>
        <w:t>区属企业上交国有资本收益区别以下情况核定：</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（一）</w:t>
      </w:r>
      <w:r>
        <w:rPr>
          <w:rFonts w:hint="eastAsia" w:ascii="仿宋_GB2312" w:hAnsi="仿宋_GB2312" w:eastAsia="仿宋_GB2312" w:cs="仿宋_GB2312"/>
          <w:kern w:val="0"/>
          <w:sz w:val="32"/>
          <w:szCs w:val="32"/>
        </w:rPr>
        <w:t>应交利润，根据企业经依法审计的年度合并财务会计报告反映的归属于母公司所有者的净利润和规定的上交比例计算核定；</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（二）</w:t>
      </w:r>
      <w:r>
        <w:rPr>
          <w:rFonts w:hint="eastAsia" w:ascii="仿宋_GB2312" w:hAnsi="仿宋_GB2312" w:eastAsia="仿宋_GB2312" w:cs="仿宋_GB2312"/>
          <w:kern w:val="0"/>
          <w:sz w:val="32"/>
          <w:szCs w:val="32"/>
        </w:rPr>
        <w:t>国有股股利、股息，根据国有控股、参股企业利润分配方案中确定的国有股获得的股利、股息全额核定；</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（三）</w:t>
      </w:r>
      <w:r>
        <w:rPr>
          <w:rFonts w:hint="eastAsia" w:ascii="仿宋_GB2312" w:hAnsi="仿宋_GB2312" w:eastAsia="仿宋_GB2312" w:cs="仿宋_GB2312"/>
          <w:kern w:val="0"/>
          <w:sz w:val="32"/>
          <w:szCs w:val="32"/>
        </w:rPr>
        <w:t>国有产权转让收入，根据企业产权转让协议和资产评估报告等资料计算的转让净收入（扣除转让费用）全额核定；</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（四）</w:t>
      </w:r>
      <w:r>
        <w:rPr>
          <w:rFonts w:hint="eastAsia" w:ascii="仿宋_GB2312" w:hAnsi="仿宋_GB2312" w:eastAsia="仿宋_GB2312" w:cs="仿宋_GB2312"/>
          <w:kern w:val="0"/>
          <w:sz w:val="32"/>
          <w:szCs w:val="32"/>
        </w:rPr>
        <w:t>企业清算收入，根据清算组或者管理人提交的企业清算报告计算的清算净收入（扣除清算费用）全额核定；</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（五）</w:t>
      </w:r>
      <w:r>
        <w:rPr>
          <w:rFonts w:hint="eastAsia" w:ascii="仿宋_GB2312" w:hAnsi="仿宋_GB2312" w:eastAsia="仿宋_GB2312" w:cs="仿宋_GB2312"/>
          <w:kern w:val="0"/>
          <w:sz w:val="32"/>
          <w:szCs w:val="32"/>
        </w:rPr>
        <w:t>其他国有资本收益，根据有关经济行为的财务会计资料核定。</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第十三条</w:t>
      </w:r>
      <w:r>
        <w:rPr>
          <w:rFonts w:hint="eastAsia" w:ascii="宋体" w:hAnsi="宋体" w:cs="宋体"/>
          <w:kern w:val="0"/>
          <w:sz w:val="32"/>
          <w:szCs w:val="32"/>
        </w:rPr>
        <w:t xml:space="preserve">  </w:t>
      </w:r>
      <w:r>
        <w:rPr>
          <w:rFonts w:hint="eastAsia" w:ascii="仿宋_GB2312" w:hAnsi="仿宋_GB2312" w:eastAsia="仿宋_GB2312" w:cs="仿宋_GB2312"/>
          <w:kern w:val="0"/>
          <w:sz w:val="32"/>
          <w:szCs w:val="32"/>
        </w:rPr>
        <w:t>区属企业由于遭受重大自然灾害等不可抗力因素造成巨大经济损失，需要减免应交利润的，应当向区财政局和区国资委提出申请。由区财政局会商区国资委报区政府批准后，将减免的应交利润直接转增国家资本或者国有资本公积。</w:t>
      </w:r>
    </w:p>
    <w:p>
      <w:pPr>
        <w:widowControl/>
        <w:spacing w:line="620" w:lineRule="exact"/>
        <w:jc w:val="center"/>
        <w:rPr>
          <w:rFonts w:ascii="黑体" w:hAnsi="黑体" w:eastAsia="黑体" w:cs="黑体"/>
          <w:kern w:val="0"/>
          <w:sz w:val="32"/>
          <w:szCs w:val="32"/>
        </w:rPr>
      </w:pPr>
    </w:p>
    <w:p>
      <w:pPr>
        <w:widowControl/>
        <w:spacing w:line="620" w:lineRule="exact"/>
        <w:jc w:val="center"/>
        <w:rPr>
          <w:rFonts w:ascii="黑体" w:hAnsi="黑体" w:eastAsia="黑体" w:cs="黑体"/>
          <w:kern w:val="0"/>
          <w:sz w:val="32"/>
          <w:szCs w:val="32"/>
        </w:rPr>
      </w:pPr>
      <w:r>
        <w:rPr>
          <w:rFonts w:hint="eastAsia" w:ascii="黑体" w:hAnsi="黑体" w:eastAsia="黑体" w:cs="黑体"/>
          <w:kern w:val="0"/>
          <w:sz w:val="32"/>
          <w:szCs w:val="32"/>
        </w:rPr>
        <w:t>第四章</w:t>
      </w:r>
      <w:r>
        <w:rPr>
          <w:rFonts w:hint="eastAsia" w:ascii="宋体" w:hAnsi="宋体" w:cs="宋体"/>
          <w:kern w:val="0"/>
          <w:sz w:val="32"/>
          <w:szCs w:val="32"/>
        </w:rPr>
        <w:t> </w:t>
      </w:r>
      <w:r>
        <w:rPr>
          <w:rFonts w:hint="eastAsia" w:ascii="黑体" w:hAnsi="黑体" w:eastAsia="黑体" w:cs="黑体"/>
          <w:kern w:val="0"/>
          <w:sz w:val="32"/>
          <w:szCs w:val="32"/>
        </w:rPr>
        <w:t xml:space="preserve"> 区属企业国有资本收益的上交</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第十四条</w:t>
      </w:r>
      <w:r>
        <w:rPr>
          <w:rFonts w:hint="eastAsia" w:ascii="宋体" w:hAnsi="宋体" w:cs="宋体"/>
          <w:kern w:val="0"/>
          <w:sz w:val="32"/>
          <w:szCs w:val="32"/>
        </w:rPr>
        <w:t> </w:t>
      </w:r>
      <w:r>
        <w:rPr>
          <w:rFonts w:hint="eastAsia" w:ascii="仿宋_GB2312" w:hAnsi="仿宋_GB2312" w:eastAsia="仿宋_GB2312" w:cs="仿宋_GB2312"/>
          <w:kern w:val="0"/>
          <w:sz w:val="32"/>
          <w:szCs w:val="32"/>
        </w:rPr>
        <w:t>国有资本收益属于政府非税收入，使用政府收支分类科目中“国有资本经营收入”款级科目。</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第十五条</w:t>
      </w:r>
      <w:r>
        <w:rPr>
          <w:rFonts w:hint="eastAsia" w:ascii="宋体" w:hAnsi="宋体" w:cs="宋体"/>
          <w:kern w:val="0"/>
          <w:sz w:val="32"/>
          <w:szCs w:val="32"/>
        </w:rPr>
        <w:t> </w:t>
      </w:r>
      <w:r>
        <w:rPr>
          <w:rFonts w:hint="eastAsia" w:ascii="仿宋_GB2312" w:hAnsi="仿宋_GB2312" w:eastAsia="仿宋_GB2312" w:cs="仿宋_GB2312"/>
          <w:kern w:val="0"/>
          <w:sz w:val="32"/>
          <w:szCs w:val="32"/>
        </w:rPr>
        <w:t>区属企业国有资本收益上交按照以下程序执行：</w:t>
      </w:r>
    </w:p>
    <w:p>
      <w:pPr>
        <w:widowControl/>
        <w:spacing w:line="620" w:lineRule="exact"/>
        <w:ind w:firstLine="640" w:firstLineChars="200"/>
        <w:rPr>
          <w:rFonts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（一）</w:t>
      </w:r>
      <w:r>
        <w:rPr>
          <w:rFonts w:hint="eastAsia" w:ascii="仿宋_GB2312" w:hAnsi="仿宋_GB2312" w:eastAsia="仿宋_GB2312" w:cs="仿宋_GB2312"/>
          <w:kern w:val="0"/>
          <w:sz w:val="32"/>
          <w:szCs w:val="32"/>
        </w:rPr>
        <w:t>区国资委在收到区属企业上报的国有资本收益申报表及相关材料之日起15个工作日内，根据本办法相关规定提出审核意见后报送区财政局复核。区财政局在收到区国资委审核意见之日起15个工作日内提出复核意见；</w:t>
      </w:r>
    </w:p>
    <w:p>
      <w:pPr>
        <w:widowControl/>
        <w:spacing w:line="620" w:lineRule="exact"/>
        <w:ind w:firstLine="640" w:firstLineChars="200"/>
        <w:rPr>
          <w:rFonts w:ascii="仿宋_GB2312" w:hAnsi="仿宋_GB2312" w:eastAsia="仿宋_GB2312" w:cs="仿宋_GB2312"/>
          <w:kern w:val="0"/>
          <w:sz w:val="32"/>
          <w:szCs w:val="32"/>
          <w:u w:val="single" w:color="FFFFFF" w:themeColor="background1"/>
        </w:rPr>
      </w:pPr>
      <w:r>
        <w:rPr>
          <w:rFonts w:hint="eastAsia" w:ascii="仿宋_GB2312" w:hAnsi="楷体_GB2312" w:eastAsia="仿宋_GB2312" w:cs="楷体_GB2312"/>
          <w:kern w:val="0"/>
          <w:sz w:val="32"/>
          <w:szCs w:val="32"/>
        </w:rPr>
        <w:t>（二）</w:t>
      </w:r>
      <w:r>
        <w:rPr>
          <w:rFonts w:hint="eastAsia" w:ascii="仿宋_GB2312" w:hAnsi="仿宋_GB2312" w:eastAsia="仿宋_GB2312" w:cs="仿宋_GB2312"/>
          <w:kern w:val="0"/>
          <w:sz w:val="32"/>
          <w:szCs w:val="32"/>
        </w:rPr>
        <w:t>区国资委根据区财政局的审核结果向区属企业下达国有资本收益上交通知，同时抄送区财政局；区财政局依据区国资委下达的国有资本收益上交通知向缴款企业开具</w:t>
      </w:r>
      <w:r>
        <w:rPr>
          <w:rFonts w:hint="eastAsia" w:ascii="仿宋_GB2312" w:hAnsi="仿宋_GB2312" w:eastAsia="仿宋_GB2312" w:cs="仿宋_GB2312"/>
          <w:kern w:val="0"/>
          <w:sz w:val="32"/>
          <w:szCs w:val="32"/>
          <w:u w:val="single" w:color="FFFFFF" w:themeColor="background1"/>
        </w:rPr>
        <w:t>《非税收入一般缴款书》；</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楷体_GB2312" w:eastAsia="仿宋_GB2312" w:cs="楷体_GB2312"/>
          <w:kern w:val="0"/>
          <w:sz w:val="32"/>
          <w:szCs w:val="32"/>
        </w:rPr>
        <w:t>（三）</w:t>
      </w:r>
      <w:r>
        <w:rPr>
          <w:rFonts w:hint="eastAsia" w:ascii="仿宋_GB2312" w:hAnsi="仿宋_GB2312" w:eastAsia="仿宋_GB2312" w:cs="仿宋_GB2312"/>
          <w:kern w:val="0"/>
          <w:sz w:val="32"/>
          <w:szCs w:val="32"/>
        </w:rPr>
        <w:t>区属企业依据区国资委下达的国有资本收益上交通知和区财政局开具的《非税收入一般缴款书》办理国有资本收益缴款手续。</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第十六条</w:t>
      </w:r>
      <w:r>
        <w:rPr>
          <w:rFonts w:hint="eastAsia" w:ascii="宋体" w:hAnsi="宋体" w:cs="宋体"/>
          <w:kern w:val="0"/>
          <w:sz w:val="32"/>
          <w:szCs w:val="32"/>
        </w:rPr>
        <w:t> </w:t>
      </w:r>
      <w:r>
        <w:rPr>
          <w:rFonts w:hint="eastAsia" w:ascii="仿宋_GB2312" w:hAnsi="仿宋_GB2312" w:eastAsia="仿宋_GB2312" w:cs="仿宋_GB2312"/>
          <w:kern w:val="0"/>
          <w:sz w:val="32"/>
          <w:szCs w:val="32"/>
        </w:rPr>
        <w:t>区属企业当年应交利润应当在收到国有资本收益上交通知之日起30个工作日内交清。因一次性缴纳款项金额较大影响其正常生产经营的，由企业在收到国有资本收益上交通知之日起5个工作日内向区国资委、区财政局提出</w:t>
      </w:r>
      <w:r>
        <w:rPr>
          <w:rFonts w:hint="eastAsia" w:ascii="仿宋_GB2312" w:hAnsi="仿宋_GB2312" w:eastAsia="仿宋_GB2312" w:cs="仿宋_GB2312"/>
          <w:kern w:val="0"/>
          <w:sz w:val="32"/>
          <w:szCs w:val="32"/>
          <w:u w:val="single" w:color="FFFFFF" w:themeColor="background1"/>
        </w:rPr>
        <w:t>分期</w:t>
      </w:r>
      <w:r>
        <w:rPr>
          <w:rFonts w:hint="eastAsia" w:ascii="仿宋_GB2312" w:hAnsi="仿宋_GB2312" w:eastAsia="仿宋_GB2312" w:cs="仿宋_GB2312"/>
          <w:kern w:val="0"/>
          <w:sz w:val="32"/>
          <w:szCs w:val="32"/>
        </w:rPr>
        <w:t>缴款申请和</w:t>
      </w:r>
      <w:r>
        <w:rPr>
          <w:rFonts w:hint="eastAsia" w:ascii="仿宋_GB2312" w:hAnsi="仿宋_GB2312" w:eastAsia="仿宋_GB2312" w:cs="仿宋_GB2312"/>
          <w:kern w:val="0"/>
          <w:sz w:val="32"/>
          <w:szCs w:val="32"/>
          <w:u w:val="single" w:color="FFFFFF" w:themeColor="background1"/>
        </w:rPr>
        <w:t>分期</w:t>
      </w:r>
      <w:r>
        <w:rPr>
          <w:rFonts w:hint="eastAsia" w:ascii="仿宋_GB2312" w:hAnsi="仿宋_GB2312" w:eastAsia="仿宋_GB2312" w:cs="仿宋_GB2312"/>
          <w:kern w:val="0"/>
          <w:sz w:val="32"/>
          <w:szCs w:val="32"/>
        </w:rPr>
        <w:t>缴款计划。区国资委、区财政局对企业财务能力和分期缴款计划进行审核后，按审批权限联合报区政府批准后执行。</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第十七条</w:t>
      </w:r>
      <w:r>
        <w:rPr>
          <w:rFonts w:hint="eastAsia" w:ascii="宋体" w:hAnsi="宋体" w:cs="宋体"/>
          <w:kern w:val="0"/>
          <w:sz w:val="32"/>
          <w:szCs w:val="32"/>
        </w:rPr>
        <w:t> </w:t>
      </w:r>
      <w:r>
        <w:rPr>
          <w:rFonts w:hint="eastAsia" w:ascii="仿宋_GB2312" w:hAnsi="仿宋_GB2312" w:eastAsia="仿宋_GB2312" w:cs="仿宋_GB2312"/>
          <w:kern w:val="0"/>
          <w:sz w:val="32"/>
          <w:szCs w:val="32"/>
        </w:rPr>
        <w:t>应缴国有股股利、股息，由国有控股、参股企业报区国资委审核认定后，应当在收到国有资本收益上交通知之日起15个工作日内一次缴清。</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第十八条</w:t>
      </w:r>
      <w:r>
        <w:rPr>
          <w:rFonts w:hint="eastAsia" w:ascii="宋体" w:hAnsi="宋体" w:cs="宋体"/>
          <w:kern w:val="0"/>
          <w:sz w:val="32"/>
          <w:szCs w:val="32"/>
        </w:rPr>
        <w:t> </w:t>
      </w:r>
      <w:r>
        <w:rPr>
          <w:rFonts w:hint="eastAsia" w:ascii="仿宋_GB2312" w:hAnsi="仿宋_GB2312" w:eastAsia="仿宋_GB2312" w:cs="仿宋_GB2312"/>
          <w:kern w:val="0"/>
          <w:sz w:val="32"/>
          <w:szCs w:val="32"/>
        </w:rPr>
        <w:t>国有产权转让收入、企业清算收入和其他国有资本收益，区属企业、机构或清算组（管理人）等应当在收到国有资本收益上交通知和</w:t>
      </w:r>
      <w:r>
        <w:rPr>
          <w:rFonts w:hint="eastAsia" w:ascii="仿宋_GB2312" w:hAnsi="仿宋_GB2312" w:eastAsia="仿宋_GB2312" w:cs="仿宋_GB2312"/>
          <w:kern w:val="0"/>
          <w:sz w:val="32"/>
          <w:szCs w:val="32"/>
          <w:u w:val="single" w:color="FFFFFF" w:themeColor="background1"/>
        </w:rPr>
        <w:t>《非税收入一般缴款书》</w:t>
      </w:r>
      <w:r>
        <w:rPr>
          <w:rFonts w:hint="eastAsia" w:ascii="仿宋_GB2312" w:hAnsi="仿宋_GB2312" w:eastAsia="仿宋_GB2312" w:cs="仿宋_GB2312"/>
          <w:kern w:val="0"/>
          <w:sz w:val="32"/>
          <w:szCs w:val="32"/>
        </w:rPr>
        <w:t>之日起15个工作日内交清。</w:t>
      </w:r>
    </w:p>
    <w:p>
      <w:pPr>
        <w:widowControl/>
        <w:spacing w:line="620" w:lineRule="exact"/>
        <w:jc w:val="center"/>
        <w:rPr>
          <w:rFonts w:ascii="黑体" w:hAnsi="黑体" w:eastAsia="黑体" w:cs="黑体"/>
          <w:kern w:val="0"/>
          <w:sz w:val="32"/>
          <w:szCs w:val="32"/>
        </w:rPr>
      </w:pPr>
    </w:p>
    <w:p>
      <w:pPr>
        <w:widowControl/>
        <w:spacing w:line="620" w:lineRule="exact"/>
        <w:jc w:val="center"/>
        <w:rPr>
          <w:rFonts w:ascii="黑体" w:hAnsi="黑体" w:eastAsia="黑体" w:cs="黑体"/>
          <w:kern w:val="0"/>
          <w:sz w:val="32"/>
          <w:szCs w:val="32"/>
        </w:rPr>
      </w:pPr>
      <w:r>
        <w:rPr>
          <w:rFonts w:hint="eastAsia" w:ascii="黑体" w:hAnsi="黑体" w:eastAsia="黑体" w:cs="黑体"/>
          <w:kern w:val="0"/>
          <w:sz w:val="32"/>
          <w:szCs w:val="32"/>
        </w:rPr>
        <w:t>第五章</w:t>
      </w:r>
      <w:r>
        <w:rPr>
          <w:rFonts w:hint="eastAsia" w:ascii="宋体" w:hAnsi="宋体" w:cs="宋体"/>
          <w:kern w:val="0"/>
          <w:sz w:val="32"/>
          <w:szCs w:val="32"/>
        </w:rPr>
        <w:t> </w:t>
      </w:r>
      <w:r>
        <w:rPr>
          <w:rFonts w:hint="eastAsia" w:ascii="黑体" w:hAnsi="黑体" w:eastAsia="黑体" w:cs="黑体"/>
          <w:kern w:val="0"/>
          <w:sz w:val="32"/>
          <w:szCs w:val="32"/>
        </w:rPr>
        <w:t xml:space="preserve"> 监督检查</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第十九条</w:t>
      </w:r>
      <w:r>
        <w:rPr>
          <w:rFonts w:hint="eastAsia" w:ascii="宋体" w:hAnsi="宋体" w:cs="宋体"/>
          <w:kern w:val="0"/>
          <w:sz w:val="32"/>
          <w:szCs w:val="32"/>
        </w:rPr>
        <w:t> </w:t>
      </w:r>
      <w:r>
        <w:rPr>
          <w:rFonts w:hint="eastAsia" w:ascii="仿宋_GB2312" w:hAnsi="仿宋_GB2312" w:eastAsia="仿宋_GB2312" w:cs="仿宋_GB2312"/>
          <w:kern w:val="0"/>
          <w:sz w:val="32"/>
          <w:szCs w:val="32"/>
        </w:rPr>
        <w:t>区属企业应及时上交国有资本收益，区财政局、区国资委应当加强对区级国有资本收益收缴的监督管理工作。对企业欠交国有资本收益的，区财政局、区国资委应当及时查明原因，采取措施予以催交。</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第二十条</w:t>
      </w:r>
      <w:r>
        <w:rPr>
          <w:rFonts w:hint="eastAsia" w:ascii="宋体" w:hAnsi="宋体" w:cs="宋体"/>
          <w:kern w:val="0"/>
          <w:sz w:val="32"/>
          <w:szCs w:val="32"/>
        </w:rPr>
        <w:t> </w:t>
      </w:r>
      <w:r>
        <w:rPr>
          <w:rFonts w:hint="eastAsia" w:ascii="仿宋_GB2312" w:hAnsi="仿宋_GB2312" w:eastAsia="仿宋_GB2312" w:cs="仿宋_GB2312"/>
          <w:kern w:val="0"/>
          <w:sz w:val="32"/>
          <w:szCs w:val="32"/>
        </w:rPr>
        <w:t>区属企业年度经营业绩考核专项审计报告应对各项国有资本收益及上交情况进行披露。</w:t>
      </w:r>
    </w:p>
    <w:p>
      <w:pPr>
        <w:widowControl/>
        <w:spacing w:line="62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kern w:val="0"/>
          <w:sz w:val="32"/>
          <w:szCs w:val="32"/>
        </w:rPr>
        <w:t>第二十一条</w:t>
      </w:r>
      <w:r>
        <w:rPr>
          <w:rFonts w:hint="eastAsia" w:ascii="宋体" w:hAnsi="宋体" w:cs="宋体"/>
          <w:kern w:val="0"/>
          <w:sz w:val="32"/>
          <w:szCs w:val="32"/>
        </w:rPr>
        <w:t> </w:t>
      </w:r>
      <w:r>
        <w:rPr>
          <w:rFonts w:hint="eastAsia" w:ascii="仿宋_GB2312" w:hAnsi="仿宋_GB2312" w:eastAsia="仿宋_GB2312" w:cs="仿宋_GB2312"/>
          <w:kern w:val="0"/>
          <w:sz w:val="32"/>
          <w:szCs w:val="32"/>
        </w:rPr>
        <w:t>区财政局和区国资委委托中介机构对区属企业应交国有资本收益进行检查，各部门、企业、清算组（管理人）和负责企业年报审计的中介机构应当予以配合，如实反映情况，不得拒绝、阻挠和拖延。</w:t>
      </w:r>
    </w:p>
    <w:p>
      <w:pPr>
        <w:widowControl/>
        <w:spacing w:line="620" w:lineRule="exact"/>
        <w:ind w:firstLine="643" w:firstLineChars="200"/>
        <w:rPr>
          <w:rFonts w:ascii="仿宋_GB2312" w:hAnsi="仿宋_GB2312" w:eastAsia="仿宋_GB2312" w:cs="仿宋_GB2312"/>
          <w:kern w:val="21"/>
          <w:sz w:val="32"/>
          <w:szCs w:val="32"/>
        </w:rPr>
      </w:pPr>
      <w:r>
        <w:rPr>
          <w:rFonts w:hint="eastAsia" w:ascii="仿宋_GB2312" w:hAnsi="黑体" w:eastAsia="仿宋_GB2312" w:cs="黑体"/>
          <w:b/>
          <w:kern w:val="0"/>
          <w:sz w:val="32"/>
          <w:szCs w:val="32"/>
        </w:rPr>
        <w:t>第二十二条</w:t>
      </w:r>
      <w:r>
        <w:rPr>
          <w:rFonts w:hint="eastAsia" w:ascii="宋体" w:hAnsi="宋体" w:cs="宋体"/>
          <w:kern w:val="0"/>
          <w:sz w:val="32"/>
          <w:szCs w:val="32"/>
        </w:rPr>
        <w:t> </w:t>
      </w:r>
      <w:r>
        <w:rPr>
          <w:rFonts w:hint="eastAsia" w:ascii="仿宋_GB2312" w:hAnsi="仿宋_GB2312" w:eastAsia="仿宋_GB2312" w:cs="仿宋_GB2312"/>
          <w:kern w:val="0"/>
          <w:sz w:val="32"/>
          <w:szCs w:val="32"/>
        </w:rPr>
        <w:t>区属企业、社会中介机构以及国家机关工作人员、注册会计师等在国有资本收益收取管理工作中有违法违规行为的，</w:t>
      </w:r>
      <w:r>
        <w:rPr>
          <w:rFonts w:hint="eastAsia" w:ascii="仿宋_GB2312" w:hAnsi="仿宋_GB2312" w:eastAsia="仿宋_GB2312" w:cs="仿宋_GB2312"/>
          <w:kern w:val="21"/>
          <w:sz w:val="32"/>
          <w:szCs w:val="32"/>
        </w:rPr>
        <w:t>将依照《中华人民共和国会计法》、《中华人民共和国注册会计师法》、《财政违法行为处罚处分条例》和《行政机关公务员处分条例》等有关法律法规进行查处。</w:t>
      </w:r>
    </w:p>
    <w:p>
      <w:pPr>
        <w:widowControl/>
        <w:spacing w:line="620" w:lineRule="exact"/>
        <w:jc w:val="center"/>
        <w:rPr>
          <w:rFonts w:ascii="黑体" w:hAnsi="黑体" w:eastAsia="黑体" w:cs="黑体"/>
          <w:kern w:val="0"/>
          <w:sz w:val="32"/>
          <w:szCs w:val="32"/>
        </w:rPr>
      </w:pPr>
      <w:r>
        <w:rPr>
          <w:rFonts w:hint="eastAsia" w:ascii="黑体" w:hAnsi="黑体" w:eastAsia="黑体" w:cs="黑体"/>
          <w:kern w:val="0"/>
          <w:sz w:val="32"/>
          <w:szCs w:val="32"/>
        </w:rPr>
        <w:t>第六章</w:t>
      </w:r>
      <w:r>
        <w:rPr>
          <w:rFonts w:hint="eastAsia" w:ascii="宋体" w:hAnsi="宋体" w:cs="宋体"/>
          <w:kern w:val="0"/>
          <w:sz w:val="32"/>
          <w:szCs w:val="32"/>
        </w:rPr>
        <w:t> </w:t>
      </w:r>
      <w:r>
        <w:rPr>
          <w:rFonts w:hint="eastAsia" w:ascii="黑体" w:hAnsi="黑体" w:eastAsia="黑体" w:cs="黑体"/>
          <w:kern w:val="0"/>
          <w:sz w:val="32"/>
          <w:szCs w:val="32"/>
        </w:rPr>
        <w:t xml:space="preserve"> 附</w:t>
      </w:r>
      <w:r>
        <w:rPr>
          <w:rFonts w:hint="eastAsia" w:ascii="宋体" w:hAnsi="宋体" w:cs="宋体"/>
          <w:kern w:val="0"/>
          <w:sz w:val="32"/>
          <w:szCs w:val="32"/>
        </w:rPr>
        <w:t xml:space="preserve">  </w:t>
      </w:r>
      <w:r>
        <w:rPr>
          <w:rFonts w:hint="eastAsia" w:ascii="黑体" w:hAnsi="黑体" w:eastAsia="黑体" w:cs="黑体"/>
          <w:kern w:val="0"/>
          <w:sz w:val="32"/>
          <w:szCs w:val="32"/>
        </w:rPr>
        <w:t>则</w:t>
      </w:r>
    </w:p>
    <w:p>
      <w:pPr>
        <w:widowControl/>
        <w:spacing w:line="620" w:lineRule="exact"/>
        <w:ind w:firstLine="643" w:firstLineChars="200"/>
        <w:rPr>
          <w:rFonts w:ascii="仿宋_GB2312" w:hAnsi="仿宋_GB2312" w:eastAsia="仿宋_GB2312" w:cs="仿宋_GB2312"/>
          <w:kern w:val="21"/>
          <w:sz w:val="32"/>
          <w:szCs w:val="32"/>
        </w:rPr>
      </w:pPr>
      <w:r>
        <w:rPr>
          <w:rFonts w:hint="eastAsia" w:ascii="仿宋_GB2312" w:hAnsi="黑体" w:eastAsia="仿宋_GB2312" w:cs="黑体"/>
          <w:b/>
          <w:kern w:val="0"/>
          <w:sz w:val="32"/>
          <w:szCs w:val="32"/>
        </w:rPr>
        <w:t>第二十三条</w:t>
      </w:r>
      <w:r>
        <w:rPr>
          <w:rFonts w:hint="eastAsia" w:ascii="宋体" w:hAnsi="宋体" w:cs="宋体"/>
          <w:kern w:val="0"/>
          <w:sz w:val="32"/>
          <w:szCs w:val="32"/>
        </w:rPr>
        <w:t> </w:t>
      </w:r>
      <w:r>
        <w:rPr>
          <w:rFonts w:hint="eastAsia" w:ascii="仿宋_GB2312" w:hAnsi="仿宋_GB2312" w:eastAsia="仿宋_GB2312" w:cs="仿宋_GB2312"/>
          <w:kern w:val="0"/>
          <w:sz w:val="32"/>
          <w:szCs w:val="32"/>
        </w:rPr>
        <w:t>本办法自印发之日</w:t>
      </w:r>
      <w:r>
        <w:rPr>
          <w:rFonts w:hint="eastAsia" w:ascii="仿宋_GB2312" w:hAnsi="仿宋_GB2312" w:eastAsia="仿宋_GB2312" w:cs="仿宋_GB2312"/>
          <w:kern w:val="21"/>
          <w:sz w:val="32"/>
          <w:szCs w:val="32"/>
        </w:rPr>
        <w:t>起施行，《晋宁县国有公司国有资本收益管理办法》（晋政通〔2015〕6号）同时废止。</w:t>
      </w:r>
    </w:p>
    <w:p>
      <w:pPr>
        <w:widowControl/>
        <w:spacing w:line="560" w:lineRule="exact"/>
        <w:ind w:firstLine="480"/>
        <w:rPr>
          <w:rFonts w:ascii="仿宋_GB2312" w:hAnsi="仿宋_GB2312" w:eastAsia="仿宋_GB2312" w:cs="仿宋_GB2312"/>
          <w:kern w:val="0"/>
          <w:sz w:val="32"/>
          <w:szCs w:val="32"/>
        </w:rPr>
      </w:pP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附件：1.国有资本收益（应交利润）申报表</w:t>
      </w:r>
    </w:p>
    <w:p>
      <w:pPr>
        <w:widowControl/>
        <w:spacing w:line="56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2.国有资本收益（国有股股利、股息）申报表</w:t>
      </w:r>
    </w:p>
    <w:p>
      <w:pPr>
        <w:widowControl/>
        <w:spacing w:line="56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3.国有资本收益（国有产权转让收入）申报表</w:t>
      </w:r>
    </w:p>
    <w:p>
      <w:pPr>
        <w:widowControl/>
        <w:spacing w:line="56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4.国有资本收益（企业清算收入）申报表</w:t>
      </w:r>
    </w:p>
    <w:p>
      <w:pPr>
        <w:spacing w:line="560" w:lineRule="exact"/>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814" w:right="1418" w:bottom="181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6931"/>
    </w:sdtPr>
    <w:sdtEndPr>
      <w:rPr>
        <w:rFonts w:ascii="宋体" w:hAnsi="宋体"/>
        <w:sz w:val="28"/>
        <w:szCs w:val="28"/>
      </w:rPr>
    </w:sdtEndPr>
    <w:sdtContent>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6932"/>
    </w:sdtPr>
    <w:sdtContent>
      <w:p>
        <w:pPr>
          <w:pStyle w:val="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94DC80"/>
    <w:multiLevelType w:val="singleLevel"/>
    <w:tmpl w:val="FE94DC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7454"/>
    <w:rsid w:val="00025086"/>
    <w:rsid w:val="000501C4"/>
    <w:rsid w:val="000A6BCE"/>
    <w:rsid w:val="00126014"/>
    <w:rsid w:val="002528C4"/>
    <w:rsid w:val="00306AA9"/>
    <w:rsid w:val="003C6B35"/>
    <w:rsid w:val="00485B38"/>
    <w:rsid w:val="00665637"/>
    <w:rsid w:val="008D0917"/>
    <w:rsid w:val="008D3961"/>
    <w:rsid w:val="008F1768"/>
    <w:rsid w:val="00B569B6"/>
    <w:rsid w:val="00B57454"/>
    <w:rsid w:val="00B90D2B"/>
    <w:rsid w:val="00C27479"/>
    <w:rsid w:val="00CC39AF"/>
    <w:rsid w:val="00D63C7C"/>
    <w:rsid w:val="00EB023A"/>
    <w:rsid w:val="00EB0B61"/>
    <w:rsid w:val="00EB2F89"/>
    <w:rsid w:val="011427F6"/>
    <w:rsid w:val="01B667C1"/>
    <w:rsid w:val="021D3F3D"/>
    <w:rsid w:val="027256A8"/>
    <w:rsid w:val="029C7EA2"/>
    <w:rsid w:val="02A1473C"/>
    <w:rsid w:val="0333510C"/>
    <w:rsid w:val="04082BA7"/>
    <w:rsid w:val="06644EE2"/>
    <w:rsid w:val="067373FB"/>
    <w:rsid w:val="073E5D85"/>
    <w:rsid w:val="07836033"/>
    <w:rsid w:val="078513A8"/>
    <w:rsid w:val="07BF232B"/>
    <w:rsid w:val="081555BA"/>
    <w:rsid w:val="08536241"/>
    <w:rsid w:val="08785C8F"/>
    <w:rsid w:val="089F2987"/>
    <w:rsid w:val="08F806E2"/>
    <w:rsid w:val="0A131DCC"/>
    <w:rsid w:val="0B297E0F"/>
    <w:rsid w:val="0B6224A1"/>
    <w:rsid w:val="0B757B21"/>
    <w:rsid w:val="0C392717"/>
    <w:rsid w:val="0CAB3FE4"/>
    <w:rsid w:val="0CE45C6D"/>
    <w:rsid w:val="0ECE6EAE"/>
    <w:rsid w:val="104B2290"/>
    <w:rsid w:val="10F76E76"/>
    <w:rsid w:val="119978AC"/>
    <w:rsid w:val="123A143A"/>
    <w:rsid w:val="128359D4"/>
    <w:rsid w:val="12C33877"/>
    <w:rsid w:val="13086592"/>
    <w:rsid w:val="141231DA"/>
    <w:rsid w:val="149D051B"/>
    <w:rsid w:val="14BF23C5"/>
    <w:rsid w:val="156D46E2"/>
    <w:rsid w:val="16EC3848"/>
    <w:rsid w:val="181360F8"/>
    <w:rsid w:val="18AC1FF5"/>
    <w:rsid w:val="19395383"/>
    <w:rsid w:val="1958483D"/>
    <w:rsid w:val="19CE4F09"/>
    <w:rsid w:val="1B4B4A3D"/>
    <w:rsid w:val="1C111E62"/>
    <w:rsid w:val="1D5218C1"/>
    <w:rsid w:val="1E186C19"/>
    <w:rsid w:val="1E616428"/>
    <w:rsid w:val="1EA942C2"/>
    <w:rsid w:val="1FCA4538"/>
    <w:rsid w:val="20431522"/>
    <w:rsid w:val="21B83E7C"/>
    <w:rsid w:val="21B96D76"/>
    <w:rsid w:val="224D34E4"/>
    <w:rsid w:val="224D63C4"/>
    <w:rsid w:val="22816C33"/>
    <w:rsid w:val="243E79FF"/>
    <w:rsid w:val="24527EE1"/>
    <w:rsid w:val="25B50F86"/>
    <w:rsid w:val="25F04284"/>
    <w:rsid w:val="26213262"/>
    <w:rsid w:val="26407533"/>
    <w:rsid w:val="269731A0"/>
    <w:rsid w:val="2717621B"/>
    <w:rsid w:val="27500177"/>
    <w:rsid w:val="27E44B9B"/>
    <w:rsid w:val="281D5DF7"/>
    <w:rsid w:val="28E1502F"/>
    <w:rsid w:val="29912E13"/>
    <w:rsid w:val="29C761A6"/>
    <w:rsid w:val="2A6023E7"/>
    <w:rsid w:val="2AB245A8"/>
    <w:rsid w:val="2BA43264"/>
    <w:rsid w:val="2C161D29"/>
    <w:rsid w:val="2C524B22"/>
    <w:rsid w:val="2C78341B"/>
    <w:rsid w:val="2C902D18"/>
    <w:rsid w:val="2CA25A19"/>
    <w:rsid w:val="2DC74245"/>
    <w:rsid w:val="2DF523BF"/>
    <w:rsid w:val="2F1B75F3"/>
    <w:rsid w:val="301546A8"/>
    <w:rsid w:val="307445FA"/>
    <w:rsid w:val="30894014"/>
    <w:rsid w:val="314F10D4"/>
    <w:rsid w:val="31DB5504"/>
    <w:rsid w:val="31FE0CE1"/>
    <w:rsid w:val="32FF6528"/>
    <w:rsid w:val="33101C5F"/>
    <w:rsid w:val="33B7278B"/>
    <w:rsid w:val="33D64524"/>
    <w:rsid w:val="34C13B17"/>
    <w:rsid w:val="34E60273"/>
    <w:rsid w:val="3521593C"/>
    <w:rsid w:val="356F16E9"/>
    <w:rsid w:val="35DA1047"/>
    <w:rsid w:val="35F92CA7"/>
    <w:rsid w:val="36007E02"/>
    <w:rsid w:val="36CE2F40"/>
    <w:rsid w:val="37864570"/>
    <w:rsid w:val="379048C3"/>
    <w:rsid w:val="3790536B"/>
    <w:rsid w:val="37B10C83"/>
    <w:rsid w:val="381B1184"/>
    <w:rsid w:val="38340B1F"/>
    <w:rsid w:val="383D7E03"/>
    <w:rsid w:val="396F0491"/>
    <w:rsid w:val="3984532E"/>
    <w:rsid w:val="39E326D6"/>
    <w:rsid w:val="3A8226D1"/>
    <w:rsid w:val="3ACD6D4F"/>
    <w:rsid w:val="3BF80796"/>
    <w:rsid w:val="3D9972FF"/>
    <w:rsid w:val="3E4938C8"/>
    <w:rsid w:val="3E774D18"/>
    <w:rsid w:val="3E9E15E4"/>
    <w:rsid w:val="3EB006DF"/>
    <w:rsid w:val="3EBE7D15"/>
    <w:rsid w:val="3EDE78C9"/>
    <w:rsid w:val="3EE83CD5"/>
    <w:rsid w:val="3F0B6ECB"/>
    <w:rsid w:val="3F482655"/>
    <w:rsid w:val="3F6512D6"/>
    <w:rsid w:val="3F7C0B95"/>
    <w:rsid w:val="405937DD"/>
    <w:rsid w:val="40CB7E5F"/>
    <w:rsid w:val="42F844C1"/>
    <w:rsid w:val="43302DFA"/>
    <w:rsid w:val="43551CA5"/>
    <w:rsid w:val="43805EA1"/>
    <w:rsid w:val="444260C0"/>
    <w:rsid w:val="448E2B5C"/>
    <w:rsid w:val="44EB3903"/>
    <w:rsid w:val="45150BDE"/>
    <w:rsid w:val="455D1451"/>
    <w:rsid w:val="45AB45C3"/>
    <w:rsid w:val="462F5ECD"/>
    <w:rsid w:val="46395A58"/>
    <w:rsid w:val="46DC0F30"/>
    <w:rsid w:val="47D472D4"/>
    <w:rsid w:val="47D711AA"/>
    <w:rsid w:val="48897579"/>
    <w:rsid w:val="489704C0"/>
    <w:rsid w:val="49295DAA"/>
    <w:rsid w:val="49AE1458"/>
    <w:rsid w:val="49EE01A3"/>
    <w:rsid w:val="4A3B7A92"/>
    <w:rsid w:val="4A3D6DC9"/>
    <w:rsid w:val="4A9230EA"/>
    <w:rsid w:val="4B6A7126"/>
    <w:rsid w:val="4BA10E20"/>
    <w:rsid w:val="4C0240F5"/>
    <w:rsid w:val="4C855320"/>
    <w:rsid w:val="4CEF0FB1"/>
    <w:rsid w:val="4DA944E1"/>
    <w:rsid w:val="4E5B1F05"/>
    <w:rsid w:val="4EDB2067"/>
    <w:rsid w:val="4EDD7F26"/>
    <w:rsid w:val="4EEB4027"/>
    <w:rsid w:val="4F000D20"/>
    <w:rsid w:val="4FE91E39"/>
    <w:rsid w:val="501B7A22"/>
    <w:rsid w:val="513B3061"/>
    <w:rsid w:val="51A35F72"/>
    <w:rsid w:val="52616F5C"/>
    <w:rsid w:val="52E465D1"/>
    <w:rsid w:val="531B5BC4"/>
    <w:rsid w:val="53AB67A0"/>
    <w:rsid w:val="544F3D9B"/>
    <w:rsid w:val="545E52B6"/>
    <w:rsid w:val="54DA7944"/>
    <w:rsid w:val="54DE2231"/>
    <w:rsid w:val="55CB4E19"/>
    <w:rsid w:val="55DE2330"/>
    <w:rsid w:val="56183397"/>
    <w:rsid w:val="567477C6"/>
    <w:rsid w:val="567B22EB"/>
    <w:rsid w:val="56830A3B"/>
    <w:rsid w:val="56C06520"/>
    <w:rsid w:val="56C756EA"/>
    <w:rsid w:val="57331FDA"/>
    <w:rsid w:val="57643E9B"/>
    <w:rsid w:val="576B29EC"/>
    <w:rsid w:val="57B369CD"/>
    <w:rsid w:val="57D852B2"/>
    <w:rsid w:val="589B5AC7"/>
    <w:rsid w:val="589B6E08"/>
    <w:rsid w:val="58B211E0"/>
    <w:rsid w:val="58F86CE3"/>
    <w:rsid w:val="59224D3E"/>
    <w:rsid w:val="5A5B709D"/>
    <w:rsid w:val="5A8A78DB"/>
    <w:rsid w:val="5B6A52A2"/>
    <w:rsid w:val="5C2E14A5"/>
    <w:rsid w:val="5DCC45AA"/>
    <w:rsid w:val="5DD46E7D"/>
    <w:rsid w:val="5E357285"/>
    <w:rsid w:val="5E5C3B85"/>
    <w:rsid w:val="5E8A12B7"/>
    <w:rsid w:val="5EA31D34"/>
    <w:rsid w:val="5F4712E8"/>
    <w:rsid w:val="5F497FBA"/>
    <w:rsid w:val="5F4D1B96"/>
    <w:rsid w:val="5F55566F"/>
    <w:rsid w:val="5FCA4FA6"/>
    <w:rsid w:val="5FCD41B8"/>
    <w:rsid w:val="60967B1F"/>
    <w:rsid w:val="609C3971"/>
    <w:rsid w:val="614A4770"/>
    <w:rsid w:val="61507600"/>
    <w:rsid w:val="619E0443"/>
    <w:rsid w:val="62357BDC"/>
    <w:rsid w:val="62A9775C"/>
    <w:rsid w:val="62C5094D"/>
    <w:rsid w:val="63520237"/>
    <w:rsid w:val="638A450A"/>
    <w:rsid w:val="64221D19"/>
    <w:rsid w:val="64544CFC"/>
    <w:rsid w:val="64D444B3"/>
    <w:rsid w:val="655A0269"/>
    <w:rsid w:val="65C82CB1"/>
    <w:rsid w:val="682722B1"/>
    <w:rsid w:val="68747577"/>
    <w:rsid w:val="68866367"/>
    <w:rsid w:val="694D34A9"/>
    <w:rsid w:val="69554994"/>
    <w:rsid w:val="69673CB4"/>
    <w:rsid w:val="69BE4E12"/>
    <w:rsid w:val="6A124322"/>
    <w:rsid w:val="6A1E6F79"/>
    <w:rsid w:val="6A1E76B4"/>
    <w:rsid w:val="6A7D02EE"/>
    <w:rsid w:val="6AE65059"/>
    <w:rsid w:val="6B3A1143"/>
    <w:rsid w:val="6BC13FE0"/>
    <w:rsid w:val="6C6F2969"/>
    <w:rsid w:val="6CEB1A3D"/>
    <w:rsid w:val="6D756702"/>
    <w:rsid w:val="6DEE1940"/>
    <w:rsid w:val="6DF46130"/>
    <w:rsid w:val="6E2F6A8F"/>
    <w:rsid w:val="6E4101A9"/>
    <w:rsid w:val="6E677322"/>
    <w:rsid w:val="6E791EDF"/>
    <w:rsid w:val="6E87440F"/>
    <w:rsid w:val="6EFC764E"/>
    <w:rsid w:val="6F2F69F4"/>
    <w:rsid w:val="6F5B3496"/>
    <w:rsid w:val="6F5D724C"/>
    <w:rsid w:val="6FBA2678"/>
    <w:rsid w:val="6FBF0C18"/>
    <w:rsid w:val="709A288C"/>
    <w:rsid w:val="7138549A"/>
    <w:rsid w:val="719E4F2E"/>
    <w:rsid w:val="71C439FA"/>
    <w:rsid w:val="722261B7"/>
    <w:rsid w:val="722F52D7"/>
    <w:rsid w:val="72651A85"/>
    <w:rsid w:val="729D2C2A"/>
    <w:rsid w:val="72FF73FB"/>
    <w:rsid w:val="73042712"/>
    <w:rsid w:val="74174508"/>
    <w:rsid w:val="74372AF4"/>
    <w:rsid w:val="744C3FF1"/>
    <w:rsid w:val="74CE3C2A"/>
    <w:rsid w:val="74FE6B26"/>
    <w:rsid w:val="7551576A"/>
    <w:rsid w:val="75873750"/>
    <w:rsid w:val="75CD2904"/>
    <w:rsid w:val="768A0297"/>
    <w:rsid w:val="76C654C5"/>
    <w:rsid w:val="76E47362"/>
    <w:rsid w:val="772904D8"/>
    <w:rsid w:val="777F78A1"/>
    <w:rsid w:val="77BF392F"/>
    <w:rsid w:val="79FB7C4E"/>
    <w:rsid w:val="7A0B4F39"/>
    <w:rsid w:val="7AE57B05"/>
    <w:rsid w:val="7AED0042"/>
    <w:rsid w:val="7B191426"/>
    <w:rsid w:val="7B3216BA"/>
    <w:rsid w:val="7B653AE1"/>
    <w:rsid w:val="7B663FC3"/>
    <w:rsid w:val="7B962535"/>
    <w:rsid w:val="7C9859CD"/>
    <w:rsid w:val="7CEE39CA"/>
    <w:rsid w:val="7D246EDF"/>
    <w:rsid w:val="7E16447A"/>
    <w:rsid w:val="7EBF328F"/>
    <w:rsid w:val="7FFB4D15"/>
    <w:rsid w:val="7FFE3E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Times New Roman"/>
      <w:kern w:val="2"/>
      <w:sz w:val="18"/>
      <w:szCs w:val="18"/>
    </w:rPr>
  </w:style>
  <w:style w:type="character" w:customStyle="1" w:styleId="8">
    <w:name w:val="页脚 Char"/>
    <w:basedOn w:val="6"/>
    <w:link w:val="3"/>
    <w:uiPriority w:val="99"/>
    <w:rPr>
      <w:rFonts w:ascii="Calibri" w:hAnsi="Calibri" w:eastAsia="宋体" w:cs="Times New Roman"/>
      <w:kern w:val="2"/>
      <w:sz w:val="18"/>
      <w:szCs w:val="18"/>
    </w:rPr>
  </w:style>
  <w:style w:type="character" w:customStyle="1" w:styleId="9">
    <w:name w:val="批注框文本 Char"/>
    <w:basedOn w:val="6"/>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522</Words>
  <Characters>2980</Characters>
  <Lines>24</Lines>
  <Paragraphs>6</Paragraphs>
  <TotalTime>186</TotalTime>
  <ScaleCrop>false</ScaleCrop>
  <LinksUpToDate>false</LinksUpToDate>
  <CharactersWithSpaces>3496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2021-04-26T03:53:00Z</dcterms:created>
  <dc:creator>晋宁县昆阳第二小学</dc:creator>
  <cp:lastModifiedBy>Administrator</cp:lastModifiedBy>
  <cp:lastPrinted>2021-05-11T05:52:00Z</cp:lastPrinted>
  <dcterms:modified xsi:type="dcterms:W3CDTF">2021-11-16T07:30:30Z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