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jc w:val="center"/>
        <w:rPr>
          <w:rFonts w:hint="eastAsia" w:cs="仿宋" w:asciiTheme="majorEastAsia" w:hAnsiTheme="majorEastAsia" w:eastAsiaTheme="majorEastAsia"/>
          <w:b/>
          <w:color w:val="000000"/>
          <w:sz w:val="44"/>
          <w:szCs w:val="44"/>
        </w:rPr>
      </w:pPr>
      <w:r>
        <w:rPr>
          <w:rFonts w:hint="eastAsia" w:cs="仿宋" w:asciiTheme="majorEastAsia" w:hAnsiTheme="majorEastAsia" w:eastAsiaTheme="majorEastAsia"/>
          <w:b/>
          <w:color w:val="000000"/>
          <w:sz w:val="44"/>
          <w:szCs w:val="44"/>
        </w:rPr>
        <w:t>晋宁区202</w:t>
      </w:r>
      <w:r>
        <w:rPr>
          <w:rFonts w:hint="eastAsia" w:cs="仿宋" w:asciiTheme="majorEastAsia" w:hAnsiTheme="majorEastAsia" w:eastAsiaTheme="majorEastAsia"/>
          <w:b/>
          <w:color w:val="000000"/>
          <w:sz w:val="44"/>
          <w:szCs w:val="44"/>
          <w:lang w:val="en-US" w:eastAsia="zh-CN"/>
        </w:rPr>
        <w:t>1</w:t>
      </w:r>
      <w:r>
        <w:rPr>
          <w:rFonts w:hint="eastAsia" w:cs="仿宋" w:asciiTheme="majorEastAsia" w:hAnsiTheme="majorEastAsia" w:eastAsiaTheme="majorEastAsia"/>
          <w:b/>
          <w:color w:val="000000"/>
          <w:sz w:val="44"/>
          <w:szCs w:val="44"/>
        </w:rPr>
        <w:t>年</w:t>
      </w:r>
      <w:r>
        <w:rPr>
          <w:rFonts w:hint="eastAsia" w:cs="仿宋" w:asciiTheme="majorEastAsia" w:hAnsiTheme="majorEastAsia" w:eastAsiaTheme="majorEastAsia"/>
          <w:b/>
          <w:color w:val="000000"/>
          <w:sz w:val="44"/>
          <w:szCs w:val="44"/>
          <w:lang w:val="en-US" w:eastAsia="zh-CN"/>
        </w:rPr>
        <w:t>第三季度</w:t>
      </w:r>
      <w:r>
        <w:rPr>
          <w:rFonts w:hint="eastAsia" w:cs="仿宋" w:asciiTheme="majorEastAsia" w:hAnsiTheme="majorEastAsia" w:eastAsiaTheme="majorEastAsia"/>
          <w:b/>
          <w:color w:val="000000"/>
          <w:sz w:val="44"/>
          <w:szCs w:val="44"/>
        </w:rPr>
        <w:t>城市饮用水水龙头</w:t>
      </w:r>
    </w:p>
    <w:p>
      <w:pPr>
        <w:spacing w:line="550" w:lineRule="exact"/>
        <w:jc w:val="center"/>
        <w:rPr>
          <w:rFonts w:hint="eastAsia" w:ascii="仿宋" w:hAnsi="仿宋" w:cs="仿宋" w:eastAsiaTheme="majorEastAsia"/>
          <w:color w:val="000000"/>
          <w:sz w:val="44"/>
          <w:szCs w:val="44"/>
          <w:lang w:eastAsia="zh-CN"/>
        </w:rPr>
      </w:pPr>
      <w:r>
        <w:rPr>
          <w:rFonts w:hint="eastAsia" w:cs="仿宋" w:asciiTheme="majorEastAsia" w:hAnsiTheme="majorEastAsia" w:eastAsiaTheme="majorEastAsia"/>
          <w:b/>
          <w:color w:val="000000"/>
          <w:sz w:val="44"/>
          <w:szCs w:val="44"/>
        </w:rPr>
        <w:t>水质监测工作</w:t>
      </w:r>
      <w:r>
        <w:rPr>
          <w:rFonts w:hint="eastAsia" w:cs="仿宋" w:asciiTheme="majorEastAsia" w:hAnsiTheme="majorEastAsia" w:eastAsiaTheme="majorEastAsia"/>
          <w:b/>
          <w:color w:val="000000"/>
          <w:sz w:val="44"/>
          <w:szCs w:val="44"/>
          <w:lang w:val="en-US" w:eastAsia="zh-CN"/>
        </w:rPr>
        <w:t>报告</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为贯彻落实《国务院关于印发水污染防治行动计划的通知》</w:t>
      </w:r>
      <w:bookmarkStart w:id="0" w:name="_GoBack"/>
      <w:bookmarkEnd w:id="0"/>
      <w:r>
        <w:rPr>
          <w:rFonts w:hint="eastAsia" w:ascii="仿宋_GB2312" w:hAnsi="仿宋" w:eastAsia="仿宋_GB2312" w:cs="仿宋"/>
          <w:sz w:val="32"/>
          <w:szCs w:val="32"/>
        </w:rPr>
        <w:t>和《云南省人民政府关于印发水污染防治工作方案的通知》要求，定期监测、检测和评估本行政区域内供水厂出厂水和用户水龙头水质等饮水安全状况，根据上级方案要求我区已完成202</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7-9</w:t>
      </w:r>
      <w:r>
        <w:rPr>
          <w:rFonts w:hint="eastAsia" w:ascii="仿宋_GB2312" w:hAnsi="仿宋" w:eastAsia="仿宋_GB2312" w:cs="仿宋"/>
          <w:sz w:val="32"/>
          <w:szCs w:val="32"/>
        </w:rPr>
        <w:t>月城市饮用水水龙头水末梢水水质监测工作，现将开展工作完成情况总结如下：</w:t>
      </w:r>
    </w:p>
    <w:p>
      <w:pPr>
        <w:numPr>
          <w:ilvl w:val="0"/>
          <w:numId w:val="1"/>
        </w:numPr>
        <w:ind w:firstLine="640" w:firstLineChars="200"/>
        <w:rPr>
          <w:rFonts w:hint="eastAsia" w:ascii="黑体" w:hAnsi="黑体" w:eastAsia="黑体" w:cs="仿宋"/>
          <w:sz w:val="32"/>
          <w:szCs w:val="32"/>
        </w:rPr>
      </w:pPr>
      <w:r>
        <w:rPr>
          <w:rFonts w:hint="eastAsia" w:ascii="黑体" w:hAnsi="黑体" w:eastAsia="黑体" w:cs="仿宋"/>
          <w:sz w:val="32"/>
          <w:szCs w:val="32"/>
        </w:rPr>
        <w:t>监测点</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昆阳小团山净水厂</w:t>
      </w:r>
      <w:r>
        <w:rPr>
          <w:rFonts w:hint="eastAsia" w:ascii="仿宋_GB2312" w:hAnsi="仿宋" w:eastAsia="仿宋_GB2312" w:cs="仿宋"/>
          <w:sz w:val="32"/>
          <w:szCs w:val="32"/>
          <w:lang w:eastAsia="zh-CN"/>
        </w:rPr>
        <w:t>出厂水及末梢水</w:t>
      </w:r>
      <w:r>
        <w:rPr>
          <w:rFonts w:hint="eastAsia" w:ascii="仿宋_GB2312" w:hAnsi="仿宋" w:eastAsia="仿宋_GB2312" w:cs="仿宋"/>
          <w:sz w:val="32"/>
          <w:szCs w:val="32"/>
        </w:rPr>
        <w:t>、双龙净水厂</w:t>
      </w:r>
      <w:r>
        <w:rPr>
          <w:rFonts w:hint="eastAsia" w:ascii="仿宋_GB2312" w:hAnsi="仿宋" w:eastAsia="仿宋_GB2312" w:cs="仿宋"/>
          <w:sz w:val="32"/>
          <w:szCs w:val="32"/>
          <w:lang w:eastAsia="zh-CN"/>
        </w:rPr>
        <w:t>出厂水及末梢水</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出厂水取水点为水厂内，</w:t>
      </w:r>
      <w:r>
        <w:rPr>
          <w:rFonts w:hint="eastAsia" w:ascii="仿宋_GB2312" w:hAnsi="仿宋" w:eastAsia="仿宋_GB2312" w:cs="仿宋"/>
          <w:sz w:val="32"/>
          <w:szCs w:val="32"/>
        </w:rPr>
        <w:t>末梢水取水点为晋宁区</w:t>
      </w:r>
      <w:r>
        <w:rPr>
          <w:rFonts w:hint="eastAsia" w:ascii="仿宋_GB2312" w:hAnsi="仿宋" w:eastAsia="仿宋_GB2312" w:cs="仿宋"/>
          <w:sz w:val="32"/>
          <w:szCs w:val="32"/>
          <w:lang w:eastAsia="zh-CN"/>
        </w:rPr>
        <w:t>安居家园</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昆明卫生职业学院</w:t>
      </w:r>
      <w:r>
        <w:rPr>
          <w:rFonts w:hint="eastAsia" w:ascii="仿宋_GB2312" w:hAnsi="仿宋" w:eastAsia="仿宋_GB2312" w:cs="仿宋"/>
          <w:sz w:val="32"/>
          <w:szCs w:val="32"/>
        </w:rPr>
        <w:t>。</w:t>
      </w:r>
    </w:p>
    <w:p>
      <w:pPr>
        <w:numPr>
          <w:ilvl w:val="0"/>
          <w:numId w:val="1"/>
        </w:numPr>
        <w:ind w:firstLine="640" w:firstLineChars="200"/>
        <w:rPr>
          <w:rFonts w:hint="eastAsia" w:ascii="黑体" w:hAnsi="黑体" w:eastAsia="黑体" w:cs="仿宋"/>
          <w:sz w:val="32"/>
          <w:szCs w:val="32"/>
          <w:lang w:eastAsia="zh-CN"/>
        </w:rPr>
      </w:pPr>
      <w:r>
        <w:rPr>
          <w:rFonts w:hint="eastAsia" w:ascii="黑体" w:hAnsi="黑体" w:eastAsia="黑体" w:cs="仿宋"/>
          <w:sz w:val="32"/>
          <w:szCs w:val="32"/>
          <w:lang w:eastAsia="zh-CN"/>
        </w:rPr>
        <w:t>监测频次</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sz w:val="32"/>
          <w:szCs w:val="32"/>
          <w:lang w:val="en-US" w:eastAsia="zh-CN"/>
        </w:rPr>
        <w:t>2021年第三季度我区于7月份完成2件末梢水检测，8月完成2件末梢水检测，9月分别完成2件出厂水和2件末梢水检测。第三季度共计完成2件出厂水检测，6件末梢水检测。</w:t>
      </w:r>
    </w:p>
    <w:p>
      <w:pPr>
        <w:numPr>
          <w:ilvl w:val="0"/>
          <w:numId w:val="1"/>
        </w:numPr>
        <w:ind w:firstLine="640" w:firstLineChars="200"/>
        <w:rPr>
          <w:rFonts w:hint="eastAsia" w:ascii="黑体" w:hAnsi="黑体" w:eastAsia="黑体" w:cs="仿宋"/>
          <w:sz w:val="32"/>
          <w:szCs w:val="32"/>
        </w:rPr>
      </w:pPr>
      <w:r>
        <w:rPr>
          <w:rFonts w:hint="eastAsia" w:ascii="黑体" w:hAnsi="黑体" w:eastAsia="黑体" w:cs="仿宋"/>
          <w:sz w:val="32"/>
          <w:szCs w:val="32"/>
        </w:rPr>
        <w:t>监测指标</w:t>
      </w:r>
    </w:p>
    <w:p>
      <w:pPr>
        <w:numPr>
          <w:ilvl w:val="0"/>
          <w:numId w:val="0"/>
        </w:numPr>
        <w:spacing w:line="240" w:lineRule="auto"/>
        <w:ind w:firstLine="960" w:firstLineChars="300"/>
        <w:rPr>
          <w:rFonts w:hint="eastAsia" w:ascii="仿宋_GB2312" w:hAnsi="仿宋" w:eastAsia="仿宋_GB2312" w:cs="仿宋"/>
          <w:sz w:val="32"/>
          <w:szCs w:val="32"/>
        </w:rPr>
      </w:pPr>
      <w:r>
        <w:rPr>
          <w:rFonts w:hint="eastAsia" w:ascii="仿宋_GB2312" w:hAnsi="仿宋" w:eastAsia="仿宋_GB2312" w:cs="仿宋"/>
          <w:sz w:val="32"/>
          <w:szCs w:val="32"/>
          <w:lang w:eastAsia="zh-CN"/>
        </w:rPr>
        <w:t>出厂水：</w:t>
      </w:r>
      <w:r>
        <w:rPr>
          <w:rFonts w:hint="eastAsia" w:ascii="仿宋_GB2312" w:hAnsi="仿宋" w:eastAsia="仿宋_GB2312" w:cs="仿宋"/>
          <w:sz w:val="32"/>
          <w:szCs w:val="32"/>
          <w:lang w:val="en-US" w:eastAsia="zh-CN"/>
        </w:rPr>
        <w:t>包括感官性状和一般化学指标18项，分别为色度、浑浊度、臭和味、肉眼可见物、PH值、铝、铁、锰、铜、锌、氯化物、硫酸盐、溶解性总固体、总硬度、耗氧量、氨氮、挥发酚类、阴离子合成洗涤剂；毒理学指标11项，分别为砷、镉、六价铬、铅、汞、硒、氰化物、氟化物、硝酸盐、三氯甲烷、四氯化碳；微生物指标3项，分别为菌落总数、总大肠菌群、</w:t>
      </w:r>
      <w:r>
        <w:rPr>
          <w:rFonts w:hint="eastAsia" w:ascii="仿宋_GB2312" w:hAnsi="仿宋" w:eastAsia="仿宋_GB2312" w:cs="仿宋"/>
          <w:sz w:val="32"/>
          <w:szCs w:val="32"/>
        </w:rPr>
        <w:t>大肠埃希氏菌</w:t>
      </w:r>
      <w:r>
        <w:rPr>
          <w:rFonts w:hint="eastAsia" w:ascii="仿宋_GB2312" w:hAnsi="仿宋" w:eastAsia="仿宋_GB2312" w:cs="仿宋"/>
          <w:sz w:val="32"/>
          <w:szCs w:val="32"/>
          <w:lang w:val="en-US" w:eastAsia="zh-CN"/>
        </w:rPr>
        <w:t>；与消毒有关指标1项为余氯等33项。</w:t>
      </w:r>
    </w:p>
    <w:p>
      <w:pPr>
        <w:ind w:firstLine="640" w:firstLineChars="20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末梢水：</w:t>
      </w:r>
      <w:r>
        <w:rPr>
          <w:rFonts w:hint="eastAsia" w:ascii="仿宋_GB2312" w:hAnsi="仿宋" w:eastAsia="仿宋_GB2312" w:cs="仿宋"/>
          <w:sz w:val="32"/>
          <w:szCs w:val="32"/>
        </w:rPr>
        <w:t>检测菌落总数、总大肠菌群、大肠埃希氏菌或耐热大肠菌群、色度、浑浊度、臭和味、肉眼可见物、耗氧量、消毒剂余量等9项指标（检出总大肠菌群时，继续检测耐热大肠菌群或大肠埃希氏菌）</w:t>
      </w:r>
      <w:r>
        <w:rPr>
          <w:rFonts w:hint="eastAsia" w:ascii="仿宋_GB2312" w:hAnsi="仿宋" w:eastAsia="仿宋_GB2312" w:cs="仿宋"/>
          <w:sz w:val="32"/>
          <w:szCs w:val="32"/>
          <w:lang w:eastAsia="zh-CN"/>
        </w:rPr>
        <w:t>。</w:t>
      </w:r>
    </w:p>
    <w:p>
      <w:pPr>
        <w:numPr>
          <w:ilvl w:val="0"/>
          <w:numId w:val="1"/>
        </w:numPr>
        <w:ind w:firstLine="640" w:firstLineChars="200"/>
        <w:rPr>
          <w:rFonts w:hint="eastAsia" w:ascii="黑体" w:hAnsi="黑体" w:eastAsia="黑体" w:cs="仿宋"/>
          <w:sz w:val="32"/>
          <w:szCs w:val="32"/>
        </w:rPr>
      </w:pPr>
      <w:r>
        <w:rPr>
          <w:rFonts w:hint="eastAsia" w:ascii="黑体" w:hAnsi="黑体" w:eastAsia="黑体" w:cs="仿宋"/>
          <w:sz w:val="32"/>
          <w:szCs w:val="32"/>
        </w:rPr>
        <w:t>监测工作要求</w:t>
      </w:r>
    </w:p>
    <w:p>
      <w:pPr>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水样采集、保存、运输、检测按照《生活饮用水标准检验方法》（GB/T5750-2006）规定执行。</w:t>
      </w:r>
    </w:p>
    <w:p>
      <w:pPr>
        <w:numPr>
          <w:ilvl w:val="0"/>
          <w:numId w:val="1"/>
        </w:numPr>
        <w:ind w:firstLine="640" w:firstLineChars="200"/>
        <w:jc w:val="left"/>
        <w:rPr>
          <w:rFonts w:hint="eastAsia" w:ascii="黑体" w:hAnsi="黑体" w:eastAsia="黑体" w:cs="仿宋"/>
          <w:sz w:val="32"/>
          <w:szCs w:val="32"/>
        </w:rPr>
      </w:pPr>
      <w:r>
        <w:rPr>
          <w:rFonts w:hint="eastAsia" w:ascii="黑体" w:hAnsi="黑体" w:eastAsia="黑体" w:cs="仿宋"/>
          <w:sz w:val="32"/>
          <w:szCs w:val="32"/>
        </w:rPr>
        <w:t>检测结果评价标准</w:t>
      </w:r>
    </w:p>
    <w:p>
      <w:pPr>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rPr>
        <w:t>按照《生活饮用水卫生标准》（GB5749-2006）中表1、表2规定限值进行评价。</w:t>
      </w:r>
    </w:p>
    <w:p>
      <w:pPr>
        <w:ind w:firstLine="640" w:firstLineChars="200"/>
        <w:rPr>
          <w:rFonts w:hint="eastAsia" w:ascii="黑体" w:hAnsi="黑体" w:eastAsia="黑体" w:cs="仿宋"/>
          <w:color w:val="000000"/>
          <w:sz w:val="32"/>
          <w:szCs w:val="32"/>
        </w:rPr>
      </w:pPr>
      <w:r>
        <w:rPr>
          <w:rFonts w:hint="eastAsia" w:ascii="黑体" w:hAnsi="黑体" w:eastAsia="黑体" w:cs="仿宋"/>
          <w:color w:val="000000"/>
          <w:sz w:val="32"/>
          <w:szCs w:val="32"/>
          <w:lang w:eastAsia="zh-CN"/>
        </w:rPr>
        <w:t>六、</w:t>
      </w:r>
      <w:r>
        <w:rPr>
          <w:rFonts w:hint="eastAsia" w:ascii="黑体" w:hAnsi="黑体" w:eastAsia="黑体" w:cs="仿宋"/>
          <w:color w:val="000000"/>
          <w:sz w:val="32"/>
          <w:szCs w:val="32"/>
        </w:rPr>
        <w:t>监测结果分析</w:t>
      </w:r>
    </w:p>
    <w:p>
      <w:pPr>
        <w:spacing w:line="240" w:lineRule="auto"/>
        <w:ind w:firstLine="640" w:firstLineChars="200"/>
        <w:rPr>
          <w:rFonts w:hint="eastAsia" w:ascii="仿宋_GB2312" w:hAnsi="仿宋" w:eastAsia="仿宋_GB2312" w:cs="仿宋"/>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年第</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季度我区共计完成水龙头水检测</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件，分别为2件出厂水</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件末梢水，第</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季度</w:t>
      </w:r>
      <w:r>
        <w:rPr>
          <w:rFonts w:hint="eastAsia" w:ascii="仿宋_GB2312" w:hAnsi="仿宋_GB2312" w:eastAsia="仿宋_GB2312" w:cs="仿宋_GB2312"/>
          <w:color w:val="000000"/>
          <w:sz w:val="32"/>
          <w:szCs w:val="32"/>
          <w:lang w:eastAsia="zh-CN"/>
        </w:rPr>
        <w:t>检测水样</w:t>
      </w:r>
      <w:r>
        <w:rPr>
          <w:rFonts w:hint="eastAsia" w:ascii="仿宋_GB2312" w:hAnsi="仿宋_GB2312" w:eastAsia="仿宋_GB2312" w:cs="仿宋_GB2312"/>
          <w:color w:val="000000"/>
          <w:sz w:val="32"/>
          <w:szCs w:val="32"/>
          <w:lang w:val="en-US" w:eastAsia="zh-CN"/>
        </w:rPr>
        <w:t>2件</w:t>
      </w:r>
      <w:r>
        <w:rPr>
          <w:rFonts w:hint="eastAsia" w:ascii="仿宋_GB2312" w:hAnsi="仿宋_GB2312" w:eastAsia="仿宋_GB2312" w:cs="仿宋_GB2312"/>
          <w:color w:val="000000"/>
          <w:sz w:val="32"/>
          <w:szCs w:val="32"/>
          <w:lang w:eastAsia="zh-CN"/>
        </w:rPr>
        <w:t>出厂水及</w:t>
      </w:r>
      <w:r>
        <w:rPr>
          <w:rFonts w:hint="eastAsia" w:ascii="仿宋_GB2312" w:hAnsi="仿宋_GB2312" w:eastAsia="仿宋_GB2312" w:cs="仿宋_GB2312"/>
          <w:color w:val="000000"/>
          <w:sz w:val="32"/>
          <w:szCs w:val="32"/>
          <w:lang w:val="en-US" w:eastAsia="zh-CN"/>
        </w:rPr>
        <w:t>6件末梢水</w:t>
      </w:r>
      <w:r>
        <w:rPr>
          <w:rFonts w:hint="eastAsia" w:ascii="仿宋_GB2312" w:hAnsi="仿宋_GB2312" w:eastAsia="仿宋_GB2312" w:cs="仿宋_GB2312"/>
          <w:color w:val="000000"/>
          <w:sz w:val="32"/>
          <w:szCs w:val="32"/>
        </w:rPr>
        <w:t>均为合格水，合格率100%</w:t>
      </w:r>
      <w:r>
        <w:rPr>
          <w:rFonts w:hint="eastAsia" w:ascii="仿宋_GB2312" w:hAnsi="仿宋_GB2312" w:eastAsia="仿宋_GB2312" w:cs="仿宋_GB2312"/>
          <w:color w:val="000000"/>
          <w:sz w:val="32"/>
          <w:szCs w:val="32"/>
          <w:lang w:eastAsia="zh-CN"/>
        </w:rPr>
        <w:t>，并按照</w:t>
      </w:r>
      <w:r>
        <w:rPr>
          <w:rFonts w:hint="eastAsia" w:ascii="仿宋_GB2312" w:hAnsi="仿宋_GB2312" w:eastAsia="仿宋_GB2312" w:cs="仿宋_GB2312"/>
          <w:color w:val="000000"/>
          <w:sz w:val="32"/>
          <w:szCs w:val="32"/>
        </w:rPr>
        <w:t>要求</w:t>
      </w:r>
      <w:r>
        <w:rPr>
          <w:rFonts w:hint="eastAsia" w:ascii="仿宋_GB2312" w:hAnsi="仿宋_GB2312" w:eastAsia="仿宋_GB2312" w:cs="仿宋_GB2312"/>
          <w:color w:val="000000"/>
          <w:sz w:val="32"/>
          <w:szCs w:val="32"/>
          <w:lang w:eastAsia="zh-CN"/>
        </w:rPr>
        <w:t>对</w:t>
      </w:r>
      <w:r>
        <w:rPr>
          <w:rFonts w:hint="eastAsia" w:ascii="仿宋_GB2312" w:hAnsi="仿宋_GB2312" w:eastAsia="仿宋_GB2312" w:cs="仿宋_GB2312"/>
          <w:color w:val="000000"/>
          <w:sz w:val="32"/>
          <w:szCs w:val="32"/>
        </w:rPr>
        <w:t>水质</w:t>
      </w:r>
      <w:r>
        <w:rPr>
          <w:rFonts w:hint="eastAsia" w:ascii="仿宋_GB2312" w:hAnsi="仿宋_GB2312" w:eastAsia="仿宋_GB2312" w:cs="仿宋_GB2312"/>
          <w:color w:val="000000"/>
          <w:sz w:val="32"/>
          <w:szCs w:val="32"/>
          <w:lang w:eastAsia="zh-CN"/>
        </w:rPr>
        <w:t>检测结果在政府网进行</w:t>
      </w:r>
      <w:r>
        <w:rPr>
          <w:rFonts w:hint="eastAsia" w:ascii="仿宋_GB2312" w:hAnsi="仿宋_GB2312" w:eastAsia="仿宋_GB2312" w:cs="仿宋_GB2312"/>
          <w:color w:val="000000"/>
          <w:sz w:val="32"/>
          <w:szCs w:val="32"/>
        </w:rPr>
        <w:t>信息公开</w:t>
      </w:r>
      <w:r>
        <w:rPr>
          <w:rFonts w:hint="eastAsia" w:ascii="仿宋_GB2312" w:hAnsi="仿宋_GB2312" w:eastAsia="仿宋_GB2312" w:cs="仿宋_GB2312"/>
          <w:color w:val="000000"/>
          <w:sz w:val="32"/>
          <w:szCs w:val="32"/>
          <w:lang w:eastAsia="zh-CN"/>
        </w:rPr>
        <w:t>，</w:t>
      </w:r>
      <w:r>
        <w:rPr>
          <w:rFonts w:hint="eastAsia" w:ascii="仿宋_GB2312" w:hAnsi="仿宋" w:eastAsia="仿宋_GB2312" w:cs="仿宋"/>
          <w:color w:val="000000"/>
          <w:sz w:val="32"/>
          <w:szCs w:val="32"/>
        </w:rPr>
        <w:t>检测结果见表1</w:t>
      </w:r>
      <w:r>
        <w:rPr>
          <w:rFonts w:hint="eastAsia" w:ascii="仿宋_GB2312" w:hAnsi="仿宋" w:eastAsia="仿宋_GB2312" w:cs="仿宋"/>
          <w:color w:val="000000"/>
          <w:sz w:val="32"/>
          <w:szCs w:val="32"/>
          <w:lang w:eastAsia="zh-CN"/>
        </w:rPr>
        <w:t>、表</w:t>
      </w:r>
      <w:r>
        <w:rPr>
          <w:rFonts w:hint="eastAsia" w:ascii="仿宋_GB2312" w:hAnsi="仿宋" w:eastAsia="仿宋_GB2312" w:cs="仿宋"/>
          <w:color w:val="000000"/>
          <w:sz w:val="32"/>
          <w:szCs w:val="32"/>
          <w:lang w:val="en-US" w:eastAsia="zh-CN"/>
        </w:rPr>
        <w:t>2</w:t>
      </w:r>
      <w:r>
        <w:rPr>
          <w:rFonts w:hint="eastAsia" w:ascii="仿宋_GB2312" w:hAnsi="仿宋" w:eastAsia="仿宋_GB2312" w:cs="仿宋"/>
          <w:color w:val="000000"/>
          <w:sz w:val="32"/>
          <w:szCs w:val="32"/>
        </w:rPr>
        <w:t>。</w:t>
      </w:r>
    </w:p>
    <w:p>
      <w:pPr>
        <w:spacing w:line="240" w:lineRule="auto"/>
        <w:ind w:firstLine="560" w:firstLineChars="200"/>
        <w:jc w:val="both"/>
        <w:rPr>
          <w:rFonts w:hint="eastAsia" w:ascii="方正黑体_GBK" w:hAnsi="方正黑体_GBK" w:eastAsia="方正黑体_GBK" w:cs="方正黑体_GBK"/>
          <w:b/>
          <w:bCs/>
          <w:i w:val="0"/>
          <w:color w:val="000000"/>
          <w:kern w:val="0"/>
          <w:sz w:val="28"/>
          <w:szCs w:val="28"/>
          <w:u w:val="none"/>
          <w:lang w:val="en-US" w:eastAsia="zh-CN" w:bidi="ar"/>
        </w:rPr>
      </w:pPr>
    </w:p>
    <w:p>
      <w:pPr>
        <w:spacing w:line="240" w:lineRule="auto"/>
        <w:ind w:firstLine="560" w:firstLineChars="200"/>
        <w:jc w:val="both"/>
      </w:pPr>
      <w:r>
        <w:rPr>
          <w:rFonts w:hint="eastAsia" w:ascii="方正黑体_GBK" w:hAnsi="方正黑体_GBK" w:eastAsia="方正黑体_GBK" w:cs="方正黑体_GBK"/>
          <w:b/>
          <w:bCs/>
          <w:i w:val="0"/>
          <w:color w:val="000000"/>
          <w:kern w:val="0"/>
          <w:sz w:val="28"/>
          <w:szCs w:val="28"/>
          <w:u w:val="none"/>
          <w:lang w:val="en-US" w:eastAsia="zh-CN" w:bidi="ar"/>
        </w:rPr>
        <w:t xml:space="preserve">表1  </w:t>
      </w:r>
      <w:r>
        <w:rPr>
          <w:rFonts w:hint="default" w:ascii="方正黑体_GBK" w:hAnsi="方正黑体_GBK" w:eastAsia="方正黑体_GBK" w:cs="方正黑体_GBK"/>
          <w:b/>
          <w:bCs/>
          <w:i w:val="0"/>
          <w:color w:val="000000"/>
          <w:kern w:val="0"/>
          <w:sz w:val="28"/>
          <w:szCs w:val="28"/>
          <w:u w:val="none"/>
          <w:lang w:val="en-US" w:eastAsia="zh-CN" w:bidi="ar"/>
        </w:rPr>
        <w:t>20</w:t>
      </w:r>
      <w:r>
        <w:rPr>
          <w:rFonts w:hint="eastAsia" w:ascii="方正黑体_GBK" w:hAnsi="方正黑体_GBK" w:eastAsia="方正黑体_GBK" w:cs="方正黑体_GBK"/>
          <w:b/>
          <w:bCs/>
          <w:i w:val="0"/>
          <w:color w:val="000000"/>
          <w:kern w:val="0"/>
          <w:sz w:val="28"/>
          <w:szCs w:val="28"/>
          <w:u w:val="none"/>
          <w:lang w:val="en-US" w:eastAsia="zh-CN" w:bidi="ar"/>
        </w:rPr>
        <w:t>21</w:t>
      </w:r>
      <w:r>
        <w:rPr>
          <w:rFonts w:hint="default" w:ascii="方正黑体_GBK" w:hAnsi="方正黑体_GBK" w:eastAsia="方正黑体_GBK" w:cs="方正黑体_GBK"/>
          <w:b/>
          <w:bCs/>
          <w:i w:val="0"/>
          <w:color w:val="000000"/>
          <w:kern w:val="0"/>
          <w:sz w:val="28"/>
          <w:szCs w:val="28"/>
          <w:u w:val="none"/>
          <w:lang w:val="en-US" w:eastAsia="zh-CN" w:bidi="ar"/>
        </w:rPr>
        <w:t>年</w:t>
      </w:r>
      <w:r>
        <w:rPr>
          <w:rFonts w:hint="eastAsia" w:ascii="方正黑体_GBK" w:hAnsi="方正黑体_GBK" w:eastAsia="方正黑体_GBK" w:cs="方正黑体_GBK"/>
          <w:b/>
          <w:bCs/>
          <w:i w:val="0"/>
          <w:color w:val="000000"/>
          <w:kern w:val="0"/>
          <w:sz w:val="28"/>
          <w:szCs w:val="28"/>
          <w:u w:val="none"/>
          <w:lang w:val="en-US" w:eastAsia="zh-CN" w:bidi="ar"/>
        </w:rPr>
        <w:t>第三季度</w:t>
      </w:r>
      <w:r>
        <w:rPr>
          <w:rStyle w:val="14"/>
          <w:b/>
          <w:bCs/>
          <w:lang w:val="en-US" w:eastAsia="zh-CN" w:bidi="ar"/>
        </w:rPr>
        <w:t>昆明市晋宁区出厂水卫生监测检测结果</w:t>
      </w:r>
    </w:p>
    <w:tbl>
      <w:tblPr>
        <w:tblStyle w:val="4"/>
        <w:tblW w:w="9638" w:type="dxa"/>
        <w:jc w:val="center"/>
        <w:shd w:val="clear" w:color="auto" w:fill="auto"/>
        <w:tblLayout w:type="fixed"/>
        <w:tblCellMar>
          <w:top w:w="0" w:type="dxa"/>
          <w:left w:w="0" w:type="dxa"/>
          <w:bottom w:w="0" w:type="dxa"/>
          <w:right w:w="0" w:type="dxa"/>
        </w:tblCellMar>
      </w:tblPr>
      <w:tblGrid>
        <w:gridCol w:w="2626"/>
        <w:gridCol w:w="1602"/>
        <w:gridCol w:w="1483"/>
        <w:gridCol w:w="1841"/>
        <w:gridCol w:w="2086"/>
      </w:tblGrid>
      <w:tr>
        <w:tblPrEx>
          <w:tblCellMar>
            <w:top w:w="0" w:type="dxa"/>
            <w:left w:w="0" w:type="dxa"/>
            <w:bottom w:w="0" w:type="dxa"/>
            <w:right w:w="0" w:type="dxa"/>
          </w:tblCellMar>
        </w:tblPrEx>
        <w:trPr>
          <w:trHeight w:val="499" w:hRule="atLeast"/>
          <w:jc w:val="center"/>
        </w:trPr>
        <w:tc>
          <w:tcPr>
            <w:tcW w:w="262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Theme="majorEastAsia" w:hAnsiTheme="majorEastAsia" w:eastAsiaTheme="majorEastAsia" w:cstheme="majorEastAsia"/>
                <w:b/>
                <w:i w:val="0"/>
                <w:color w:val="000000"/>
                <w:sz w:val="24"/>
                <w:szCs w:val="24"/>
                <w:u w:val="none"/>
              </w:rPr>
            </w:pPr>
            <w:r>
              <w:rPr>
                <w:rFonts w:hint="eastAsia" w:asciiTheme="majorEastAsia" w:hAnsiTheme="majorEastAsia" w:eastAsiaTheme="majorEastAsia" w:cstheme="majorEastAsia"/>
                <w:b/>
                <w:i w:val="0"/>
                <w:color w:val="000000"/>
                <w:kern w:val="0"/>
                <w:sz w:val="24"/>
                <w:szCs w:val="24"/>
                <w:u w:val="none"/>
                <w:lang w:val="en-US" w:eastAsia="zh-CN" w:bidi="ar"/>
              </w:rPr>
              <w:t>供水单位</w:t>
            </w:r>
          </w:p>
        </w:tc>
        <w:tc>
          <w:tcPr>
            <w:tcW w:w="16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4"/>
                <w:szCs w:val="24"/>
                <w:u w:val="none"/>
              </w:rPr>
            </w:pPr>
            <w:r>
              <w:rPr>
                <w:rFonts w:hint="eastAsia" w:asciiTheme="majorEastAsia" w:hAnsiTheme="majorEastAsia" w:eastAsiaTheme="majorEastAsia" w:cstheme="majorEastAsia"/>
                <w:b/>
                <w:i w:val="0"/>
                <w:color w:val="000000"/>
                <w:kern w:val="0"/>
                <w:sz w:val="24"/>
                <w:szCs w:val="24"/>
                <w:u w:val="none"/>
                <w:lang w:val="en-US" w:eastAsia="zh-CN" w:bidi="ar"/>
              </w:rPr>
              <w:t>检测项目数</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4"/>
                <w:szCs w:val="24"/>
                <w:u w:val="none"/>
              </w:rPr>
            </w:pPr>
            <w:r>
              <w:rPr>
                <w:rFonts w:hint="eastAsia" w:asciiTheme="majorEastAsia" w:hAnsiTheme="majorEastAsia" w:eastAsiaTheme="majorEastAsia" w:cstheme="majorEastAsia"/>
                <w:b/>
                <w:i w:val="0"/>
                <w:color w:val="000000"/>
                <w:kern w:val="0"/>
                <w:sz w:val="24"/>
                <w:szCs w:val="24"/>
                <w:u w:val="none"/>
                <w:lang w:val="en-US" w:eastAsia="zh-CN" w:bidi="ar"/>
              </w:rPr>
              <w:t>合格项目数</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4"/>
                <w:szCs w:val="24"/>
                <w:u w:val="none"/>
              </w:rPr>
            </w:pPr>
            <w:r>
              <w:rPr>
                <w:rFonts w:hint="eastAsia" w:asciiTheme="majorEastAsia" w:hAnsiTheme="majorEastAsia" w:eastAsiaTheme="majorEastAsia" w:cstheme="majorEastAsia"/>
                <w:b/>
                <w:i w:val="0"/>
                <w:color w:val="000000"/>
                <w:kern w:val="0"/>
                <w:sz w:val="24"/>
                <w:szCs w:val="24"/>
                <w:u w:val="none"/>
                <w:lang w:val="en-US" w:eastAsia="zh-CN" w:bidi="ar"/>
              </w:rPr>
              <w:t>不合格项目</w:t>
            </w:r>
          </w:p>
        </w:tc>
        <w:tc>
          <w:tcPr>
            <w:tcW w:w="208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heme="majorEastAsia" w:hAnsiTheme="majorEastAsia" w:eastAsiaTheme="majorEastAsia" w:cstheme="majorEastAsia"/>
                <w:b/>
                <w:i w:val="0"/>
                <w:color w:val="000000"/>
                <w:kern w:val="0"/>
                <w:sz w:val="24"/>
                <w:szCs w:val="24"/>
                <w:u w:val="none"/>
                <w:lang w:val="en-US" w:eastAsia="zh-CN" w:bidi="ar"/>
              </w:rPr>
            </w:pPr>
            <w:r>
              <w:rPr>
                <w:rFonts w:hint="eastAsia" w:asciiTheme="majorEastAsia" w:hAnsiTheme="majorEastAsia" w:eastAsiaTheme="majorEastAsia" w:cstheme="majorEastAsia"/>
                <w:b/>
                <w:i w:val="0"/>
                <w:color w:val="000000"/>
                <w:kern w:val="0"/>
                <w:sz w:val="24"/>
                <w:szCs w:val="24"/>
                <w:u w:val="none"/>
                <w:lang w:val="en-US" w:eastAsia="zh-CN" w:bidi="ar"/>
              </w:rPr>
              <w:t>合格率%</w:t>
            </w:r>
          </w:p>
        </w:tc>
      </w:tr>
      <w:tr>
        <w:tblPrEx>
          <w:tblCellMar>
            <w:top w:w="0" w:type="dxa"/>
            <w:left w:w="0" w:type="dxa"/>
            <w:bottom w:w="0" w:type="dxa"/>
            <w:right w:w="0" w:type="dxa"/>
          </w:tblCellMar>
        </w:tblPrEx>
        <w:trPr>
          <w:trHeight w:val="397" w:hRule="atLeast"/>
          <w:jc w:val="center"/>
        </w:trPr>
        <w:tc>
          <w:tcPr>
            <w:tcW w:w="2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昆阳小团山净水厂</w:t>
            </w:r>
          </w:p>
        </w:tc>
        <w:tc>
          <w:tcPr>
            <w:tcW w:w="16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33项</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33</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0</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100%</w:t>
            </w:r>
          </w:p>
        </w:tc>
      </w:tr>
      <w:tr>
        <w:tblPrEx>
          <w:shd w:val="clear" w:color="auto" w:fill="auto"/>
          <w:tblCellMar>
            <w:top w:w="0" w:type="dxa"/>
            <w:left w:w="0" w:type="dxa"/>
            <w:bottom w:w="0" w:type="dxa"/>
            <w:right w:w="0" w:type="dxa"/>
          </w:tblCellMar>
        </w:tblPrEx>
        <w:trPr>
          <w:trHeight w:val="397" w:hRule="atLeast"/>
          <w:jc w:val="center"/>
        </w:trPr>
        <w:tc>
          <w:tcPr>
            <w:tcW w:w="262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昆阳双龙净水厂</w:t>
            </w:r>
          </w:p>
        </w:tc>
        <w:tc>
          <w:tcPr>
            <w:tcW w:w="160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33项</w:t>
            </w:r>
          </w:p>
        </w:tc>
        <w:tc>
          <w:tcPr>
            <w:tcW w:w="14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33</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0</w:t>
            </w:r>
          </w:p>
        </w:tc>
        <w:tc>
          <w:tcPr>
            <w:tcW w:w="208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100%</w:t>
            </w:r>
          </w:p>
        </w:tc>
      </w:tr>
    </w:tbl>
    <w:p>
      <w:pPr>
        <w:jc w:val="both"/>
        <w:rPr>
          <w:rFonts w:hint="eastAsia" w:ascii="仿宋" w:hAnsi="仿宋" w:eastAsia="仿宋" w:cs="仿宋"/>
          <w:b/>
          <w:color w:val="000000"/>
          <w:sz w:val="28"/>
          <w:szCs w:val="28"/>
        </w:rPr>
      </w:pPr>
    </w:p>
    <w:p>
      <w:pPr>
        <w:spacing w:line="240" w:lineRule="auto"/>
        <w:jc w:val="both"/>
        <w:rPr>
          <w:rStyle w:val="14"/>
          <w:rFonts w:hint="eastAsia"/>
          <w:b/>
          <w:bCs/>
          <w:u w:val="none"/>
          <w:lang w:val="en-US" w:eastAsia="zh-CN" w:bidi="ar"/>
        </w:rPr>
      </w:pPr>
      <w:r>
        <w:rPr>
          <w:rStyle w:val="14"/>
          <w:rFonts w:hint="eastAsia"/>
          <w:b/>
          <w:bCs/>
          <w:u w:val="none"/>
          <w:lang w:val="en-US" w:eastAsia="zh-CN" w:bidi="ar"/>
        </w:rPr>
        <w:t xml:space="preserve">表2  </w:t>
      </w:r>
      <w:r>
        <w:rPr>
          <w:rStyle w:val="14"/>
          <w:rFonts w:hint="default"/>
          <w:b/>
          <w:bCs/>
          <w:u w:val="none"/>
          <w:lang w:val="en-US" w:eastAsia="zh-CN" w:bidi="ar"/>
        </w:rPr>
        <w:t>20</w:t>
      </w:r>
      <w:r>
        <w:rPr>
          <w:rStyle w:val="14"/>
          <w:rFonts w:hint="eastAsia"/>
          <w:b/>
          <w:bCs/>
          <w:u w:val="none"/>
          <w:lang w:val="en-US" w:eastAsia="zh-CN" w:bidi="ar"/>
        </w:rPr>
        <w:t>21</w:t>
      </w:r>
      <w:r>
        <w:rPr>
          <w:rStyle w:val="14"/>
          <w:rFonts w:hint="default"/>
          <w:b/>
          <w:bCs/>
          <w:u w:val="none"/>
          <w:lang w:val="en-US" w:eastAsia="zh-CN" w:bidi="ar"/>
        </w:rPr>
        <w:t>年</w:t>
      </w:r>
      <w:r>
        <w:rPr>
          <w:rStyle w:val="14"/>
          <w:rFonts w:hint="eastAsia"/>
          <w:b/>
          <w:bCs/>
          <w:u w:val="none"/>
          <w:lang w:val="en-US" w:eastAsia="zh-CN" w:bidi="ar"/>
        </w:rPr>
        <w:t>第三</w:t>
      </w:r>
      <w:r>
        <w:rPr>
          <w:rFonts w:hint="eastAsia" w:ascii="方正黑体_GBK" w:hAnsi="方正黑体_GBK" w:eastAsia="方正黑体_GBK" w:cs="方正黑体_GBK"/>
          <w:b/>
          <w:bCs/>
          <w:i w:val="0"/>
          <w:color w:val="000000"/>
          <w:kern w:val="0"/>
          <w:sz w:val="28"/>
          <w:szCs w:val="28"/>
          <w:u w:val="none"/>
          <w:lang w:val="en-US" w:eastAsia="zh-CN" w:bidi="ar"/>
        </w:rPr>
        <w:t>季度</w:t>
      </w:r>
      <w:r>
        <w:rPr>
          <w:rStyle w:val="14"/>
          <w:b/>
          <w:bCs/>
          <w:u w:val="none"/>
          <w:lang w:val="en-US" w:eastAsia="zh-CN" w:bidi="ar"/>
        </w:rPr>
        <w:t>昆明市晋宁区管网末梢水卫生监测检测结果</w:t>
      </w:r>
    </w:p>
    <w:tbl>
      <w:tblPr>
        <w:tblStyle w:val="5"/>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885"/>
        <w:gridCol w:w="747"/>
        <w:gridCol w:w="944"/>
        <w:gridCol w:w="945"/>
        <w:gridCol w:w="945"/>
        <w:gridCol w:w="945"/>
        <w:gridCol w:w="945"/>
        <w:gridCol w:w="945"/>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jc w:val="center"/>
        </w:trPr>
        <w:tc>
          <w:tcPr>
            <w:tcW w:w="1392" w:type="dxa"/>
            <w:vAlign w:val="center"/>
          </w:tcPr>
          <w:p>
            <w:pPr>
              <w:keepNext w:val="0"/>
              <w:keepLines w:val="0"/>
              <w:widowControl/>
              <w:suppressLineNumbers w:val="0"/>
              <w:jc w:val="center"/>
              <w:textAlignment w:val="center"/>
              <w:rPr>
                <w:vertAlign w:val="baseline"/>
              </w:rPr>
            </w:pPr>
            <w:r>
              <w:rPr>
                <w:rFonts w:hint="default" w:ascii="方正仿宋_GBK" w:hAnsi="方正仿宋_GBK" w:eastAsia="方正仿宋_GBK" w:cs="方正仿宋_GBK"/>
                <w:b/>
                <w:i w:val="0"/>
                <w:color w:val="000000"/>
                <w:kern w:val="0"/>
                <w:sz w:val="22"/>
                <w:szCs w:val="22"/>
                <w:u w:val="none"/>
                <w:lang w:val="en-US" w:eastAsia="zh-CN" w:bidi="ar"/>
              </w:rPr>
              <w:t>指标结果</w:t>
            </w:r>
          </w:p>
        </w:tc>
        <w:tc>
          <w:tcPr>
            <w:tcW w:w="88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vertAlign w:val="baseline"/>
              </w:rPr>
            </w:pPr>
            <w:r>
              <w:rPr>
                <w:rFonts w:hint="default" w:ascii="方正仿宋_GBK" w:hAnsi="方正仿宋_GBK" w:eastAsia="方正仿宋_GBK" w:cs="方正仿宋_GBK"/>
                <w:b/>
                <w:i w:val="0"/>
                <w:color w:val="000000"/>
                <w:kern w:val="0"/>
                <w:sz w:val="22"/>
                <w:szCs w:val="22"/>
                <w:u w:val="none"/>
                <w:lang w:val="en-US" w:eastAsia="zh-CN" w:bidi="ar"/>
              </w:rPr>
              <w:t>色度</w:t>
            </w:r>
          </w:p>
        </w:tc>
        <w:tc>
          <w:tcPr>
            <w:tcW w:w="74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vertAlign w:val="baseline"/>
              </w:rPr>
            </w:pPr>
            <w:r>
              <w:rPr>
                <w:rFonts w:hint="default" w:ascii="方正仿宋_GBK" w:hAnsi="方正仿宋_GBK" w:eastAsia="方正仿宋_GBK" w:cs="方正仿宋_GBK"/>
                <w:b/>
                <w:i w:val="0"/>
                <w:color w:val="000000"/>
                <w:kern w:val="0"/>
                <w:sz w:val="22"/>
                <w:szCs w:val="22"/>
                <w:u w:val="none"/>
                <w:lang w:val="en-US" w:eastAsia="zh-CN" w:bidi="ar"/>
              </w:rPr>
              <w:t>浑浊度</w:t>
            </w:r>
          </w:p>
        </w:tc>
        <w:tc>
          <w:tcPr>
            <w:tcW w:w="94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vertAlign w:val="baseline"/>
              </w:rPr>
            </w:pPr>
            <w:r>
              <w:rPr>
                <w:rFonts w:hint="default" w:ascii="方正仿宋_GBK" w:hAnsi="方正仿宋_GBK" w:eastAsia="方正仿宋_GBK" w:cs="方正仿宋_GBK"/>
                <w:b/>
                <w:i w:val="0"/>
                <w:color w:val="000000"/>
                <w:kern w:val="0"/>
                <w:sz w:val="22"/>
                <w:szCs w:val="22"/>
                <w:u w:val="none"/>
                <w:lang w:val="en-US" w:eastAsia="zh-CN" w:bidi="ar"/>
              </w:rPr>
              <w:t>肉眼可见物</w:t>
            </w:r>
          </w:p>
        </w:tc>
        <w:tc>
          <w:tcPr>
            <w:tcW w:w="94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vertAlign w:val="baseline"/>
              </w:rPr>
            </w:pPr>
            <w:r>
              <w:rPr>
                <w:rFonts w:hint="default" w:ascii="方正仿宋_GBK" w:hAnsi="方正仿宋_GBK" w:eastAsia="方正仿宋_GBK" w:cs="方正仿宋_GBK"/>
                <w:b/>
                <w:i w:val="0"/>
                <w:color w:val="000000"/>
                <w:kern w:val="0"/>
                <w:sz w:val="22"/>
                <w:szCs w:val="22"/>
                <w:u w:val="none"/>
                <w:lang w:val="en-US" w:eastAsia="zh-CN" w:bidi="ar"/>
              </w:rPr>
              <w:t>耗氧量</w:t>
            </w:r>
          </w:p>
        </w:tc>
        <w:tc>
          <w:tcPr>
            <w:tcW w:w="94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vertAlign w:val="baseline"/>
              </w:rPr>
            </w:pPr>
            <w:r>
              <w:rPr>
                <w:rFonts w:hint="eastAsia" w:ascii="宋体" w:hAnsi="宋体" w:eastAsia="宋体" w:cs="宋体"/>
                <w:b/>
                <w:i w:val="0"/>
                <w:color w:val="000000"/>
                <w:kern w:val="0"/>
                <w:sz w:val="22"/>
                <w:szCs w:val="22"/>
                <w:u w:val="none"/>
                <w:lang w:val="en-US" w:eastAsia="zh-CN" w:bidi="ar"/>
              </w:rPr>
              <w:t>游离余氯</w:t>
            </w:r>
          </w:p>
        </w:tc>
        <w:tc>
          <w:tcPr>
            <w:tcW w:w="94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vertAlign w:val="baseline"/>
              </w:rPr>
            </w:pPr>
            <w:r>
              <w:rPr>
                <w:rFonts w:hint="eastAsia" w:ascii="宋体" w:hAnsi="宋体" w:eastAsia="宋体" w:cs="宋体"/>
                <w:b/>
                <w:i w:val="0"/>
                <w:color w:val="000000"/>
                <w:kern w:val="0"/>
                <w:sz w:val="22"/>
                <w:szCs w:val="22"/>
                <w:u w:val="none"/>
                <w:lang w:val="en-US" w:eastAsia="zh-CN" w:bidi="ar"/>
              </w:rPr>
              <w:t>臭和味</w:t>
            </w:r>
          </w:p>
        </w:tc>
        <w:tc>
          <w:tcPr>
            <w:tcW w:w="94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vertAlign w:val="baseline"/>
              </w:rPr>
            </w:pPr>
            <w:r>
              <w:rPr>
                <w:rFonts w:hint="eastAsia" w:ascii="宋体" w:hAnsi="宋体" w:eastAsia="宋体" w:cs="宋体"/>
                <w:b/>
                <w:i w:val="0"/>
                <w:color w:val="000000"/>
                <w:kern w:val="0"/>
                <w:sz w:val="22"/>
                <w:szCs w:val="22"/>
                <w:u w:val="none"/>
                <w:lang w:val="en-US" w:eastAsia="zh-CN" w:bidi="ar"/>
              </w:rPr>
              <w:t>菌落总数</w:t>
            </w:r>
          </w:p>
        </w:tc>
        <w:tc>
          <w:tcPr>
            <w:tcW w:w="94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vertAlign w:val="baseline"/>
              </w:rPr>
            </w:pPr>
            <w:r>
              <w:rPr>
                <w:rFonts w:hint="eastAsia" w:ascii="宋体" w:hAnsi="宋体" w:eastAsia="宋体" w:cs="宋体"/>
                <w:b/>
                <w:i w:val="0"/>
                <w:color w:val="000000"/>
                <w:kern w:val="0"/>
                <w:sz w:val="22"/>
                <w:szCs w:val="22"/>
                <w:u w:val="none"/>
                <w:lang w:val="en-US" w:eastAsia="zh-CN" w:bidi="ar"/>
              </w:rPr>
              <w:t>总大肠菌群</w:t>
            </w:r>
          </w:p>
        </w:tc>
        <w:tc>
          <w:tcPr>
            <w:tcW w:w="1084"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vertAlign w:val="baseline"/>
              </w:rPr>
            </w:pPr>
            <w:r>
              <w:rPr>
                <w:rFonts w:hint="eastAsia" w:ascii="宋体" w:hAnsi="宋体" w:eastAsia="宋体" w:cs="宋体"/>
                <w:b/>
                <w:i w:val="0"/>
                <w:color w:val="000000"/>
                <w:kern w:val="0"/>
                <w:sz w:val="22"/>
                <w:szCs w:val="22"/>
                <w:u w:val="none"/>
                <w:lang w:val="en-US" w:eastAsia="zh-CN" w:bidi="ar"/>
              </w:rPr>
              <w:t>大肠埃希氏菌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2" w:type="dxa"/>
            <w:vAlign w:val="center"/>
          </w:tcPr>
          <w:p>
            <w:pPr>
              <w:keepNext w:val="0"/>
              <w:keepLines w:val="0"/>
              <w:widowControl/>
              <w:suppressLineNumbers w:val="0"/>
              <w:jc w:val="left"/>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检测件数</w:t>
            </w:r>
          </w:p>
        </w:tc>
        <w:tc>
          <w:tcPr>
            <w:tcW w:w="885"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747"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944"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945"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945"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945"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945"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945"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1084"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2" w:type="dxa"/>
            <w:vAlign w:val="center"/>
          </w:tcPr>
          <w:p>
            <w:pPr>
              <w:keepNext w:val="0"/>
              <w:keepLines w:val="0"/>
              <w:widowControl/>
              <w:suppressLineNumbers w:val="0"/>
              <w:jc w:val="left"/>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合格件数</w:t>
            </w:r>
          </w:p>
        </w:tc>
        <w:tc>
          <w:tcPr>
            <w:tcW w:w="885"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747"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944"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945"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945"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945"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945"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945"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6</w:t>
            </w:r>
          </w:p>
        </w:tc>
        <w:tc>
          <w:tcPr>
            <w:tcW w:w="1084"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92" w:type="dxa"/>
            <w:vAlign w:val="center"/>
          </w:tcPr>
          <w:p>
            <w:pPr>
              <w:keepNext w:val="0"/>
              <w:keepLines w:val="0"/>
              <w:widowControl/>
              <w:suppressLineNumbers w:val="0"/>
              <w:jc w:val="left"/>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合格率（%)</w:t>
            </w:r>
          </w:p>
        </w:tc>
        <w:tc>
          <w:tcPr>
            <w:tcW w:w="885"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100%</w:t>
            </w:r>
          </w:p>
        </w:tc>
        <w:tc>
          <w:tcPr>
            <w:tcW w:w="747"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100%</w:t>
            </w:r>
          </w:p>
        </w:tc>
        <w:tc>
          <w:tcPr>
            <w:tcW w:w="944"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100%</w:t>
            </w:r>
          </w:p>
        </w:tc>
        <w:tc>
          <w:tcPr>
            <w:tcW w:w="945"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100%</w:t>
            </w:r>
          </w:p>
        </w:tc>
        <w:tc>
          <w:tcPr>
            <w:tcW w:w="945"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100%</w:t>
            </w:r>
          </w:p>
        </w:tc>
        <w:tc>
          <w:tcPr>
            <w:tcW w:w="945"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100%</w:t>
            </w:r>
          </w:p>
        </w:tc>
        <w:tc>
          <w:tcPr>
            <w:tcW w:w="945"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100%</w:t>
            </w:r>
          </w:p>
        </w:tc>
        <w:tc>
          <w:tcPr>
            <w:tcW w:w="945"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100%</w:t>
            </w:r>
          </w:p>
        </w:tc>
        <w:tc>
          <w:tcPr>
            <w:tcW w:w="1084" w:type="dxa"/>
            <w:vAlign w:val="center"/>
          </w:tcPr>
          <w:p>
            <w:pPr>
              <w:keepNext w:val="0"/>
              <w:keepLines w:val="0"/>
              <w:widowControl/>
              <w:suppressLineNumbers w:val="0"/>
              <w:jc w:val="center"/>
              <w:textAlignment w:val="center"/>
              <w:rPr>
                <w:vertAlign w:val="baseline"/>
              </w:rPr>
            </w:pPr>
            <w:r>
              <w:rPr>
                <w:rFonts w:hint="eastAsia" w:asciiTheme="majorEastAsia" w:hAnsiTheme="majorEastAsia" w:eastAsiaTheme="majorEastAsia" w:cstheme="majorEastAsia"/>
                <w:i w:val="0"/>
                <w:color w:val="000000"/>
                <w:kern w:val="0"/>
                <w:sz w:val="24"/>
                <w:szCs w:val="24"/>
                <w:u w:val="none"/>
                <w:lang w:val="en-US" w:eastAsia="zh-CN" w:bidi="ar"/>
              </w:rPr>
              <w:t>100%</w:t>
            </w:r>
          </w:p>
        </w:tc>
      </w:tr>
    </w:tbl>
    <w:p>
      <w:pPr>
        <w:jc w:val="both"/>
        <w:rPr>
          <w:rFonts w:hint="eastAsia" w:ascii="仿宋" w:hAnsi="仿宋" w:eastAsia="仿宋" w:cs="仿宋"/>
          <w:b/>
          <w:color w:val="000000"/>
          <w:sz w:val="28"/>
          <w:szCs w:val="28"/>
        </w:rPr>
      </w:pPr>
    </w:p>
    <w:p>
      <w:pPr>
        <w:numPr>
          <w:ilvl w:val="0"/>
          <w:numId w:val="0"/>
        </w:numPr>
        <w:spacing w:line="240" w:lineRule="auto"/>
        <w:rPr>
          <w:rFonts w:ascii="方正黑体_GBK" w:hAnsi="Times New Roman" w:eastAsia="方正黑体_GBK" w:cs="Times New Roman"/>
          <w:color w:val="000000"/>
          <w:sz w:val="32"/>
          <w:szCs w:val="32"/>
        </w:rPr>
      </w:pPr>
      <w:r>
        <w:rPr>
          <w:rFonts w:hint="eastAsia" w:ascii="方正黑体_GBK" w:hAnsi="Times New Roman" w:eastAsia="方正黑体_GBK" w:cs="Times New Roman"/>
          <w:color w:val="000000"/>
          <w:sz w:val="32"/>
          <w:szCs w:val="32"/>
          <w:lang w:eastAsia="zh-CN"/>
        </w:rPr>
        <w:t>七、</w:t>
      </w:r>
      <w:r>
        <w:rPr>
          <w:rFonts w:hint="eastAsia" w:ascii="方正黑体_GBK" w:hAnsi="Times New Roman" w:eastAsia="方正黑体_GBK" w:cs="Times New Roman"/>
          <w:color w:val="000000"/>
          <w:sz w:val="32"/>
          <w:szCs w:val="32"/>
        </w:rPr>
        <w:t>建议及措施</w:t>
      </w:r>
    </w:p>
    <w:p>
      <w:pPr>
        <w:spacing w:line="24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.区疾控中心继续</w:t>
      </w:r>
      <w:r>
        <w:rPr>
          <w:rFonts w:hint="eastAsia" w:ascii="仿宋_GB2312" w:hAnsi="仿宋" w:eastAsia="仿宋_GB2312" w:cs="仿宋"/>
          <w:sz w:val="32"/>
          <w:szCs w:val="32"/>
        </w:rPr>
        <w:t>落实《国务院关于印发水污染防治行动计划的通知》和《云南省人民政府关于印发水污染防治工作方案的通知》要求，定期监测、检测和评估本行政区域内供水厂出厂水和用户水龙头水质等饮水安全状况</w:t>
      </w:r>
      <w:r>
        <w:rPr>
          <w:rFonts w:hint="eastAsia" w:ascii="仿宋_GB2312" w:hAnsi="仿宋" w:eastAsia="仿宋_GB2312" w:cs="仿宋"/>
          <w:sz w:val="32"/>
          <w:szCs w:val="32"/>
          <w:lang w:eastAsia="zh-CN"/>
        </w:rPr>
        <w:t>。</w:t>
      </w:r>
    </w:p>
    <w:p>
      <w:pPr>
        <w:spacing w:line="24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对不达标的官网水质卫生，依照有关法律法规由执法部门加强监督和管理，对公众提出的疑问咨询进行解答回复。</w:t>
      </w:r>
    </w:p>
    <w:p>
      <w:pPr>
        <w:jc w:val="right"/>
        <w:rPr>
          <w:rFonts w:hint="eastAsia" w:ascii="仿宋" w:hAnsi="仿宋" w:eastAsia="仿宋" w:cs="仿宋"/>
          <w:color w:val="000000"/>
          <w:sz w:val="32"/>
          <w:szCs w:val="32"/>
        </w:rPr>
      </w:pPr>
    </w:p>
    <w:p>
      <w:pPr>
        <w:jc w:val="right"/>
        <w:rPr>
          <w:rFonts w:ascii="仿宋" w:hAnsi="仿宋" w:eastAsia="仿宋" w:cs="仿宋"/>
          <w:color w:val="000000"/>
          <w:sz w:val="32"/>
          <w:szCs w:val="32"/>
        </w:rPr>
      </w:pPr>
      <w:r>
        <w:rPr>
          <w:rFonts w:hint="eastAsia" w:ascii="仿宋" w:hAnsi="仿宋" w:eastAsia="仿宋" w:cs="仿宋"/>
          <w:color w:val="000000"/>
          <w:sz w:val="32"/>
          <w:szCs w:val="32"/>
        </w:rPr>
        <w:t>昆明市晋宁区</w:t>
      </w:r>
      <w:r>
        <w:rPr>
          <w:rFonts w:hint="eastAsia" w:ascii="仿宋" w:hAnsi="仿宋" w:eastAsia="仿宋" w:cs="仿宋"/>
          <w:color w:val="000000"/>
          <w:sz w:val="32"/>
          <w:szCs w:val="32"/>
          <w:lang w:val="en-US" w:eastAsia="zh-CN"/>
        </w:rPr>
        <w:t>卫生健康局</w:t>
      </w:r>
      <w:r>
        <w:rPr>
          <w:rFonts w:hint="eastAsia" w:ascii="仿宋" w:hAnsi="仿宋" w:eastAsia="仿宋" w:cs="仿宋"/>
          <w:color w:val="000000"/>
          <w:sz w:val="32"/>
          <w:szCs w:val="32"/>
        </w:rPr>
        <w:t xml:space="preserve">                                      20</w:t>
      </w:r>
      <w:r>
        <w:rPr>
          <w:rFonts w:hint="eastAsia" w:ascii="仿宋" w:hAnsi="仿宋" w:eastAsia="仿宋" w:cs="仿宋"/>
          <w:color w:val="000000"/>
          <w:sz w:val="32"/>
          <w:szCs w:val="32"/>
          <w:lang w:val="en-US" w:eastAsia="zh-CN"/>
        </w:rPr>
        <w:t>21</w:t>
      </w:r>
      <w:r>
        <w:rPr>
          <w:rFonts w:hint="eastAsia" w:ascii="仿宋" w:hAnsi="仿宋" w:eastAsia="仿宋" w:cs="仿宋"/>
          <w:color w:val="000000"/>
          <w:sz w:val="32"/>
          <w:szCs w:val="32"/>
        </w:rPr>
        <w:t>年</w:t>
      </w: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18</w:t>
      </w:r>
      <w:r>
        <w:rPr>
          <w:rFonts w:hint="eastAsia" w:ascii="仿宋" w:hAnsi="仿宋" w:eastAsia="仿宋" w:cs="仿宋"/>
          <w:color w:val="000000"/>
          <w:sz w:val="32"/>
          <w:szCs w:val="32"/>
        </w:rPr>
        <w:t>日</w:t>
      </w:r>
    </w:p>
    <w:p>
      <w:pPr>
        <w:ind w:right="600"/>
        <w:jc w:val="both"/>
        <w:rPr>
          <w:rFonts w:hint="eastAsia" w:ascii="仿宋_GB2312" w:hAnsi="仿宋" w:eastAsia="仿宋_GB2312" w:cs="仿宋"/>
          <w:color w:val="000000"/>
          <w:sz w:val="32"/>
          <w:szCs w:val="32"/>
        </w:rPr>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0664051F-EAED-4545-9AE6-E22AEE352578}"/>
  </w:font>
  <w:font w:name="方正黑体_GBK">
    <w:altName w:val="微软雅黑"/>
    <w:panose1 w:val="03000509000000000000"/>
    <w:charset w:val="86"/>
    <w:family w:val="script"/>
    <w:pitch w:val="default"/>
    <w:sig w:usb0="00000000" w:usb1="00000000" w:usb2="00000010" w:usb3="00000000" w:csb0="00040000" w:csb1="00000000"/>
    <w:embedRegular r:id="rId2" w:fontKey="{6E79F37E-AE35-447F-95C1-6B6CF0FB03E6}"/>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DAAD6E0D-341F-43D9-88A8-F046123DB55E}"/>
  </w:font>
  <w:font w:name="仿宋_GB2312">
    <w:panose1 w:val="02010609030101010101"/>
    <w:charset w:val="86"/>
    <w:family w:val="modern"/>
    <w:pitch w:val="default"/>
    <w:sig w:usb0="00000001" w:usb1="080E0000" w:usb2="00000000" w:usb3="00000000" w:csb0="00040000" w:csb1="00000000"/>
    <w:embedRegular r:id="rId4" w:fontKey="{DF3493FB-D448-475A-8DBC-DD399164C6A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2981"/>
    <w:multiLevelType w:val="singleLevel"/>
    <w:tmpl w:val="81D1298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211449"/>
    <w:rsid w:val="006E0B6E"/>
    <w:rsid w:val="00994A0C"/>
    <w:rsid w:val="00994D36"/>
    <w:rsid w:val="00B54DFA"/>
    <w:rsid w:val="00C41B8F"/>
    <w:rsid w:val="0216095B"/>
    <w:rsid w:val="02176180"/>
    <w:rsid w:val="0371577A"/>
    <w:rsid w:val="03C7279B"/>
    <w:rsid w:val="07F12056"/>
    <w:rsid w:val="082035AC"/>
    <w:rsid w:val="0A5503EE"/>
    <w:rsid w:val="0A6C3198"/>
    <w:rsid w:val="0CBD0E2D"/>
    <w:rsid w:val="0F164B09"/>
    <w:rsid w:val="10803A3E"/>
    <w:rsid w:val="12763F1C"/>
    <w:rsid w:val="12DE2782"/>
    <w:rsid w:val="14B271AC"/>
    <w:rsid w:val="16B03AC6"/>
    <w:rsid w:val="18CB7EB5"/>
    <w:rsid w:val="1D3D3E61"/>
    <w:rsid w:val="1DE260F7"/>
    <w:rsid w:val="1E054467"/>
    <w:rsid w:val="1E1611DA"/>
    <w:rsid w:val="211D46F3"/>
    <w:rsid w:val="22450737"/>
    <w:rsid w:val="26437944"/>
    <w:rsid w:val="26A4778B"/>
    <w:rsid w:val="28341917"/>
    <w:rsid w:val="296373BC"/>
    <w:rsid w:val="2A151632"/>
    <w:rsid w:val="2B076985"/>
    <w:rsid w:val="2C8B579B"/>
    <w:rsid w:val="314F0FD3"/>
    <w:rsid w:val="31593937"/>
    <w:rsid w:val="32D85087"/>
    <w:rsid w:val="34B00DAF"/>
    <w:rsid w:val="369478FC"/>
    <w:rsid w:val="36FD7BD4"/>
    <w:rsid w:val="37F17315"/>
    <w:rsid w:val="396D344D"/>
    <w:rsid w:val="39AE66F7"/>
    <w:rsid w:val="39CD6B7A"/>
    <w:rsid w:val="3AE16FD1"/>
    <w:rsid w:val="3D2A30D7"/>
    <w:rsid w:val="3DDF3BAE"/>
    <w:rsid w:val="3E695B52"/>
    <w:rsid w:val="40E01DA0"/>
    <w:rsid w:val="429B3047"/>
    <w:rsid w:val="43676B1E"/>
    <w:rsid w:val="44611161"/>
    <w:rsid w:val="46B27552"/>
    <w:rsid w:val="47D874DE"/>
    <w:rsid w:val="4C4927A3"/>
    <w:rsid w:val="50E32A20"/>
    <w:rsid w:val="56212373"/>
    <w:rsid w:val="57800CFB"/>
    <w:rsid w:val="5A471BA8"/>
    <w:rsid w:val="5A7073CA"/>
    <w:rsid w:val="5CCF7AE9"/>
    <w:rsid w:val="5EA869EE"/>
    <w:rsid w:val="60116694"/>
    <w:rsid w:val="60460FCF"/>
    <w:rsid w:val="612E6EE5"/>
    <w:rsid w:val="61940832"/>
    <w:rsid w:val="62097510"/>
    <w:rsid w:val="622D1A24"/>
    <w:rsid w:val="63DB6157"/>
    <w:rsid w:val="688126E8"/>
    <w:rsid w:val="68A06177"/>
    <w:rsid w:val="68DC725B"/>
    <w:rsid w:val="6A9B15D6"/>
    <w:rsid w:val="6AF12BF9"/>
    <w:rsid w:val="6BC456C7"/>
    <w:rsid w:val="6D535020"/>
    <w:rsid w:val="6E5D3493"/>
    <w:rsid w:val="74260164"/>
    <w:rsid w:val="765C7A21"/>
    <w:rsid w:val="76D54A10"/>
    <w:rsid w:val="793D0E3C"/>
    <w:rsid w:val="7B7626D2"/>
    <w:rsid w:val="7C1127BA"/>
    <w:rsid w:val="7C192CBA"/>
    <w:rsid w:val="7EAB12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eastAsia" w:ascii="宋体" w:hAnsi="宋体" w:eastAsia="宋体" w:cs="宋体"/>
      <w:b/>
      <w:color w:val="auto"/>
      <w:sz w:val="36"/>
      <w:szCs w:val="36"/>
      <w:u w:val="none"/>
    </w:rPr>
  </w:style>
  <w:style w:type="character" w:customStyle="1" w:styleId="8">
    <w:name w:val="font71"/>
    <w:basedOn w:val="6"/>
    <w:qFormat/>
    <w:uiPriority w:val="0"/>
    <w:rPr>
      <w:rFonts w:hint="eastAsia" w:ascii="宋体" w:hAnsi="宋体" w:eastAsia="宋体" w:cs="宋体"/>
      <w:color w:val="000000"/>
      <w:sz w:val="21"/>
      <w:szCs w:val="21"/>
      <w:u w:val="none"/>
    </w:rPr>
  </w:style>
  <w:style w:type="character" w:customStyle="1" w:styleId="9">
    <w:name w:val="font51"/>
    <w:basedOn w:val="6"/>
    <w:qFormat/>
    <w:uiPriority w:val="0"/>
    <w:rPr>
      <w:rFonts w:hint="default" w:ascii="方正仿宋_GBK" w:hAnsi="方正仿宋_GBK" w:eastAsia="方正仿宋_GBK" w:cs="方正仿宋_GBK"/>
      <w:color w:val="000000"/>
      <w:sz w:val="21"/>
      <w:szCs w:val="21"/>
      <w:u w:val="none"/>
    </w:rPr>
  </w:style>
  <w:style w:type="character" w:customStyle="1" w:styleId="10">
    <w:name w:val="font81"/>
    <w:basedOn w:val="6"/>
    <w:qFormat/>
    <w:uiPriority w:val="0"/>
    <w:rPr>
      <w:rFonts w:hint="default" w:ascii="方正仿宋_GBK" w:hAnsi="方正仿宋_GBK" w:eastAsia="方正仿宋_GBK" w:cs="方正仿宋_GBK"/>
      <w:color w:val="000000"/>
      <w:sz w:val="21"/>
      <w:szCs w:val="21"/>
      <w:u w:val="none"/>
    </w:rPr>
  </w:style>
  <w:style w:type="character" w:customStyle="1" w:styleId="11">
    <w:name w:val="页眉 Char"/>
    <w:basedOn w:val="6"/>
    <w:link w:val="3"/>
    <w:qFormat/>
    <w:uiPriority w:val="0"/>
    <w:rPr>
      <w:rFonts w:asciiTheme="minorHAnsi" w:hAnsiTheme="minorHAnsi" w:eastAsiaTheme="minorEastAsia" w:cstheme="minorBidi"/>
      <w:kern w:val="2"/>
      <w:sz w:val="18"/>
      <w:szCs w:val="18"/>
    </w:rPr>
  </w:style>
  <w:style w:type="character" w:customStyle="1" w:styleId="12">
    <w:name w:val="页脚 Char"/>
    <w:basedOn w:val="6"/>
    <w:link w:val="2"/>
    <w:qFormat/>
    <w:uiPriority w:val="0"/>
    <w:rPr>
      <w:rFonts w:asciiTheme="minorHAnsi" w:hAnsiTheme="minorHAnsi" w:eastAsiaTheme="minorEastAsia" w:cstheme="minorBidi"/>
      <w:kern w:val="2"/>
      <w:sz w:val="18"/>
      <w:szCs w:val="18"/>
    </w:rPr>
  </w:style>
  <w:style w:type="character" w:customStyle="1" w:styleId="13">
    <w:name w:val="font21"/>
    <w:basedOn w:val="6"/>
    <w:qFormat/>
    <w:uiPriority w:val="0"/>
    <w:rPr>
      <w:rFonts w:hint="eastAsia" w:ascii="宋体" w:hAnsi="宋体" w:eastAsia="宋体" w:cs="宋体"/>
      <w:color w:val="000000"/>
      <w:sz w:val="21"/>
      <w:szCs w:val="21"/>
      <w:u w:val="none"/>
    </w:rPr>
  </w:style>
  <w:style w:type="character" w:customStyle="1" w:styleId="14">
    <w:name w:val="font41"/>
    <w:basedOn w:val="6"/>
    <w:qFormat/>
    <w:uiPriority w:val="0"/>
    <w:rPr>
      <w:rFonts w:hint="default" w:ascii="方正黑体_GBK" w:hAnsi="方正黑体_GBK" w:eastAsia="方正黑体_GBK" w:cs="方正黑体_GBK"/>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144</Words>
  <Characters>826</Characters>
  <Lines>6</Lines>
  <Paragraphs>1</Paragraphs>
  <TotalTime>1</TotalTime>
  <ScaleCrop>false</ScaleCrop>
  <LinksUpToDate>false</LinksUpToDate>
  <CharactersWithSpaces>969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2018-11-13T07:08:00Z</dcterms:created>
  <dc:creator>洤迣鎅晚安</dc:creator>
  <cp:lastModifiedBy>倩倩</cp:lastModifiedBy>
  <cp:lastPrinted>2020-06-28T02:57:00Z</cp:lastPrinted>
  <dcterms:modified xsi:type="dcterms:W3CDTF">2021-10-19T01:10:05Z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CD00E884CC7541DAAA619C077B247383</vt:lpwstr>
  </property>
</Properties>
</file>