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928"/>
        <w:jc w:val="center"/>
        <w:rPr>
          <w:b/>
          <w:sz w:val="96"/>
          <w:szCs w:val="52"/>
        </w:rPr>
      </w:pPr>
      <w:r>
        <w:rPr>
          <w:rFonts w:hint="eastAsia"/>
          <w:b/>
          <w:sz w:val="96"/>
          <w:szCs w:val="52"/>
        </w:rPr>
        <w:t>昆明市晋宁区农村生活污水治理</w:t>
      </w:r>
    </w:p>
    <w:p>
      <w:pPr>
        <w:spacing w:line="360" w:lineRule="auto"/>
        <w:ind w:firstLine="1928"/>
        <w:jc w:val="center"/>
        <w:rPr>
          <w:b/>
          <w:sz w:val="96"/>
          <w:szCs w:val="52"/>
        </w:rPr>
      </w:pPr>
      <w:r>
        <w:rPr>
          <w:rFonts w:hint="eastAsia"/>
          <w:b/>
          <w:sz w:val="96"/>
          <w:szCs w:val="52"/>
        </w:rPr>
        <w:t>专项规划</w:t>
      </w:r>
    </w:p>
    <w:p>
      <w:pPr>
        <w:spacing w:line="360" w:lineRule="auto"/>
        <w:ind w:firstLine="1040"/>
        <w:jc w:val="center"/>
        <w:rPr>
          <w:sz w:val="52"/>
          <w:szCs w:val="52"/>
        </w:rPr>
      </w:pPr>
      <w:r>
        <w:rPr>
          <w:rFonts w:hint="eastAsia"/>
          <w:sz w:val="52"/>
          <w:szCs w:val="52"/>
        </w:rPr>
        <w:t>（送审稿）</w:t>
      </w:r>
    </w:p>
    <w:p>
      <w:pPr>
        <w:ind w:firstLine="800"/>
        <w:jc w:val="center"/>
        <w:rPr>
          <w:sz w:val="40"/>
          <w:szCs w:val="44"/>
        </w:rPr>
      </w:pPr>
    </w:p>
    <w:p>
      <w:pPr>
        <w:ind w:firstLine="800"/>
        <w:jc w:val="center"/>
        <w:rPr>
          <w:sz w:val="40"/>
          <w:szCs w:val="44"/>
        </w:rPr>
      </w:pPr>
      <w:bookmarkStart w:id="134" w:name="_GoBack"/>
      <w:bookmarkEnd w:id="134"/>
    </w:p>
    <w:p>
      <w:pPr>
        <w:ind w:firstLine="800"/>
        <w:jc w:val="center"/>
        <w:rPr>
          <w:sz w:val="40"/>
          <w:szCs w:val="44"/>
        </w:rPr>
      </w:pPr>
    </w:p>
    <w:p>
      <w:pPr>
        <w:ind w:firstLine="800"/>
        <w:jc w:val="center"/>
        <w:rPr>
          <w:sz w:val="40"/>
          <w:szCs w:val="44"/>
        </w:rPr>
      </w:pPr>
    </w:p>
    <w:p>
      <w:pPr>
        <w:ind w:firstLine="800"/>
        <w:jc w:val="center"/>
        <w:rPr>
          <w:sz w:val="40"/>
          <w:szCs w:val="44"/>
        </w:rPr>
      </w:pPr>
    </w:p>
    <w:p>
      <w:pPr>
        <w:ind w:firstLine="800"/>
        <w:jc w:val="center"/>
        <w:rPr>
          <w:sz w:val="40"/>
          <w:szCs w:val="44"/>
        </w:rPr>
      </w:pPr>
    </w:p>
    <w:p>
      <w:pPr>
        <w:ind w:firstLine="800"/>
        <w:jc w:val="center"/>
        <w:rPr>
          <w:sz w:val="40"/>
          <w:szCs w:val="44"/>
        </w:rPr>
      </w:pPr>
    </w:p>
    <w:p>
      <w:pPr>
        <w:ind w:firstLine="800"/>
        <w:jc w:val="center"/>
        <w:rPr>
          <w:sz w:val="40"/>
          <w:szCs w:val="44"/>
        </w:rPr>
      </w:pPr>
    </w:p>
    <w:p>
      <w:pPr>
        <w:ind w:firstLine="800"/>
        <w:jc w:val="center"/>
        <w:rPr>
          <w:sz w:val="40"/>
          <w:szCs w:val="44"/>
        </w:rPr>
      </w:pPr>
    </w:p>
    <w:p>
      <w:pPr>
        <w:ind w:firstLine="720"/>
        <w:jc w:val="center"/>
        <w:rPr>
          <w:sz w:val="36"/>
          <w:szCs w:val="36"/>
        </w:rPr>
      </w:pPr>
      <w:r>
        <w:rPr>
          <w:rFonts w:hint="eastAsia"/>
          <w:sz w:val="36"/>
          <w:szCs w:val="36"/>
        </w:rPr>
        <w:t>昆明市</w:t>
      </w:r>
      <w:r>
        <w:rPr>
          <w:sz w:val="36"/>
          <w:szCs w:val="36"/>
        </w:rPr>
        <w:t>晋宁</w:t>
      </w:r>
      <w:r>
        <w:rPr>
          <w:rFonts w:hint="eastAsia"/>
          <w:sz w:val="36"/>
          <w:szCs w:val="36"/>
        </w:rPr>
        <w:t>区</w:t>
      </w:r>
      <w:r>
        <w:rPr>
          <w:sz w:val="36"/>
          <w:szCs w:val="36"/>
        </w:rPr>
        <w:t>人民政府</w:t>
      </w:r>
    </w:p>
    <w:p>
      <w:pPr>
        <w:ind w:firstLine="600"/>
        <w:jc w:val="center"/>
        <w:rPr>
          <w:sz w:val="30"/>
          <w:szCs w:val="30"/>
        </w:rPr>
      </w:pPr>
      <w:r>
        <w:rPr>
          <w:sz w:val="30"/>
          <w:szCs w:val="30"/>
        </w:rPr>
        <w:t>20</w:t>
      </w:r>
      <w:r>
        <w:rPr>
          <w:rFonts w:hint="eastAsia"/>
          <w:sz w:val="30"/>
          <w:szCs w:val="30"/>
        </w:rPr>
        <w:t>20</w:t>
      </w:r>
      <w:r>
        <w:rPr>
          <w:sz w:val="30"/>
          <w:szCs w:val="30"/>
        </w:rPr>
        <w:t>年</w:t>
      </w:r>
      <w:r>
        <w:rPr>
          <w:rFonts w:hint="eastAsia"/>
          <w:sz w:val="30"/>
          <w:szCs w:val="30"/>
        </w:rPr>
        <w:t>5</w:t>
      </w:r>
      <w:r>
        <w:rPr>
          <w:sz w:val="30"/>
          <w:szCs w:val="30"/>
        </w:rPr>
        <w:t>月</w:t>
      </w:r>
    </w:p>
    <w:p>
      <w:pPr>
        <w:ind w:firstLine="640"/>
        <w:jc w:val="center"/>
        <w:rPr>
          <w:sz w:val="32"/>
          <w:szCs w:val="36"/>
        </w:rPr>
        <w:sectPr>
          <w:headerReference r:id="rId7" w:type="first"/>
          <w:footerReference r:id="rId10" w:type="first"/>
          <w:headerReference r:id="rId5" w:type="default"/>
          <w:footerReference r:id="rId8" w:type="default"/>
          <w:headerReference r:id="rId6" w:type="even"/>
          <w:footerReference r:id="rId9" w:type="even"/>
          <w:pgSz w:w="23814" w:h="16839" w:orient="landscape"/>
          <w:pgMar w:top="1440" w:right="1803" w:bottom="1440" w:left="1803" w:header="720" w:footer="720" w:gutter="0"/>
          <w:cols w:space="720" w:num="1"/>
          <w:docGrid w:linePitch="326" w:charSpace="0"/>
        </w:sectPr>
      </w:pPr>
    </w:p>
    <w:p>
      <w:pPr>
        <w:ind w:firstLine="640"/>
        <w:jc w:val="center"/>
        <w:rPr>
          <w:sz w:val="32"/>
          <w:szCs w:val="36"/>
        </w:rPr>
      </w:pPr>
    </w:p>
    <w:p>
      <w:pPr>
        <w:ind w:firstLine="640"/>
        <w:rPr>
          <w:sz w:val="32"/>
          <w:szCs w:val="36"/>
        </w:rPr>
      </w:pPr>
      <w:r>
        <w:rPr>
          <w:sz w:val="32"/>
          <w:szCs w:val="36"/>
        </w:rPr>
        <w:br w:type="page"/>
      </w:r>
      <w:r>
        <w:rPr>
          <w:sz w:val="32"/>
          <w:szCs w:val="36"/>
        </w:rPr>
        <w:br w:type="page"/>
      </w:r>
    </w:p>
    <w:p>
      <w:pPr>
        <w:pStyle w:val="63"/>
        <w:ind w:left="2570" w:hanging="2570" w:hangingChars="800"/>
        <w:rPr>
          <w:sz w:val="32"/>
          <w:szCs w:val="32"/>
        </w:rPr>
      </w:pPr>
      <w:r>
        <w:rPr>
          <w:rFonts w:hint="eastAsia"/>
          <w:b/>
          <w:kern w:val="0"/>
          <w:sz w:val="32"/>
          <w:szCs w:val="32"/>
        </w:rPr>
        <w:t>项目名称</w:t>
      </w:r>
      <w:r>
        <w:rPr>
          <w:rFonts w:hint="eastAsia"/>
          <w:sz w:val="32"/>
          <w:szCs w:val="32"/>
        </w:rPr>
        <w:t>：昆明市晋宁区农村生活污水治理专项规划</w:t>
      </w:r>
    </w:p>
    <w:p>
      <w:pPr>
        <w:spacing w:before="100" w:beforeAutospacing="1" w:after="100" w:afterAutospacing="1"/>
        <w:ind w:left="1446" w:hanging="1446" w:hangingChars="450"/>
        <w:rPr>
          <w:sz w:val="32"/>
          <w:szCs w:val="32"/>
        </w:rPr>
      </w:pPr>
      <w:r>
        <w:rPr>
          <w:rFonts w:hint="eastAsia"/>
          <w:b/>
          <w:kern w:val="0"/>
          <w:sz w:val="32"/>
          <w:szCs w:val="32"/>
        </w:rPr>
        <w:t>编制单位：</w:t>
      </w:r>
      <w:r>
        <w:rPr>
          <w:rFonts w:hint="eastAsia"/>
          <w:sz w:val="32"/>
          <w:szCs w:val="32"/>
        </w:rPr>
        <w:t>清华苏州环境创新研究院</w:t>
      </w:r>
    </w:p>
    <w:p>
      <w:pPr>
        <w:spacing w:before="100" w:beforeAutospacing="1" w:after="100" w:afterAutospacing="1"/>
        <w:ind w:left="1446" w:hanging="1446" w:hangingChars="450"/>
        <w:rPr>
          <w:kern w:val="0"/>
          <w:sz w:val="32"/>
          <w:szCs w:val="32"/>
        </w:rPr>
      </w:pPr>
      <w:r>
        <w:rPr>
          <w:rFonts w:hint="eastAsia"/>
          <w:b/>
          <w:kern w:val="0"/>
          <w:sz w:val="32"/>
          <w:szCs w:val="32"/>
        </w:rPr>
        <w:t>院长：</w:t>
      </w:r>
      <w:r>
        <w:rPr>
          <w:rFonts w:hint="eastAsia"/>
          <w:kern w:val="0"/>
          <w:sz w:val="32"/>
          <w:szCs w:val="32"/>
        </w:rPr>
        <w:t>刘毅（正教授）</w:t>
      </w:r>
    </w:p>
    <w:p>
      <w:pPr>
        <w:spacing w:before="100" w:beforeAutospacing="1" w:after="100" w:afterAutospacing="1"/>
        <w:ind w:left="1446" w:hanging="1446" w:hangingChars="450"/>
        <w:rPr>
          <w:kern w:val="0"/>
          <w:sz w:val="32"/>
          <w:szCs w:val="32"/>
        </w:rPr>
      </w:pPr>
      <w:r>
        <w:rPr>
          <w:rFonts w:hint="eastAsia"/>
          <w:b/>
          <w:kern w:val="0"/>
          <w:sz w:val="32"/>
          <w:szCs w:val="32"/>
        </w:rPr>
        <w:t>部门负责人：</w:t>
      </w:r>
      <w:r>
        <w:rPr>
          <w:rFonts w:hint="eastAsia"/>
          <w:kern w:val="0"/>
          <w:sz w:val="32"/>
          <w:szCs w:val="32"/>
        </w:rPr>
        <w:t>杨宏伟（副研究员）</w:t>
      </w:r>
    </w:p>
    <w:p>
      <w:pPr>
        <w:spacing w:before="100" w:beforeAutospacing="1" w:after="100" w:afterAutospacing="1"/>
        <w:ind w:left="1446" w:hanging="1446" w:hangingChars="450"/>
        <w:rPr>
          <w:kern w:val="0"/>
          <w:sz w:val="32"/>
          <w:szCs w:val="32"/>
        </w:rPr>
      </w:pPr>
      <w:r>
        <w:rPr>
          <w:rFonts w:hint="eastAsia"/>
          <w:b/>
          <w:kern w:val="0"/>
          <w:sz w:val="32"/>
          <w:szCs w:val="32"/>
        </w:rPr>
        <w:t>项目负责：</w:t>
      </w:r>
      <w:r>
        <w:rPr>
          <w:rFonts w:hint="eastAsia"/>
          <w:kern w:val="0"/>
          <w:sz w:val="32"/>
          <w:szCs w:val="32"/>
        </w:rPr>
        <w:t>王晋虎</w:t>
      </w:r>
      <w:r>
        <w:rPr>
          <w:kern w:val="0"/>
          <w:sz w:val="32"/>
          <w:szCs w:val="32"/>
        </w:rPr>
        <w:t>（工程师）</w:t>
      </w:r>
    </w:p>
    <w:p>
      <w:pPr>
        <w:spacing w:before="100" w:beforeAutospacing="1" w:after="100" w:afterAutospacing="1"/>
        <w:ind w:left="1446" w:hanging="1446" w:hangingChars="450"/>
        <w:rPr>
          <w:kern w:val="0"/>
          <w:sz w:val="32"/>
          <w:szCs w:val="32"/>
        </w:rPr>
      </w:pPr>
      <w:r>
        <w:rPr>
          <w:b/>
          <w:kern w:val="0"/>
          <w:sz w:val="32"/>
          <w:szCs w:val="32"/>
        </w:rPr>
        <w:t>主要参加人员：</w:t>
      </w:r>
      <w:r>
        <w:rPr>
          <w:rFonts w:hint="eastAsia"/>
          <w:kern w:val="0"/>
          <w:sz w:val="32"/>
          <w:szCs w:val="32"/>
        </w:rPr>
        <w:t>古向前</w:t>
      </w:r>
      <w:r>
        <w:rPr>
          <w:kern w:val="0"/>
          <w:sz w:val="32"/>
          <w:szCs w:val="32"/>
        </w:rPr>
        <w:t>（工程师）</w:t>
      </w:r>
    </w:p>
    <w:p>
      <w:pPr>
        <w:spacing w:before="100" w:beforeAutospacing="1" w:after="100" w:afterAutospacing="1"/>
        <w:ind w:left="1448" w:leftChars="517" w:firstLine="816" w:firstLineChars="255"/>
        <w:rPr>
          <w:kern w:val="0"/>
          <w:sz w:val="32"/>
          <w:szCs w:val="32"/>
        </w:rPr>
      </w:pPr>
      <w:r>
        <w:rPr>
          <w:rFonts w:hint="eastAsia"/>
          <w:kern w:val="0"/>
          <w:sz w:val="32"/>
          <w:szCs w:val="32"/>
        </w:rPr>
        <w:t>周曼</w:t>
      </w:r>
      <w:r>
        <w:rPr>
          <w:kern w:val="0"/>
          <w:sz w:val="32"/>
          <w:szCs w:val="32"/>
        </w:rPr>
        <w:t>（</w:t>
      </w:r>
      <w:r>
        <w:rPr>
          <w:rFonts w:hint="eastAsia"/>
          <w:kern w:val="0"/>
          <w:sz w:val="32"/>
          <w:szCs w:val="32"/>
        </w:rPr>
        <w:t>工程师</w:t>
      </w:r>
      <w:r>
        <w:rPr>
          <w:kern w:val="0"/>
          <w:sz w:val="32"/>
          <w:szCs w:val="32"/>
        </w:rPr>
        <w:t>）</w:t>
      </w:r>
    </w:p>
    <w:p>
      <w:pPr>
        <w:spacing w:before="100" w:beforeAutospacing="1" w:after="100" w:afterAutospacing="1"/>
        <w:ind w:left="1440" w:hanging="1440" w:hangingChars="450"/>
        <w:rPr>
          <w:kern w:val="0"/>
          <w:sz w:val="32"/>
          <w:szCs w:val="32"/>
        </w:rPr>
      </w:pPr>
      <w:r>
        <w:rPr>
          <w:rFonts w:hint="eastAsia"/>
          <w:kern w:val="0"/>
          <w:sz w:val="32"/>
          <w:szCs w:val="32"/>
        </w:rPr>
        <w:t>盖园春</w:t>
      </w:r>
      <w:r>
        <w:rPr>
          <w:kern w:val="0"/>
          <w:sz w:val="32"/>
          <w:szCs w:val="32"/>
        </w:rPr>
        <w:t>（助理工程师/硕士）</w:t>
      </w:r>
    </w:p>
    <w:p>
      <w:pPr>
        <w:spacing w:before="100" w:beforeAutospacing="1" w:after="100" w:afterAutospacing="1"/>
        <w:ind w:left="1440" w:hanging="1440" w:hangingChars="450"/>
        <w:rPr>
          <w:kern w:val="0"/>
          <w:sz w:val="32"/>
          <w:szCs w:val="32"/>
        </w:rPr>
      </w:pPr>
      <w:r>
        <w:rPr>
          <w:rFonts w:hint="eastAsia"/>
          <w:kern w:val="0"/>
          <w:sz w:val="32"/>
          <w:szCs w:val="32"/>
        </w:rPr>
        <w:t>陈杭洲</w:t>
      </w:r>
      <w:r>
        <w:rPr>
          <w:kern w:val="0"/>
          <w:sz w:val="32"/>
          <w:szCs w:val="32"/>
        </w:rPr>
        <w:t>（助理工程师/硕士）</w:t>
      </w:r>
    </w:p>
    <w:p>
      <w:pPr>
        <w:spacing w:before="100" w:beforeAutospacing="1" w:after="100" w:afterAutospacing="1"/>
        <w:ind w:left="1440" w:hanging="1440" w:hangingChars="450"/>
        <w:rPr>
          <w:kern w:val="0"/>
          <w:sz w:val="32"/>
          <w:szCs w:val="32"/>
        </w:rPr>
      </w:pPr>
      <w:r>
        <w:rPr>
          <w:rFonts w:hint="eastAsia"/>
          <w:kern w:val="0"/>
          <w:sz w:val="32"/>
          <w:szCs w:val="32"/>
        </w:rPr>
        <w:t>俞悦</w:t>
      </w:r>
      <w:r>
        <w:rPr>
          <w:kern w:val="0"/>
          <w:sz w:val="32"/>
          <w:szCs w:val="32"/>
        </w:rPr>
        <w:t>（助理工程师/硕士）</w:t>
      </w:r>
    </w:p>
    <w:p>
      <w:pPr>
        <w:spacing w:before="100" w:beforeAutospacing="1" w:after="100" w:afterAutospacing="1"/>
        <w:ind w:left="1440" w:hanging="1440" w:hangingChars="450"/>
        <w:rPr>
          <w:kern w:val="0"/>
          <w:sz w:val="32"/>
          <w:szCs w:val="32"/>
        </w:rPr>
      </w:pPr>
      <w:r>
        <w:rPr>
          <w:rFonts w:hint="eastAsia"/>
          <w:kern w:val="0"/>
          <w:sz w:val="32"/>
          <w:szCs w:val="32"/>
        </w:rPr>
        <w:t>李春侠</w:t>
      </w:r>
      <w:r>
        <w:rPr>
          <w:kern w:val="0"/>
          <w:sz w:val="32"/>
          <w:szCs w:val="32"/>
        </w:rPr>
        <w:t>（助理工程师/硕士）</w:t>
      </w:r>
    </w:p>
    <w:p>
      <w:pPr>
        <w:ind w:firstLine="560"/>
        <w:rPr>
          <w:szCs w:val="32"/>
        </w:rPr>
      </w:pPr>
    </w:p>
    <w:p>
      <w:pPr>
        <w:ind w:firstLine="562"/>
        <w:rPr>
          <w:b/>
          <w:szCs w:val="32"/>
        </w:rPr>
      </w:pPr>
    </w:p>
    <w:p>
      <w:pPr>
        <w:pStyle w:val="79"/>
        <w:ind w:firstLine="480"/>
        <w:jc w:val="center"/>
        <w:rPr>
          <w:color w:val="auto"/>
          <w:sz w:val="28"/>
        </w:rPr>
      </w:pPr>
      <w:r>
        <w:rPr>
          <w:color w:val="auto"/>
          <w:sz w:val="28"/>
        </w:rPr>
        <w:br w:type="page"/>
      </w:r>
    </w:p>
    <w:sdt>
      <w:sdtPr>
        <w:rPr>
          <w:rFonts w:ascii="Times New Roman" w:hAnsi="Times New Roman" w:eastAsia="宋体" w:cs="Times New Roman"/>
          <w:color w:val="auto"/>
          <w:kern w:val="2"/>
          <w:sz w:val="24"/>
          <w:szCs w:val="22"/>
          <w:lang w:val="zh-CN"/>
        </w:rPr>
        <w:id w:val="-984089527"/>
        <w:docPartObj>
          <w:docPartGallery w:val="Table of Contents"/>
          <w:docPartUnique/>
        </w:docPartObj>
      </w:sdtPr>
      <w:sdtEndPr>
        <w:rPr>
          <w:rFonts w:ascii="Times New Roman" w:hAnsi="Times New Roman" w:eastAsia="宋体" w:cs="Times New Roman"/>
          <w:b/>
          <w:bCs/>
          <w:color w:val="auto"/>
          <w:kern w:val="2"/>
          <w:sz w:val="28"/>
          <w:szCs w:val="22"/>
          <w:lang w:val="zh-CN"/>
        </w:rPr>
      </w:sdtEndPr>
      <w:sdtContent>
        <w:p>
          <w:pPr>
            <w:pStyle w:val="79"/>
            <w:ind w:firstLine="480"/>
            <w:jc w:val="center"/>
            <w:rPr>
              <w:b/>
              <w:color w:val="auto"/>
            </w:rPr>
          </w:pPr>
          <w:r>
            <w:rPr>
              <w:rFonts w:hint="eastAsia"/>
              <w:b/>
              <w:color w:val="auto"/>
              <w:lang w:val="zh-CN"/>
            </w:rPr>
            <w:t>目录</w:t>
          </w:r>
        </w:p>
        <w:p>
          <w:pPr>
            <w:pStyle w:val="17"/>
            <w:tabs>
              <w:tab w:val="right" w:leader="dot" w:pos="9734"/>
            </w:tabs>
            <w:ind w:firstLine="560"/>
            <w:rPr>
              <w:rFonts w:asciiTheme="minorHAnsi" w:hAnsiTheme="minorHAnsi" w:eastAsiaTheme="minorEastAsia" w:cstheme="minorBidi"/>
              <w:sz w:val="21"/>
            </w:rPr>
          </w:pPr>
          <w:r>
            <w:fldChar w:fldCharType="begin"/>
          </w:r>
          <w:r>
            <w:instrText xml:space="preserve"> TOC \o "1-3" \h \z \u </w:instrText>
          </w:r>
          <w:r>
            <w:fldChar w:fldCharType="separate"/>
          </w:r>
          <w:r>
            <w:fldChar w:fldCharType="begin"/>
          </w:r>
          <w:r>
            <w:instrText xml:space="preserve"> HYPERLINK \l "_Toc43042484" </w:instrText>
          </w:r>
          <w:r>
            <w:fldChar w:fldCharType="separate"/>
          </w:r>
          <w:r>
            <w:rPr>
              <w:rStyle w:val="32"/>
            </w:rPr>
            <w:t>第一章《规划》背景</w:t>
          </w:r>
          <w:r>
            <w:tab/>
          </w:r>
          <w:r>
            <w:fldChar w:fldCharType="begin"/>
          </w:r>
          <w:r>
            <w:instrText xml:space="preserve"> PAGEREF _Toc43042484 \h </w:instrText>
          </w:r>
          <w:r>
            <w:fldChar w:fldCharType="separate"/>
          </w:r>
          <w:r>
            <w:t>6</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"_Toc43042485" </w:instrText>
          </w:r>
          <w:r>
            <w:fldChar w:fldCharType="separate"/>
          </w:r>
          <w:r>
            <w:rPr>
              <w:rStyle w:val="32"/>
            </w:rPr>
            <w:t>1.1 《规划》背景</w:t>
          </w:r>
          <w:r>
            <w:tab/>
          </w:r>
          <w:r>
            <w:fldChar w:fldCharType="begin"/>
          </w:r>
          <w:r>
            <w:instrText xml:space="preserve"> PAGEREF _Toc43042485 \h </w:instrText>
          </w:r>
          <w:r>
            <w:fldChar w:fldCharType="separate"/>
          </w:r>
          <w:r>
            <w:t>6</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"_Toc43042486" </w:instrText>
          </w:r>
          <w:r>
            <w:fldChar w:fldCharType="separate"/>
          </w:r>
          <w:r>
            <w:rPr>
              <w:rStyle w:val="32"/>
            </w:rPr>
            <w:t>1.1.1全国层面——改善农村人居环境，实施乡村振兴战略</w:t>
          </w:r>
          <w:r>
            <w:tab/>
          </w:r>
          <w:r>
            <w:fldChar w:fldCharType="begin"/>
          </w:r>
          <w:r>
            <w:instrText xml:space="preserve"> PAGEREF _Toc43042486 \h </w:instrText>
          </w:r>
          <w:r>
            <w:fldChar w:fldCharType="separate"/>
          </w:r>
          <w:r>
            <w:t>6</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"_Toc43042487" </w:instrText>
          </w:r>
          <w:r>
            <w:fldChar w:fldCharType="separate"/>
          </w:r>
          <w:r>
            <w:rPr>
              <w:rStyle w:val="32"/>
            </w:rPr>
            <w:t>1.1.2省域层面——加强统筹规划，推进农村生活污水治理</w:t>
          </w:r>
          <w:r>
            <w:tab/>
          </w:r>
          <w:r>
            <w:fldChar w:fldCharType="begin"/>
          </w:r>
          <w:r>
            <w:instrText xml:space="preserve"> PAGEREF _Toc43042487 \h </w:instrText>
          </w:r>
          <w:r>
            <w:fldChar w:fldCharType="separate"/>
          </w:r>
          <w:r>
            <w:t>6</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"_Toc43042488" </w:instrText>
          </w:r>
          <w:r>
            <w:fldChar w:fldCharType="separate"/>
          </w:r>
          <w:r>
            <w:rPr>
              <w:rStyle w:val="32"/>
            </w:rPr>
            <w:t>1.1.3县域层面——加强水环境保护，建设生态晋宁</w:t>
          </w:r>
          <w:r>
            <w:tab/>
          </w:r>
          <w:r>
            <w:fldChar w:fldCharType="begin"/>
          </w:r>
          <w:r>
            <w:instrText xml:space="preserve"> PAGEREF _Toc43042488 \h </w:instrText>
          </w:r>
          <w:r>
            <w:fldChar w:fldCharType="separate"/>
          </w:r>
          <w:r>
            <w:t>7</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"_Toc43042489" </w:instrText>
          </w:r>
          <w:r>
            <w:fldChar w:fldCharType="separate"/>
          </w:r>
          <w:r>
            <w:rPr>
              <w:rStyle w:val="32"/>
            </w:rPr>
            <w:t>1.2 《规划》范围</w:t>
          </w:r>
          <w:r>
            <w:tab/>
          </w:r>
          <w:r>
            <w:fldChar w:fldCharType="begin"/>
          </w:r>
          <w:r>
            <w:instrText xml:space="preserve"> PAGEREF _Toc43042489 \h </w:instrText>
          </w:r>
          <w:r>
            <w:fldChar w:fldCharType="separate"/>
          </w:r>
          <w:r>
            <w:t>7</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"_Toc43042490" </w:instrText>
          </w:r>
          <w:r>
            <w:fldChar w:fldCharType="separate"/>
          </w:r>
          <w:r>
            <w:rPr>
              <w:rStyle w:val="32"/>
            </w:rPr>
            <w:t>1.3区域概况</w:t>
          </w:r>
          <w:r>
            <w:tab/>
          </w:r>
          <w:r>
            <w:fldChar w:fldCharType="begin"/>
          </w:r>
          <w:r>
            <w:instrText xml:space="preserve"> PAGEREF _Toc43042490 \h </w:instrText>
          </w:r>
          <w:r>
            <w:fldChar w:fldCharType="separate"/>
          </w:r>
          <w:r>
            <w:t>7</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"_Toc43042491" </w:instrText>
          </w:r>
          <w:r>
            <w:fldChar w:fldCharType="separate"/>
          </w:r>
          <w:r>
            <w:rPr>
              <w:rStyle w:val="32"/>
            </w:rPr>
            <w:t>1.3.1 自然概况</w:t>
          </w:r>
          <w:r>
            <w:tab/>
          </w:r>
          <w:r>
            <w:fldChar w:fldCharType="begin"/>
          </w:r>
          <w:r>
            <w:instrText xml:space="preserve"> PAGEREF _Toc43042491 \h </w:instrText>
          </w:r>
          <w:r>
            <w:fldChar w:fldCharType="separate"/>
          </w:r>
          <w:r>
            <w:t>7</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"_Toc43042492" </w:instrText>
          </w:r>
          <w:r>
            <w:fldChar w:fldCharType="separate"/>
          </w:r>
          <w:r>
            <w:rPr>
              <w:rStyle w:val="32"/>
            </w:rPr>
            <w:t>1.3.2 社会经济状况</w:t>
          </w:r>
          <w:r>
            <w:tab/>
          </w:r>
          <w:r>
            <w:fldChar w:fldCharType="begin"/>
          </w:r>
          <w:r>
            <w:instrText xml:space="preserve"> PAGEREF _Toc43042492 \h </w:instrText>
          </w:r>
          <w:r>
            <w:fldChar w:fldCharType="separate"/>
          </w:r>
          <w:r>
            <w:t>9</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"_Toc43042493" </w:instrText>
          </w:r>
          <w:r>
            <w:fldChar w:fldCharType="separate"/>
          </w:r>
          <w:r>
            <w:rPr>
              <w:rStyle w:val="32"/>
            </w:rPr>
            <w:t>1.3.3 生态环境保护状况</w:t>
          </w:r>
          <w:r>
            <w:tab/>
          </w:r>
          <w:r>
            <w:fldChar w:fldCharType="begin"/>
          </w:r>
          <w:r>
            <w:instrText xml:space="preserve"> PAGEREF _Toc43042493 \h </w:instrText>
          </w:r>
          <w:r>
            <w:fldChar w:fldCharType="separate"/>
          </w:r>
          <w:r>
            <w:t>10</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"_Toc43042494" </w:instrText>
          </w:r>
          <w:r>
            <w:fldChar w:fldCharType="separate"/>
          </w:r>
          <w:r>
            <w:rPr>
              <w:rStyle w:val="32"/>
            </w:rPr>
            <w:t>1.4《规划》指导思想</w:t>
          </w:r>
          <w:r>
            <w:tab/>
          </w:r>
          <w:r>
            <w:fldChar w:fldCharType="begin"/>
          </w:r>
          <w:r>
            <w:instrText xml:space="preserve"> PAGEREF _Toc43042494 \h </w:instrText>
          </w:r>
          <w:r>
            <w:fldChar w:fldCharType="separate"/>
          </w:r>
          <w:r>
            <w:t>11</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"_Toc43042495" </w:instrText>
          </w:r>
          <w:r>
            <w:fldChar w:fldCharType="separate"/>
          </w:r>
          <w:r>
            <w:rPr>
              <w:rStyle w:val="32"/>
            </w:rPr>
            <w:t>1.4.1 分区指导思想</w:t>
          </w:r>
          <w:r>
            <w:tab/>
          </w:r>
          <w:r>
            <w:fldChar w:fldCharType="begin"/>
          </w:r>
          <w:r>
            <w:instrText xml:space="preserve"> PAGEREF _Toc43042495 \h </w:instrText>
          </w:r>
          <w:r>
            <w:fldChar w:fldCharType="separate"/>
          </w:r>
          <w:r>
            <w:t>11</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"_Toc43042496" </w:instrText>
          </w:r>
          <w:r>
            <w:fldChar w:fldCharType="separate"/>
          </w:r>
          <w:r>
            <w:rPr>
              <w:rStyle w:val="32"/>
            </w:rPr>
            <w:t>1.4.2 分期指导思想</w:t>
          </w:r>
          <w:r>
            <w:tab/>
          </w:r>
          <w:r>
            <w:fldChar w:fldCharType="begin"/>
          </w:r>
          <w:r>
            <w:instrText xml:space="preserve"> PAGEREF _Toc43042496 \h </w:instrText>
          </w:r>
          <w:r>
            <w:fldChar w:fldCharType="separate"/>
          </w:r>
          <w:r>
            <w:t>12</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"_Toc43042497" </w:instrText>
          </w:r>
          <w:r>
            <w:fldChar w:fldCharType="separate"/>
          </w:r>
          <w:r>
            <w:rPr>
              <w:rStyle w:val="32"/>
            </w:rPr>
            <w:t>1.4.3 分步指导思想</w:t>
          </w:r>
          <w:r>
            <w:tab/>
          </w:r>
          <w:r>
            <w:fldChar w:fldCharType="begin"/>
          </w:r>
          <w:r>
            <w:instrText xml:space="preserve"> PAGEREF _Toc43042497 \h </w:instrText>
          </w:r>
          <w:r>
            <w:fldChar w:fldCharType="separate"/>
          </w:r>
          <w:r>
            <w:t>12</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"_Toc43042498" </w:instrText>
          </w:r>
          <w:r>
            <w:fldChar w:fldCharType="separate"/>
          </w:r>
          <w:r>
            <w:rPr>
              <w:rStyle w:val="32"/>
            </w:rPr>
            <w:t>1.5《规划》基本原则</w:t>
          </w:r>
          <w:r>
            <w:tab/>
          </w:r>
          <w:r>
            <w:fldChar w:fldCharType="begin"/>
          </w:r>
          <w:r>
            <w:instrText xml:space="preserve"> PAGEREF _Toc43042498 \h </w:instrText>
          </w:r>
          <w:r>
            <w:fldChar w:fldCharType="separate"/>
          </w:r>
          <w:r>
            <w:t>12</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"_Toc43042499" </w:instrText>
          </w:r>
          <w:r>
            <w:fldChar w:fldCharType="separate"/>
          </w:r>
          <w:r>
            <w:rPr>
              <w:rStyle w:val="32"/>
            </w:rPr>
            <w:t>1.6《规划》编制依据</w:t>
          </w:r>
          <w:r>
            <w:tab/>
          </w:r>
          <w:r>
            <w:fldChar w:fldCharType="begin"/>
          </w:r>
          <w:r>
            <w:instrText xml:space="preserve"> PAGEREF _Toc43042499 \h </w:instrText>
          </w:r>
          <w:r>
            <w:fldChar w:fldCharType="separate"/>
          </w:r>
          <w:r>
            <w:t>13</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"_Toc43042500" </w:instrText>
          </w:r>
          <w:r>
            <w:fldChar w:fldCharType="separate"/>
          </w:r>
          <w:r>
            <w:rPr>
              <w:rStyle w:val="32"/>
            </w:rPr>
            <w:t>1.6.1 法律法规</w:t>
          </w:r>
          <w:r>
            <w:tab/>
          </w:r>
          <w:r>
            <w:fldChar w:fldCharType="begin"/>
          </w:r>
          <w:r>
            <w:instrText xml:space="preserve"> PAGEREF _Toc43042500 \h </w:instrText>
          </w:r>
          <w:r>
            <w:fldChar w:fldCharType="separate"/>
          </w:r>
          <w:r>
            <w:t>13</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"_Toc43042501" </w:instrText>
          </w:r>
          <w:r>
            <w:fldChar w:fldCharType="separate"/>
          </w:r>
          <w:r>
            <w:rPr>
              <w:rStyle w:val="32"/>
            </w:rPr>
            <w:t>1.6.2 标准规范</w:t>
          </w:r>
          <w:r>
            <w:tab/>
          </w:r>
          <w:r>
            <w:fldChar w:fldCharType="begin"/>
          </w:r>
          <w:r>
            <w:instrText xml:space="preserve"> PAGEREF _Toc43042501 \h </w:instrText>
          </w:r>
          <w:r>
            <w:fldChar w:fldCharType="separate"/>
          </w:r>
          <w:r>
            <w:t>13</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"_Toc43042502" </w:instrText>
          </w:r>
          <w:r>
            <w:fldChar w:fldCharType="separate"/>
          </w:r>
          <w:r>
            <w:rPr>
              <w:rStyle w:val="32"/>
            </w:rPr>
            <w:t>1.6.3 相关规划等其他政策文件</w:t>
          </w:r>
          <w:r>
            <w:tab/>
          </w:r>
          <w:r>
            <w:fldChar w:fldCharType="begin"/>
          </w:r>
          <w:r>
            <w:instrText xml:space="preserve"> PAGEREF _Toc43042502 \h </w:instrText>
          </w:r>
          <w:r>
            <w:fldChar w:fldCharType="separate"/>
          </w:r>
          <w:r>
            <w:t>14</w:t>
          </w:r>
          <w:r>
            <w:fldChar w:fldCharType="end"/>
          </w:r>
          <w:r>
            <w:fldChar w:fldCharType="end"/>
          </w:r>
        </w:p>
        <w:p>
          <w:pPr>
            <w:pStyle w:val="17"/>
            <w:tabs>
              <w:tab w:val="right" w:leader="dot" w:pos="9734"/>
            </w:tabs>
            <w:ind w:firstLine="560"/>
            <w:rPr>
              <w:rFonts w:asciiTheme="minorHAnsi" w:hAnsiTheme="minorHAnsi" w:eastAsiaTheme="minorEastAsia" w:cstheme="minorBidi"/>
              <w:sz w:val="21"/>
            </w:rPr>
          </w:pPr>
          <w:r>
            <w:fldChar w:fldCharType="begin"/>
          </w:r>
          <w:r>
            <w:instrText xml:space="preserve"> HYPERLINK \l "_Toc43042503" </w:instrText>
          </w:r>
          <w:r>
            <w:fldChar w:fldCharType="separate"/>
          </w:r>
          <w:r>
            <w:rPr>
              <w:rStyle w:val="32"/>
            </w:rPr>
            <w:t>第二章《规划》期限和目标</w:t>
          </w:r>
          <w:r>
            <w:tab/>
          </w:r>
          <w:r>
            <w:fldChar w:fldCharType="begin"/>
          </w:r>
          <w:r>
            <w:instrText xml:space="preserve"> PAGEREF _Toc43042503 \h </w:instrText>
          </w:r>
          <w:r>
            <w:fldChar w:fldCharType="separate"/>
          </w:r>
          <w:r>
            <w:t>15</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"_Toc43042504" </w:instrText>
          </w:r>
          <w:r>
            <w:fldChar w:fldCharType="separate"/>
          </w:r>
          <w:r>
            <w:rPr>
              <w:rStyle w:val="32"/>
            </w:rPr>
            <w:t>2.1《规划》期限</w:t>
          </w:r>
          <w:r>
            <w:tab/>
          </w:r>
          <w:r>
            <w:fldChar w:fldCharType="begin"/>
          </w:r>
          <w:r>
            <w:instrText xml:space="preserve"> PAGEREF _Toc43042504 \h </w:instrText>
          </w:r>
          <w:r>
            <w:fldChar w:fldCharType="separate"/>
          </w:r>
          <w:r>
            <w:t>15</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"_Toc43042505" </w:instrText>
          </w:r>
          <w:r>
            <w:fldChar w:fldCharType="separate"/>
          </w:r>
          <w:r>
            <w:rPr>
              <w:rStyle w:val="32"/>
            </w:rPr>
            <w:t>2.2《规划》目标</w:t>
          </w:r>
          <w:r>
            <w:tab/>
          </w:r>
          <w:r>
            <w:fldChar w:fldCharType="begin"/>
          </w:r>
          <w:r>
            <w:instrText xml:space="preserve"> PAGEREF _Toc43042505 \h </w:instrText>
          </w:r>
          <w:r>
            <w:fldChar w:fldCharType="separate"/>
          </w:r>
          <w:r>
            <w:t>15</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"_Toc43042506" </w:instrText>
          </w:r>
          <w:r>
            <w:fldChar w:fldCharType="separate"/>
          </w:r>
          <w:r>
            <w:rPr>
              <w:rStyle w:val="32"/>
            </w:rPr>
            <w:t>2.2.1近期目标</w:t>
          </w:r>
          <w:r>
            <w:tab/>
          </w:r>
          <w:r>
            <w:fldChar w:fldCharType="begin"/>
          </w:r>
          <w:r>
            <w:instrText xml:space="preserve"> PAGEREF _Toc43042506 \h </w:instrText>
          </w:r>
          <w:r>
            <w:fldChar w:fldCharType="separate"/>
          </w:r>
          <w:r>
            <w:t>15</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"_Toc43042507" </w:instrText>
          </w:r>
          <w:r>
            <w:fldChar w:fldCharType="separate"/>
          </w:r>
          <w:r>
            <w:rPr>
              <w:rStyle w:val="32"/>
              <w:rFonts w:eastAsia="方正楷体_GBK"/>
              <w:kern w:val="0"/>
            </w:rPr>
            <w:t>2.2.2中期目标</w:t>
          </w:r>
          <w:r>
            <w:tab/>
          </w:r>
          <w:r>
            <w:fldChar w:fldCharType="begin"/>
          </w:r>
          <w:r>
            <w:instrText xml:space="preserve"> PAGEREF _Toc43042507 \h </w:instrText>
          </w:r>
          <w:r>
            <w:fldChar w:fldCharType="separate"/>
          </w:r>
          <w:r>
            <w:t>15</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"_Toc43042508" </w:instrText>
          </w:r>
          <w:r>
            <w:fldChar w:fldCharType="separate"/>
          </w:r>
          <w:r>
            <w:rPr>
              <w:rStyle w:val="32"/>
              <w:rFonts w:eastAsia="方正楷体_GBK"/>
              <w:kern w:val="0"/>
            </w:rPr>
            <w:t>2.2.3远期目标</w:t>
          </w:r>
          <w:r>
            <w:tab/>
          </w:r>
          <w:r>
            <w:fldChar w:fldCharType="begin"/>
          </w:r>
          <w:r>
            <w:instrText xml:space="preserve"> PAGEREF _Toc43042508 \h </w:instrText>
          </w:r>
          <w:r>
            <w:fldChar w:fldCharType="separate"/>
          </w:r>
          <w:r>
            <w:t>15</w:t>
          </w:r>
          <w:r>
            <w:fldChar w:fldCharType="end"/>
          </w:r>
          <w:r>
            <w:fldChar w:fldCharType="end"/>
          </w:r>
        </w:p>
        <w:p>
          <w:pPr>
            <w:pStyle w:val="17"/>
            <w:tabs>
              <w:tab w:val="right" w:leader="dot" w:pos="9734"/>
            </w:tabs>
            <w:ind w:firstLine="560"/>
            <w:rPr>
              <w:rFonts w:asciiTheme="minorHAnsi" w:hAnsiTheme="minorHAnsi" w:eastAsiaTheme="minorEastAsia" w:cstheme="minorBidi"/>
              <w:sz w:val="21"/>
            </w:rPr>
          </w:pPr>
          <w:r>
            <w:fldChar w:fldCharType="begin"/>
          </w:r>
          <w:r>
            <w:instrText xml:space="preserve"> HYPERLINK \l "_Toc43042509" </w:instrText>
          </w:r>
          <w:r>
            <w:fldChar w:fldCharType="separate"/>
          </w:r>
          <w:r>
            <w:rPr>
              <w:rStyle w:val="32"/>
            </w:rPr>
            <w:t>第三章污染源分析</w:t>
          </w:r>
          <w:r>
            <w:tab/>
          </w:r>
          <w:r>
            <w:fldChar w:fldCharType="begin"/>
          </w:r>
          <w:r>
            <w:instrText xml:space="preserve"> PAGEREF _Toc43042509 \h </w:instrText>
          </w:r>
          <w:r>
            <w:fldChar w:fldCharType="separate"/>
          </w:r>
          <w:r>
            <w:t>16</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"_Toc43042510" </w:instrText>
          </w:r>
          <w:r>
            <w:fldChar w:fldCharType="separate"/>
          </w:r>
          <w:r>
            <w:rPr>
              <w:rStyle w:val="32"/>
            </w:rPr>
            <w:t>3.1生活污水治理规划</w:t>
          </w:r>
          <w:r>
            <w:tab/>
          </w:r>
          <w:r>
            <w:fldChar w:fldCharType="begin"/>
          </w:r>
          <w:r>
            <w:instrText xml:space="preserve"> PAGEREF _Toc43042510 \h </w:instrText>
          </w:r>
          <w:r>
            <w:fldChar w:fldCharType="separate"/>
          </w:r>
          <w:r>
            <w:t>16</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"_Toc43042511" </w:instrText>
          </w:r>
          <w:r>
            <w:fldChar w:fldCharType="separate"/>
          </w:r>
          <w:r>
            <w:rPr>
              <w:rStyle w:val="32"/>
            </w:rPr>
            <w:t>3.1.1 区域总体情况</w:t>
          </w:r>
          <w:r>
            <w:tab/>
          </w:r>
          <w:r>
            <w:fldChar w:fldCharType="begin"/>
          </w:r>
          <w:r>
            <w:instrText xml:space="preserve"> PAGEREF _Toc43042511 \h </w:instrText>
          </w:r>
          <w:r>
            <w:fldChar w:fldCharType="separate"/>
          </w:r>
          <w:r>
            <w:t>16</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"_Toc43042512" </w:instrText>
          </w:r>
          <w:r>
            <w:fldChar w:fldCharType="separate"/>
          </w:r>
          <w:r>
            <w:rPr>
              <w:rStyle w:val="32"/>
            </w:rPr>
            <w:t>3.1.2 各乡镇及街道情况</w:t>
          </w:r>
          <w:r>
            <w:tab/>
          </w:r>
          <w:r>
            <w:fldChar w:fldCharType="begin"/>
          </w:r>
          <w:r>
            <w:instrText xml:space="preserve"> PAGEREF _Toc43042512 \h </w:instrText>
          </w:r>
          <w:r>
            <w:fldChar w:fldCharType="separate"/>
          </w:r>
          <w:r>
            <w:t>16</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"_Toc43042513" </w:instrText>
          </w:r>
          <w:r>
            <w:fldChar w:fldCharType="separate"/>
          </w:r>
          <w:r>
            <w:rPr>
              <w:rStyle w:val="32"/>
            </w:rPr>
            <w:t>3.1.3 排水资源化利用现状</w:t>
          </w:r>
          <w:r>
            <w:tab/>
          </w:r>
          <w:r>
            <w:fldChar w:fldCharType="begin"/>
          </w:r>
          <w:r>
            <w:instrText xml:space="preserve"> PAGEREF _Toc43042513 \h </w:instrText>
          </w:r>
          <w:r>
            <w:fldChar w:fldCharType="separate"/>
          </w:r>
          <w:r>
            <w:t>16</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"_Toc43042514" </w:instrText>
          </w:r>
          <w:r>
            <w:fldChar w:fldCharType="separate"/>
          </w:r>
          <w:r>
            <w:rPr>
              <w:rStyle w:val="32"/>
            </w:rPr>
            <w:t>3.2运维管理现状</w:t>
          </w:r>
          <w:r>
            <w:tab/>
          </w:r>
          <w:r>
            <w:fldChar w:fldCharType="begin"/>
          </w:r>
          <w:r>
            <w:instrText xml:space="preserve"> PAGEREF _Toc43042514 \h </w:instrText>
          </w:r>
          <w:r>
            <w:fldChar w:fldCharType="separate"/>
          </w:r>
          <w:r>
            <w:t>17</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"_Toc43042515" </w:instrText>
          </w:r>
          <w:r>
            <w:fldChar w:fldCharType="separate"/>
          </w:r>
          <w:r>
            <w:rPr>
              <w:rStyle w:val="32"/>
            </w:rPr>
            <w:t>3.3给排水现状</w:t>
          </w:r>
          <w:r>
            <w:tab/>
          </w:r>
          <w:r>
            <w:fldChar w:fldCharType="begin"/>
          </w:r>
          <w:r>
            <w:instrText xml:space="preserve"> PAGEREF _Toc43042515 \h </w:instrText>
          </w:r>
          <w:r>
            <w:fldChar w:fldCharType="separate"/>
          </w:r>
          <w:r>
            <w:t>17</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"_Toc43042516" </w:instrText>
          </w:r>
          <w:r>
            <w:fldChar w:fldCharType="separate"/>
          </w:r>
          <w:r>
            <w:rPr>
              <w:rStyle w:val="32"/>
            </w:rPr>
            <w:t>3.3.1 县城及乡镇污水处理厂概况</w:t>
          </w:r>
          <w:r>
            <w:tab/>
          </w:r>
          <w:r>
            <w:fldChar w:fldCharType="begin"/>
          </w:r>
          <w:r>
            <w:instrText xml:space="preserve"> PAGEREF _Toc43042516 \h </w:instrText>
          </w:r>
          <w:r>
            <w:fldChar w:fldCharType="separate"/>
          </w:r>
          <w:r>
            <w:t>17</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"_Toc43042517" </w:instrText>
          </w:r>
          <w:r>
            <w:fldChar w:fldCharType="separate"/>
          </w:r>
          <w:r>
            <w:rPr>
              <w:rStyle w:val="32"/>
            </w:rPr>
            <w:t>3.3.2 农村生活污水治理现状</w:t>
          </w:r>
          <w:r>
            <w:tab/>
          </w:r>
          <w:r>
            <w:fldChar w:fldCharType="begin"/>
          </w:r>
          <w:r>
            <w:instrText xml:space="preserve"> PAGEREF _Toc43042517 \h </w:instrText>
          </w:r>
          <w:r>
            <w:fldChar w:fldCharType="separate"/>
          </w:r>
          <w:r>
            <w:t>18</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"_Toc43042518" </w:instrText>
          </w:r>
          <w:r>
            <w:fldChar w:fldCharType="separate"/>
          </w:r>
          <w:r>
            <w:rPr>
              <w:rStyle w:val="32"/>
            </w:rPr>
            <w:t>3.4农户改厕普及情况</w:t>
          </w:r>
          <w:r>
            <w:tab/>
          </w:r>
          <w:r>
            <w:fldChar w:fldCharType="begin"/>
          </w:r>
          <w:r>
            <w:instrText xml:space="preserve"> PAGEREF _Toc43042518 \h </w:instrText>
          </w:r>
          <w:r>
            <w:fldChar w:fldCharType="separate"/>
          </w:r>
          <w:r>
            <w:t>18</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"_Toc43042519" </w:instrText>
          </w:r>
          <w:r>
            <w:fldChar w:fldCharType="separate"/>
          </w:r>
          <w:r>
            <w:rPr>
              <w:rStyle w:val="32"/>
            </w:rPr>
            <w:t>3.5污染负荷量测算</w:t>
          </w:r>
          <w:r>
            <w:tab/>
          </w:r>
          <w:r>
            <w:fldChar w:fldCharType="begin"/>
          </w:r>
          <w:r>
            <w:instrText xml:space="preserve"> PAGEREF _Toc43042519 \h </w:instrText>
          </w:r>
          <w:r>
            <w:fldChar w:fldCharType="separate"/>
          </w:r>
          <w:r>
            <w:t>19</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"_Toc43042520" </w:instrText>
          </w:r>
          <w:r>
            <w:fldChar w:fldCharType="separate"/>
          </w:r>
          <w:r>
            <w:rPr>
              <w:rStyle w:val="32"/>
            </w:rPr>
            <w:t>3.5.1生活污水产生量和污染负荷核算</w:t>
          </w:r>
          <w:r>
            <w:tab/>
          </w:r>
          <w:r>
            <w:fldChar w:fldCharType="begin"/>
          </w:r>
          <w:r>
            <w:instrText xml:space="preserve"> PAGEREF _Toc43042520 \h </w:instrText>
          </w:r>
          <w:r>
            <w:fldChar w:fldCharType="separate"/>
          </w:r>
          <w:r>
            <w:t>19</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"_Toc43042521" </w:instrText>
          </w:r>
          <w:r>
            <w:fldChar w:fldCharType="separate"/>
          </w:r>
          <w:r>
            <w:rPr>
              <w:rStyle w:val="32"/>
            </w:rPr>
            <w:t>3.5.2生活污水排放量和污染负荷核算</w:t>
          </w:r>
          <w:r>
            <w:tab/>
          </w:r>
          <w:r>
            <w:fldChar w:fldCharType="begin"/>
          </w:r>
          <w:r>
            <w:instrText xml:space="preserve"> PAGEREF _Toc43042521 \h </w:instrText>
          </w:r>
          <w:r>
            <w:fldChar w:fldCharType="separate"/>
          </w:r>
          <w:r>
            <w:t>19</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"_Toc43042522" </w:instrText>
          </w:r>
          <w:r>
            <w:fldChar w:fldCharType="separate"/>
          </w:r>
          <w:r>
            <w:rPr>
              <w:rStyle w:val="32"/>
            </w:rPr>
            <w:t>3.6农村生活污水治理存在问题及需求分析</w:t>
          </w:r>
          <w:r>
            <w:tab/>
          </w:r>
          <w:r>
            <w:fldChar w:fldCharType="begin"/>
          </w:r>
          <w:r>
            <w:instrText xml:space="preserve"> PAGEREF _Toc43042522 \h </w:instrText>
          </w:r>
          <w:r>
            <w:fldChar w:fldCharType="separate"/>
          </w:r>
          <w:r>
            <w:t>20</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"_Toc43042523" </w:instrText>
          </w:r>
          <w:r>
            <w:fldChar w:fldCharType="separate"/>
          </w:r>
          <w:r>
            <w:rPr>
              <w:rStyle w:val="32"/>
            </w:rPr>
            <w:t>3.6.1 晋宁区农村生活污水污染特点分析</w:t>
          </w:r>
          <w:r>
            <w:tab/>
          </w:r>
          <w:r>
            <w:fldChar w:fldCharType="begin"/>
          </w:r>
          <w:r>
            <w:instrText xml:space="preserve"> PAGEREF _Toc43042523 \h </w:instrText>
          </w:r>
          <w:r>
            <w:fldChar w:fldCharType="separate"/>
          </w:r>
          <w:r>
            <w:t>20</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"_Toc43042524" </w:instrText>
          </w:r>
          <w:r>
            <w:fldChar w:fldCharType="separate"/>
          </w:r>
          <w:r>
            <w:rPr>
              <w:rStyle w:val="32"/>
            </w:rPr>
            <w:t>3.6.2 已建污水治理设施存在问题及需求分析</w:t>
          </w:r>
          <w:r>
            <w:tab/>
          </w:r>
          <w:r>
            <w:fldChar w:fldCharType="begin"/>
          </w:r>
          <w:r>
            <w:instrText xml:space="preserve"> PAGEREF _Toc43042524 \h </w:instrText>
          </w:r>
          <w:r>
            <w:fldChar w:fldCharType="separate"/>
          </w:r>
          <w:r>
            <w:t>20</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"_Toc43042525" </w:instrText>
          </w:r>
          <w:r>
            <w:fldChar w:fldCharType="separate"/>
          </w:r>
          <w:r>
            <w:rPr>
              <w:rStyle w:val="32"/>
            </w:rPr>
            <w:t>3.6.3 规划污水治理设施需求分析</w:t>
          </w:r>
          <w:r>
            <w:tab/>
          </w:r>
          <w:r>
            <w:fldChar w:fldCharType="begin"/>
          </w:r>
          <w:r>
            <w:instrText xml:space="preserve"> PAGEREF _Toc43042525 \h </w:instrText>
          </w:r>
          <w:r>
            <w:fldChar w:fldCharType="separate"/>
          </w:r>
          <w:r>
            <w:t>21</w:t>
          </w:r>
          <w:r>
            <w:fldChar w:fldCharType="end"/>
          </w:r>
          <w:r>
            <w:fldChar w:fldCharType="end"/>
          </w:r>
        </w:p>
        <w:p>
          <w:pPr>
            <w:pStyle w:val="17"/>
            <w:tabs>
              <w:tab w:val="right" w:leader="dot" w:pos="9734"/>
            </w:tabs>
            <w:ind w:firstLine="560"/>
            <w:rPr>
              <w:rFonts w:asciiTheme="minorHAnsi" w:hAnsiTheme="minorHAnsi" w:eastAsiaTheme="minorEastAsia" w:cstheme="minorBidi"/>
              <w:sz w:val="21"/>
            </w:rPr>
          </w:pPr>
          <w:r>
            <w:fldChar w:fldCharType="begin"/>
          </w:r>
          <w:r>
            <w:instrText xml:space="preserve"> HYPERLINK \l "_Toc43042526" </w:instrText>
          </w:r>
          <w:r>
            <w:fldChar w:fldCharType="separate"/>
          </w:r>
          <w:r>
            <w:rPr>
              <w:rStyle w:val="32"/>
            </w:rPr>
            <w:t>第四章污水处理设施建设</w:t>
          </w:r>
          <w:r>
            <w:tab/>
          </w:r>
          <w:r>
            <w:fldChar w:fldCharType="begin"/>
          </w:r>
          <w:r>
            <w:instrText xml:space="preserve"> PAGEREF _Toc43042526 \h </w:instrText>
          </w:r>
          <w:r>
            <w:fldChar w:fldCharType="separate"/>
          </w:r>
          <w:r>
            <w:t>22</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"_Toc43042527" </w:instrText>
          </w:r>
          <w:r>
            <w:fldChar w:fldCharType="separate"/>
          </w:r>
          <w:r>
            <w:rPr>
              <w:rStyle w:val="32"/>
              <w:rFonts w:eastAsia="方正黑体_GBK"/>
              <w:b/>
            </w:rPr>
            <w:t>4.1总体布局</w:t>
          </w:r>
          <w:r>
            <w:tab/>
          </w:r>
          <w:r>
            <w:fldChar w:fldCharType="begin"/>
          </w:r>
          <w:r>
            <w:instrText xml:space="preserve"> PAGEREF _Toc43042527 \h </w:instrText>
          </w:r>
          <w:r>
            <w:fldChar w:fldCharType="separate"/>
          </w:r>
          <w:r>
            <w:t>22</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"_Toc43042528" </w:instrText>
          </w:r>
          <w:r>
            <w:fldChar w:fldCharType="separate"/>
          </w:r>
          <w:r>
            <w:rPr>
              <w:rStyle w:val="32"/>
              <w:rFonts w:eastAsia="方正楷体_GBK"/>
              <w:kern w:val="0"/>
            </w:rPr>
            <w:t>4.1.1布局原则</w:t>
          </w:r>
          <w:r>
            <w:tab/>
          </w:r>
          <w:r>
            <w:fldChar w:fldCharType="begin"/>
          </w:r>
          <w:r>
            <w:instrText xml:space="preserve"> PAGEREF _Toc43042528 \h </w:instrText>
          </w:r>
          <w:r>
            <w:fldChar w:fldCharType="separate"/>
          </w:r>
          <w:r>
            <w:t>22</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"_Toc43042529" </w:instrText>
          </w:r>
          <w:r>
            <w:fldChar w:fldCharType="separate"/>
          </w:r>
          <w:r>
            <w:rPr>
              <w:rStyle w:val="32"/>
              <w:rFonts w:eastAsia="方正楷体_GBK"/>
              <w:kern w:val="0"/>
            </w:rPr>
            <w:t>4.1.2村落分区分类</w:t>
          </w:r>
          <w:r>
            <w:tab/>
          </w:r>
          <w:r>
            <w:fldChar w:fldCharType="begin"/>
          </w:r>
          <w:r>
            <w:instrText xml:space="preserve"> PAGEREF _Toc43042529 \h </w:instrText>
          </w:r>
          <w:r>
            <w:fldChar w:fldCharType="separate"/>
          </w:r>
          <w:r>
            <w:t>22</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"_Toc43042530" </w:instrText>
          </w:r>
          <w:r>
            <w:fldChar w:fldCharType="separate"/>
          </w:r>
          <w:r>
            <w:rPr>
              <w:rStyle w:val="32"/>
              <w:rFonts w:eastAsia="方正楷体_GBK"/>
              <w:kern w:val="0"/>
            </w:rPr>
            <w:t>4.1.3系统总体布局</w:t>
          </w:r>
          <w:r>
            <w:tab/>
          </w:r>
          <w:r>
            <w:fldChar w:fldCharType="begin"/>
          </w:r>
          <w:r>
            <w:instrText xml:space="preserve"> PAGEREF _Toc43042530 \h </w:instrText>
          </w:r>
          <w:r>
            <w:fldChar w:fldCharType="separate"/>
          </w:r>
          <w:r>
            <w:t>22</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"_Toc43042531" </w:instrText>
          </w:r>
          <w:r>
            <w:fldChar w:fldCharType="separate"/>
          </w:r>
          <w:r>
            <w:rPr>
              <w:rStyle w:val="32"/>
              <w:rFonts w:eastAsia="方正黑体_GBK"/>
              <w:b/>
            </w:rPr>
            <w:t>4.2农村生活污水量预测</w:t>
          </w:r>
          <w:r>
            <w:tab/>
          </w:r>
          <w:r>
            <w:fldChar w:fldCharType="begin"/>
          </w:r>
          <w:r>
            <w:instrText xml:space="preserve"> PAGEREF _Toc43042531 \h </w:instrText>
          </w:r>
          <w:r>
            <w:fldChar w:fldCharType="separate"/>
          </w:r>
          <w:r>
            <w:t>26</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"_Toc43042532" </w:instrText>
          </w:r>
          <w:r>
            <w:fldChar w:fldCharType="separate"/>
          </w:r>
          <w:r>
            <w:rPr>
              <w:rStyle w:val="32"/>
              <w:rFonts w:eastAsia="方正楷体_GBK"/>
              <w:kern w:val="0"/>
            </w:rPr>
            <w:t>4.2.1农村人口预测</w:t>
          </w:r>
          <w:r>
            <w:tab/>
          </w:r>
          <w:r>
            <w:fldChar w:fldCharType="begin"/>
          </w:r>
          <w:r>
            <w:instrText xml:space="preserve"> PAGEREF _Toc43042532 \h </w:instrText>
          </w:r>
          <w:r>
            <w:fldChar w:fldCharType="separate"/>
          </w:r>
          <w:r>
            <w:t>26</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"_Toc43042533" </w:instrText>
          </w:r>
          <w:r>
            <w:fldChar w:fldCharType="separate"/>
          </w:r>
          <w:r>
            <w:rPr>
              <w:rStyle w:val="32"/>
              <w:rFonts w:eastAsia="方正楷体_GBK"/>
              <w:kern w:val="0"/>
            </w:rPr>
            <w:t>4.2.2农村生活污水排放系数</w:t>
          </w:r>
          <w:r>
            <w:tab/>
          </w:r>
          <w:r>
            <w:fldChar w:fldCharType="begin"/>
          </w:r>
          <w:r>
            <w:instrText xml:space="preserve"> PAGEREF _Toc43042533 \h </w:instrText>
          </w:r>
          <w:r>
            <w:fldChar w:fldCharType="separate"/>
          </w:r>
          <w:r>
            <w:t>26</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"_Toc43042534" </w:instrText>
          </w:r>
          <w:r>
            <w:fldChar w:fldCharType="separate"/>
          </w:r>
          <w:r>
            <w:rPr>
              <w:rStyle w:val="32"/>
              <w:rFonts w:eastAsia="方正楷体_GBK"/>
              <w:kern w:val="0"/>
            </w:rPr>
            <w:t>4.2.3污水量计算</w:t>
          </w:r>
          <w:r>
            <w:tab/>
          </w:r>
          <w:r>
            <w:fldChar w:fldCharType="begin"/>
          </w:r>
          <w:r>
            <w:instrText xml:space="preserve"> PAGEREF _Toc43042534 \h </w:instrText>
          </w:r>
          <w:r>
            <w:fldChar w:fldCharType="separate"/>
          </w:r>
          <w:r>
            <w:t>26</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"_Toc43042535" </w:instrText>
          </w:r>
          <w:r>
            <w:fldChar w:fldCharType="separate"/>
          </w:r>
          <w:r>
            <w:rPr>
              <w:rStyle w:val="32"/>
              <w:rFonts w:eastAsia="方正黑体_GBK"/>
              <w:b/>
            </w:rPr>
            <w:t>4.3收集处理模式</w:t>
          </w:r>
          <w:r>
            <w:tab/>
          </w:r>
          <w:r>
            <w:fldChar w:fldCharType="begin"/>
          </w:r>
          <w:r>
            <w:instrText xml:space="preserve"> PAGEREF _Toc43042535 \h </w:instrText>
          </w:r>
          <w:r>
            <w:fldChar w:fldCharType="separate"/>
          </w:r>
          <w:r>
            <w:t>27</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"_Toc43042536" </w:instrText>
          </w:r>
          <w:r>
            <w:fldChar w:fldCharType="separate"/>
          </w:r>
          <w:r>
            <w:rPr>
              <w:rStyle w:val="32"/>
              <w:rFonts w:eastAsia="方正黑体_GBK"/>
              <w:b/>
            </w:rPr>
            <w:t>4.4设施布局选址</w:t>
          </w:r>
          <w:r>
            <w:tab/>
          </w:r>
          <w:r>
            <w:fldChar w:fldCharType="begin"/>
          </w:r>
          <w:r>
            <w:instrText xml:space="preserve"> PAGEREF _Toc43042536 \h </w:instrText>
          </w:r>
          <w:r>
            <w:fldChar w:fldCharType="separate"/>
          </w:r>
          <w:r>
            <w:t>27</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"_Toc43042537" </w:instrText>
          </w:r>
          <w:r>
            <w:fldChar w:fldCharType="separate"/>
          </w:r>
          <w:r>
            <w:rPr>
              <w:rStyle w:val="32"/>
              <w:rFonts w:eastAsia="方正黑体_GBK"/>
              <w:b/>
            </w:rPr>
            <w:t>4.5出水排放要求</w:t>
          </w:r>
          <w:r>
            <w:tab/>
          </w:r>
          <w:r>
            <w:fldChar w:fldCharType="begin"/>
          </w:r>
          <w:r>
            <w:instrText xml:space="preserve"> PAGEREF _Toc43042537 \h </w:instrText>
          </w:r>
          <w:r>
            <w:fldChar w:fldCharType="separate"/>
          </w:r>
          <w:r>
            <w:t>27</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"_Toc43042538" </w:instrText>
          </w:r>
          <w:r>
            <w:fldChar w:fldCharType="separate"/>
          </w:r>
          <w:r>
            <w:rPr>
              <w:rStyle w:val="32"/>
              <w:rFonts w:eastAsia="方正黑体_GBK"/>
              <w:b/>
            </w:rPr>
            <w:t>4.6收集系统建设</w:t>
          </w:r>
          <w:r>
            <w:tab/>
          </w:r>
          <w:r>
            <w:fldChar w:fldCharType="begin"/>
          </w:r>
          <w:r>
            <w:instrText xml:space="preserve"> PAGEREF _Toc43042538 \h </w:instrText>
          </w:r>
          <w:r>
            <w:fldChar w:fldCharType="separate"/>
          </w:r>
          <w:r>
            <w:t>28</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"_Toc43042539" </w:instrText>
          </w:r>
          <w:r>
            <w:fldChar w:fldCharType="separate"/>
          </w:r>
          <w:r>
            <w:rPr>
              <w:rStyle w:val="32"/>
              <w:rFonts w:eastAsia="方正黑体_GBK"/>
              <w:b/>
            </w:rPr>
            <w:t>4.7处理技术工艺选择及处理设施规划</w:t>
          </w:r>
          <w:r>
            <w:tab/>
          </w:r>
          <w:r>
            <w:fldChar w:fldCharType="begin"/>
          </w:r>
          <w:r>
            <w:instrText xml:space="preserve"> PAGEREF _Toc43042539 \h </w:instrText>
          </w:r>
          <w:r>
            <w:fldChar w:fldCharType="separate"/>
          </w:r>
          <w:r>
            <w:t>30</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"_Toc43042540" </w:instrText>
          </w:r>
          <w:r>
            <w:fldChar w:fldCharType="separate"/>
          </w:r>
          <w:r>
            <w:rPr>
              <w:rStyle w:val="32"/>
              <w:rFonts w:eastAsia="方正楷体_GBK"/>
              <w:kern w:val="0"/>
            </w:rPr>
            <w:t>4.7.1技术介绍</w:t>
          </w:r>
          <w:r>
            <w:tab/>
          </w:r>
          <w:r>
            <w:fldChar w:fldCharType="begin"/>
          </w:r>
          <w:r>
            <w:instrText xml:space="preserve"> PAGEREF _Toc43042540 \h </w:instrText>
          </w:r>
          <w:r>
            <w:fldChar w:fldCharType="separate"/>
          </w:r>
          <w:r>
            <w:t>30</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"_Toc43042541" </w:instrText>
          </w:r>
          <w:r>
            <w:fldChar w:fldCharType="separate"/>
          </w:r>
          <w:r>
            <w:rPr>
              <w:rStyle w:val="32"/>
              <w:rFonts w:eastAsia="方正楷体_GBK"/>
              <w:kern w:val="0"/>
            </w:rPr>
            <w:t>4.7.2新建污水处理设施处理技术模式选择及规划</w:t>
          </w:r>
          <w:r>
            <w:tab/>
          </w:r>
          <w:r>
            <w:fldChar w:fldCharType="begin"/>
          </w:r>
          <w:r>
            <w:instrText xml:space="preserve"> PAGEREF _Toc43042541 \h </w:instrText>
          </w:r>
          <w:r>
            <w:fldChar w:fldCharType="separate"/>
          </w:r>
          <w:r>
            <w:t>31</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"_Toc43042542" </w:instrText>
          </w:r>
          <w:r>
            <w:fldChar w:fldCharType="separate"/>
          </w:r>
          <w:r>
            <w:rPr>
              <w:rStyle w:val="32"/>
              <w:rFonts w:eastAsia="方正楷体_GBK"/>
              <w:kern w:val="0"/>
            </w:rPr>
            <w:t>4.7.3改造污水处理设施处理技术模式选择及规划</w:t>
          </w:r>
          <w:r>
            <w:tab/>
          </w:r>
          <w:r>
            <w:fldChar w:fldCharType="begin"/>
          </w:r>
          <w:r>
            <w:instrText xml:space="preserve"> PAGEREF _Toc43042542 \h </w:instrText>
          </w:r>
          <w:r>
            <w:fldChar w:fldCharType="separate"/>
          </w:r>
          <w:r>
            <w:t>32</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"_Toc43042543" </w:instrText>
          </w:r>
          <w:r>
            <w:fldChar w:fldCharType="separate"/>
          </w:r>
          <w:r>
            <w:rPr>
              <w:rStyle w:val="32"/>
              <w:rFonts w:eastAsia="方正黑体_GBK"/>
              <w:b/>
            </w:rPr>
            <w:t>4.8固体废物处理处置</w:t>
          </w:r>
          <w:r>
            <w:tab/>
          </w:r>
          <w:r>
            <w:fldChar w:fldCharType="begin"/>
          </w:r>
          <w:r>
            <w:instrText xml:space="preserve"> PAGEREF _Toc43042543 \h </w:instrText>
          </w:r>
          <w:r>
            <w:fldChar w:fldCharType="separate"/>
          </w:r>
          <w:r>
            <w:t>32</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"_Toc43042544" </w:instrText>
          </w:r>
          <w:r>
            <w:fldChar w:fldCharType="separate"/>
          </w:r>
          <w:r>
            <w:rPr>
              <w:rStyle w:val="32"/>
              <w:rFonts w:eastAsia="方正楷体_GBK"/>
              <w:kern w:val="0"/>
            </w:rPr>
            <w:t>4.8.1栅渣处理处置</w:t>
          </w:r>
          <w:r>
            <w:tab/>
          </w:r>
          <w:r>
            <w:fldChar w:fldCharType="begin"/>
          </w:r>
          <w:r>
            <w:instrText xml:space="preserve"> PAGEREF _Toc43042544 \h </w:instrText>
          </w:r>
          <w:r>
            <w:fldChar w:fldCharType="separate"/>
          </w:r>
          <w:r>
            <w:t>32</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"_Toc43042545" </w:instrText>
          </w:r>
          <w:r>
            <w:fldChar w:fldCharType="separate"/>
          </w:r>
          <w:r>
            <w:rPr>
              <w:rStyle w:val="32"/>
              <w:rFonts w:eastAsia="方正楷体_GBK"/>
              <w:kern w:val="0"/>
            </w:rPr>
            <w:t>4.8.2污泥处理处置</w:t>
          </w:r>
          <w:r>
            <w:tab/>
          </w:r>
          <w:r>
            <w:fldChar w:fldCharType="begin"/>
          </w:r>
          <w:r>
            <w:instrText xml:space="preserve"> PAGEREF _Toc43042545 \h </w:instrText>
          </w:r>
          <w:r>
            <w:fldChar w:fldCharType="separate"/>
          </w:r>
          <w:r>
            <w:t>33</w:t>
          </w:r>
          <w:r>
            <w:fldChar w:fldCharType="end"/>
          </w:r>
          <w:r>
            <w:fldChar w:fldCharType="end"/>
          </w:r>
        </w:p>
        <w:p>
          <w:pPr>
            <w:pStyle w:val="12"/>
            <w:tabs>
              <w:tab w:val="right" w:leader="dot" w:pos="9734"/>
            </w:tabs>
            <w:ind w:left="1120" w:firstLine="560"/>
            <w:rPr>
              <w:rFonts w:asciiTheme="minorHAnsi" w:hAnsiTheme="minorHAnsi" w:eastAsiaTheme="minorEastAsia" w:cstheme="minorBidi"/>
              <w:sz w:val="21"/>
            </w:rPr>
          </w:pPr>
          <w:r>
            <w:fldChar w:fldCharType="begin"/>
          </w:r>
          <w:r>
            <w:instrText xml:space="preserve"> HYPERLINK \l "_Toc43042546" </w:instrText>
          </w:r>
          <w:r>
            <w:fldChar w:fldCharType="separate"/>
          </w:r>
          <w:r>
            <w:rPr>
              <w:rStyle w:val="32"/>
              <w:rFonts w:eastAsia="方正楷体_GBK"/>
              <w:kern w:val="0"/>
            </w:rPr>
            <w:t>4.8.3植物残体处理处置</w:t>
          </w:r>
          <w:r>
            <w:tab/>
          </w:r>
          <w:r>
            <w:fldChar w:fldCharType="begin"/>
          </w:r>
          <w:r>
            <w:instrText xml:space="preserve"> PAGEREF _Toc43042546 \h </w:instrText>
          </w:r>
          <w:r>
            <w:fldChar w:fldCharType="separate"/>
          </w:r>
          <w:r>
            <w:t>33</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"_Toc43042547" </w:instrText>
          </w:r>
          <w:r>
            <w:fldChar w:fldCharType="separate"/>
          </w:r>
          <w:r>
            <w:rPr>
              <w:rStyle w:val="32"/>
              <w:rFonts w:eastAsia="方正黑体_GBK"/>
              <w:b/>
            </w:rPr>
            <w:t>4.9验收移交</w:t>
          </w:r>
          <w:r>
            <w:tab/>
          </w:r>
          <w:r>
            <w:fldChar w:fldCharType="begin"/>
          </w:r>
          <w:r>
            <w:instrText xml:space="preserve"> PAGEREF _Toc43042547 \h </w:instrText>
          </w:r>
          <w:r>
            <w:fldChar w:fldCharType="separate"/>
          </w:r>
          <w:r>
            <w:t>33</w:t>
          </w:r>
          <w:r>
            <w:fldChar w:fldCharType="end"/>
          </w:r>
          <w:r>
            <w:fldChar w:fldCharType="end"/>
          </w:r>
        </w:p>
        <w:p>
          <w:pPr>
            <w:pStyle w:val="17"/>
            <w:tabs>
              <w:tab w:val="right" w:leader="dot" w:pos="9734"/>
            </w:tabs>
            <w:ind w:firstLine="560"/>
            <w:rPr>
              <w:rFonts w:asciiTheme="minorHAnsi" w:hAnsiTheme="minorHAnsi" w:eastAsiaTheme="minorEastAsia" w:cstheme="minorBidi"/>
              <w:sz w:val="21"/>
            </w:rPr>
          </w:pPr>
          <w:r>
            <w:fldChar w:fldCharType="begin"/>
          </w:r>
          <w:r>
            <w:instrText xml:space="preserve"> HYPERLINK \l "_Toc43042548" </w:instrText>
          </w:r>
          <w:r>
            <w:fldChar w:fldCharType="separate"/>
          </w:r>
          <w:r>
            <w:rPr>
              <w:rStyle w:val="32"/>
              <w:rFonts w:eastAsia="方正小标宋_GBK"/>
            </w:rPr>
            <w:t>第五章处理设施运维管理</w:t>
          </w:r>
          <w:r>
            <w:tab/>
          </w:r>
          <w:r>
            <w:fldChar w:fldCharType="begin"/>
          </w:r>
          <w:r>
            <w:instrText xml:space="preserve"> PAGEREF _Toc43042548 \h </w:instrText>
          </w:r>
          <w:r>
            <w:fldChar w:fldCharType="separate"/>
          </w:r>
          <w:r>
            <w:t>34</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"_Toc43042549" </w:instrText>
          </w:r>
          <w:r>
            <w:fldChar w:fldCharType="separate"/>
          </w:r>
          <w:r>
            <w:rPr>
              <w:rStyle w:val="32"/>
              <w:rFonts w:eastAsia="方正黑体_GBK"/>
              <w:b/>
            </w:rPr>
            <w:t>5.1运维管理</w:t>
          </w:r>
          <w:r>
            <w:tab/>
          </w:r>
          <w:r>
            <w:fldChar w:fldCharType="begin"/>
          </w:r>
          <w:r>
            <w:instrText xml:space="preserve"> PAGEREF _Toc43042549 \h </w:instrText>
          </w:r>
          <w:r>
            <w:fldChar w:fldCharType="separate"/>
          </w:r>
          <w:r>
            <w:t>34</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"_Toc43042550" </w:instrText>
          </w:r>
          <w:r>
            <w:fldChar w:fldCharType="separate"/>
          </w:r>
          <w:r>
            <w:rPr>
              <w:rStyle w:val="32"/>
              <w:rFonts w:eastAsia="方正黑体_GBK"/>
              <w:b/>
            </w:rPr>
            <w:t>5.2环境监管</w:t>
          </w:r>
          <w:r>
            <w:tab/>
          </w:r>
          <w:r>
            <w:fldChar w:fldCharType="begin"/>
          </w:r>
          <w:r>
            <w:instrText xml:space="preserve"> PAGEREF _Toc43042550 \h </w:instrText>
          </w:r>
          <w:r>
            <w:fldChar w:fldCharType="separate"/>
          </w:r>
          <w:r>
            <w:t>36</w:t>
          </w:r>
          <w:r>
            <w:fldChar w:fldCharType="end"/>
          </w:r>
          <w:r>
            <w:fldChar w:fldCharType="end"/>
          </w:r>
        </w:p>
        <w:p>
          <w:pPr>
            <w:pStyle w:val="17"/>
            <w:tabs>
              <w:tab w:val="right" w:leader="dot" w:pos="9734"/>
            </w:tabs>
            <w:ind w:firstLine="560"/>
            <w:rPr>
              <w:rFonts w:asciiTheme="minorHAnsi" w:hAnsiTheme="minorHAnsi" w:eastAsiaTheme="minorEastAsia" w:cstheme="minorBidi"/>
              <w:sz w:val="21"/>
            </w:rPr>
          </w:pPr>
          <w:r>
            <w:fldChar w:fldCharType="begin"/>
          </w:r>
          <w:r>
            <w:instrText xml:space="preserve"> HYPERLINK \l "_Toc43042551" </w:instrText>
          </w:r>
          <w:r>
            <w:fldChar w:fldCharType="separate"/>
          </w:r>
          <w:r>
            <w:rPr>
              <w:rStyle w:val="32"/>
              <w:rFonts w:eastAsia="方正小标宋_GBK"/>
            </w:rPr>
            <w:t>第六章工程估算与资金筹措</w:t>
          </w:r>
          <w:r>
            <w:tab/>
          </w:r>
          <w:r>
            <w:fldChar w:fldCharType="begin"/>
          </w:r>
          <w:r>
            <w:instrText xml:space="preserve"> PAGEREF _Toc43042551 \h </w:instrText>
          </w:r>
          <w:r>
            <w:fldChar w:fldCharType="separate"/>
          </w:r>
          <w:r>
            <w:t>37</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"_Toc43042552" </w:instrText>
          </w:r>
          <w:r>
            <w:fldChar w:fldCharType="separate"/>
          </w:r>
          <w:r>
            <w:rPr>
              <w:rStyle w:val="32"/>
              <w:rFonts w:eastAsia="方正黑体_GBK"/>
              <w:b/>
            </w:rPr>
            <w:t>6.1投资估算</w:t>
          </w:r>
          <w:r>
            <w:tab/>
          </w:r>
          <w:r>
            <w:fldChar w:fldCharType="begin"/>
          </w:r>
          <w:r>
            <w:instrText xml:space="preserve"> PAGEREF _Toc43042552 \h </w:instrText>
          </w:r>
          <w:r>
            <w:fldChar w:fldCharType="separate"/>
          </w:r>
          <w:r>
            <w:t>37</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"_Toc43042553" </w:instrText>
          </w:r>
          <w:r>
            <w:fldChar w:fldCharType="separate"/>
          </w:r>
          <w:r>
            <w:rPr>
              <w:rStyle w:val="32"/>
              <w:rFonts w:eastAsia="方正黑体_GBK"/>
              <w:b/>
            </w:rPr>
            <w:t>6.2资金筹措</w:t>
          </w:r>
          <w:r>
            <w:tab/>
          </w:r>
          <w:r>
            <w:fldChar w:fldCharType="begin"/>
          </w:r>
          <w:r>
            <w:instrText xml:space="preserve"> PAGEREF _Toc43042553 \h </w:instrText>
          </w:r>
          <w:r>
            <w:fldChar w:fldCharType="separate"/>
          </w:r>
          <w:r>
            <w:t>37</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"_Toc43042554" </w:instrText>
          </w:r>
          <w:r>
            <w:fldChar w:fldCharType="separate"/>
          </w:r>
          <w:r>
            <w:rPr>
              <w:rStyle w:val="32"/>
              <w:rFonts w:eastAsia="方正黑体_GBK"/>
              <w:b/>
            </w:rPr>
            <w:t>6.3运维管理费</w:t>
          </w:r>
          <w:r>
            <w:tab/>
          </w:r>
          <w:r>
            <w:fldChar w:fldCharType="begin"/>
          </w:r>
          <w:r>
            <w:instrText xml:space="preserve"> PAGEREF _Toc43042554 \h </w:instrText>
          </w:r>
          <w:r>
            <w:fldChar w:fldCharType="separate"/>
          </w:r>
          <w:r>
            <w:t>37</w:t>
          </w:r>
          <w:r>
            <w:fldChar w:fldCharType="end"/>
          </w:r>
          <w:r>
            <w:fldChar w:fldCharType="end"/>
          </w:r>
        </w:p>
        <w:p>
          <w:pPr>
            <w:pStyle w:val="17"/>
            <w:tabs>
              <w:tab w:val="right" w:leader="dot" w:pos="9734"/>
            </w:tabs>
            <w:ind w:firstLine="560"/>
            <w:rPr>
              <w:rFonts w:asciiTheme="minorHAnsi" w:hAnsiTheme="minorHAnsi" w:eastAsiaTheme="minorEastAsia" w:cstheme="minorBidi"/>
              <w:sz w:val="21"/>
            </w:rPr>
          </w:pPr>
          <w:r>
            <w:fldChar w:fldCharType="begin"/>
          </w:r>
          <w:r>
            <w:instrText xml:space="preserve"> HYPERLINK \l "_Toc43042555" </w:instrText>
          </w:r>
          <w:r>
            <w:fldChar w:fldCharType="separate"/>
          </w:r>
          <w:r>
            <w:rPr>
              <w:rStyle w:val="32"/>
              <w:rFonts w:eastAsia="方正小标宋_GBK"/>
            </w:rPr>
            <w:t>第七章分期实施计划</w:t>
          </w:r>
          <w:r>
            <w:tab/>
          </w:r>
          <w:r>
            <w:fldChar w:fldCharType="begin"/>
          </w:r>
          <w:r>
            <w:instrText xml:space="preserve"> PAGEREF _Toc43042555 \h </w:instrText>
          </w:r>
          <w:r>
            <w:fldChar w:fldCharType="separate"/>
          </w:r>
          <w:r>
            <w:t>39</w:t>
          </w:r>
          <w:r>
            <w:fldChar w:fldCharType="end"/>
          </w:r>
          <w:r>
            <w:fldChar w:fldCharType="end"/>
          </w:r>
        </w:p>
        <w:p>
          <w:pPr>
            <w:pStyle w:val="17"/>
            <w:tabs>
              <w:tab w:val="right" w:leader="dot" w:pos="9734"/>
            </w:tabs>
            <w:ind w:firstLine="560"/>
            <w:rPr>
              <w:rFonts w:asciiTheme="minorHAnsi" w:hAnsiTheme="minorHAnsi" w:eastAsiaTheme="minorEastAsia" w:cstheme="minorBidi"/>
              <w:sz w:val="21"/>
            </w:rPr>
          </w:pPr>
          <w:r>
            <w:fldChar w:fldCharType="begin"/>
          </w:r>
          <w:r>
            <w:instrText xml:space="preserve"> HYPERLINK \l "_Toc43042556" </w:instrText>
          </w:r>
          <w:r>
            <w:fldChar w:fldCharType="separate"/>
          </w:r>
          <w:r>
            <w:rPr>
              <w:rStyle w:val="32"/>
              <w:rFonts w:eastAsia="方正小标宋_GBK"/>
            </w:rPr>
            <w:t>第八章效益分析</w:t>
          </w:r>
          <w:r>
            <w:tab/>
          </w:r>
          <w:r>
            <w:fldChar w:fldCharType="begin"/>
          </w:r>
          <w:r>
            <w:instrText xml:space="preserve"> PAGEREF _Toc43042556 \h </w:instrText>
          </w:r>
          <w:r>
            <w:fldChar w:fldCharType="separate"/>
          </w:r>
          <w:r>
            <w:t>46</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"_Toc43042557" </w:instrText>
          </w:r>
          <w:r>
            <w:fldChar w:fldCharType="separate"/>
          </w:r>
          <w:r>
            <w:rPr>
              <w:rStyle w:val="32"/>
              <w:rFonts w:eastAsia="方正黑体_GBK"/>
              <w:b/>
            </w:rPr>
            <w:t>8.1环境效益</w:t>
          </w:r>
          <w:r>
            <w:tab/>
          </w:r>
          <w:r>
            <w:fldChar w:fldCharType="begin"/>
          </w:r>
          <w:r>
            <w:instrText xml:space="preserve"> PAGEREF _Toc43042557 \h </w:instrText>
          </w:r>
          <w:r>
            <w:fldChar w:fldCharType="separate"/>
          </w:r>
          <w:r>
            <w:t>46</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"_Toc43042558" </w:instrText>
          </w:r>
          <w:r>
            <w:fldChar w:fldCharType="separate"/>
          </w:r>
          <w:r>
            <w:rPr>
              <w:rStyle w:val="32"/>
              <w:rFonts w:eastAsia="方正黑体_GBK"/>
              <w:b/>
            </w:rPr>
            <w:t>8.2社会效益</w:t>
          </w:r>
          <w:r>
            <w:tab/>
          </w:r>
          <w:r>
            <w:fldChar w:fldCharType="begin"/>
          </w:r>
          <w:r>
            <w:instrText xml:space="preserve"> PAGEREF _Toc43042558 \h </w:instrText>
          </w:r>
          <w:r>
            <w:fldChar w:fldCharType="separate"/>
          </w:r>
          <w:r>
            <w:t>46</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"_Toc43042559" </w:instrText>
          </w:r>
          <w:r>
            <w:fldChar w:fldCharType="separate"/>
          </w:r>
          <w:r>
            <w:rPr>
              <w:rStyle w:val="32"/>
              <w:rFonts w:eastAsia="方正黑体_GBK"/>
              <w:b/>
            </w:rPr>
            <w:t>8.3经济效益</w:t>
          </w:r>
          <w:r>
            <w:tab/>
          </w:r>
          <w:r>
            <w:fldChar w:fldCharType="begin"/>
          </w:r>
          <w:r>
            <w:instrText xml:space="preserve"> PAGEREF _Toc43042559 \h </w:instrText>
          </w:r>
          <w:r>
            <w:fldChar w:fldCharType="separate"/>
          </w:r>
          <w:r>
            <w:t>46</w:t>
          </w:r>
          <w:r>
            <w:fldChar w:fldCharType="end"/>
          </w:r>
          <w:r>
            <w:fldChar w:fldCharType="end"/>
          </w:r>
        </w:p>
        <w:p>
          <w:pPr>
            <w:pStyle w:val="17"/>
            <w:tabs>
              <w:tab w:val="right" w:leader="dot" w:pos="9734"/>
            </w:tabs>
            <w:ind w:firstLine="560"/>
            <w:rPr>
              <w:rFonts w:asciiTheme="minorHAnsi" w:hAnsiTheme="minorHAnsi" w:eastAsiaTheme="minorEastAsia" w:cstheme="minorBidi"/>
              <w:sz w:val="21"/>
            </w:rPr>
          </w:pPr>
          <w:r>
            <w:fldChar w:fldCharType="begin"/>
          </w:r>
          <w:r>
            <w:instrText xml:space="preserve"> HYPERLINK \l "_Toc43042560" </w:instrText>
          </w:r>
          <w:r>
            <w:fldChar w:fldCharType="separate"/>
          </w:r>
          <w:r>
            <w:rPr>
              <w:rStyle w:val="32"/>
              <w:rFonts w:eastAsia="方正小标宋_GBK"/>
            </w:rPr>
            <w:t>第九章保障措施</w:t>
          </w:r>
          <w:r>
            <w:tab/>
          </w:r>
          <w:r>
            <w:fldChar w:fldCharType="begin"/>
          </w:r>
          <w:r>
            <w:instrText xml:space="preserve"> PAGEREF _Toc43042560 \h </w:instrText>
          </w:r>
          <w:r>
            <w:fldChar w:fldCharType="separate"/>
          </w:r>
          <w:r>
            <w:t>47</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"_Toc43042561" </w:instrText>
          </w:r>
          <w:r>
            <w:fldChar w:fldCharType="separate"/>
          </w:r>
          <w:r>
            <w:rPr>
              <w:rStyle w:val="32"/>
              <w:rFonts w:eastAsia="方正黑体_GBK"/>
              <w:b/>
            </w:rPr>
            <w:t>9.1组织保障</w:t>
          </w:r>
          <w:r>
            <w:tab/>
          </w:r>
          <w:r>
            <w:fldChar w:fldCharType="begin"/>
          </w:r>
          <w:r>
            <w:instrText xml:space="preserve"> PAGEREF _Toc43042561 \h </w:instrText>
          </w:r>
          <w:r>
            <w:fldChar w:fldCharType="separate"/>
          </w:r>
          <w:r>
            <w:t>47</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"_Toc43042562" </w:instrText>
          </w:r>
          <w:r>
            <w:fldChar w:fldCharType="separate"/>
          </w:r>
          <w:r>
            <w:rPr>
              <w:rStyle w:val="32"/>
              <w:rFonts w:eastAsia="方正黑体_GBK"/>
              <w:b/>
            </w:rPr>
            <w:t>9.2资金保障</w:t>
          </w:r>
          <w:r>
            <w:tab/>
          </w:r>
          <w:r>
            <w:fldChar w:fldCharType="begin"/>
          </w:r>
          <w:r>
            <w:instrText xml:space="preserve"> PAGEREF _Toc43042562 \h </w:instrText>
          </w:r>
          <w:r>
            <w:fldChar w:fldCharType="separate"/>
          </w:r>
          <w:r>
            <w:t>47</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"_Toc43042563" </w:instrText>
          </w:r>
          <w:r>
            <w:fldChar w:fldCharType="separate"/>
          </w:r>
          <w:r>
            <w:rPr>
              <w:rStyle w:val="32"/>
              <w:rFonts w:eastAsia="方正黑体_GBK"/>
              <w:b/>
            </w:rPr>
            <w:t>9.3技术保障</w:t>
          </w:r>
          <w:r>
            <w:tab/>
          </w:r>
          <w:r>
            <w:fldChar w:fldCharType="begin"/>
          </w:r>
          <w:r>
            <w:instrText xml:space="preserve"> PAGEREF _Toc43042563 \h </w:instrText>
          </w:r>
          <w:r>
            <w:fldChar w:fldCharType="separate"/>
          </w:r>
          <w:r>
            <w:t>47</w:t>
          </w:r>
          <w:r>
            <w:fldChar w:fldCharType="end"/>
          </w:r>
          <w:r>
            <w:fldChar w:fldCharType="end"/>
          </w:r>
        </w:p>
        <w:p>
          <w:pPr>
            <w:pStyle w:val="21"/>
            <w:tabs>
              <w:tab w:val="right" w:leader="dot" w:pos="9734"/>
            </w:tabs>
            <w:ind w:left="560" w:firstLine="560"/>
            <w:rPr>
              <w:rFonts w:asciiTheme="minorHAnsi" w:hAnsiTheme="minorHAnsi" w:eastAsiaTheme="minorEastAsia" w:cstheme="minorBidi"/>
              <w:sz w:val="21"/>
            </w:rPr>
          </w:pPr>
          <w:r>
            <w:fldChar w:fldCharType="begin"/>
          </w:r>
          <w:r>
            <w:instrText xml:space="preserve"> HYPERLINK \l "_Toc43042564" </w:instrText>
          </w:r>
          <w:r>
            <w:fldChar w:fldCharType="separate"/>
          </w:r>
          <w:r>
            <w:rPr>
              <w:rStyle w:val="32"/>
              <w:rFonts w:eastAsia="方正黑体_GBK"/>
              <w:b/>
            </w:rPr>
            <w:t>9.4监管保障</w:t>
          </w:r>
          <w:r>
            <w:tab/>
          </w:r>
          <w:r>
            <w:fldChar w:fldCharType="begin"/>
          </w:r>
          <w:r>
            <w:instrText xml:space="preserve"> PAGEREF _Toc43042564 \h </w:instrText>
          </w:r>
          <w:r>
            <w:fldChar w:fldCharType="separate"/>
          </w:r>
          <w:r>
            <w:t>47</w:t>
          </w:r>
          <w:r>
            <w:fldChar w:fldCharType="end"/>
          </w:r>
          <w:r>
            <w:fldChar w:fldCharType="end"/>
          </w:r>
        </w:p>
        <w:p>
          <w:pPr>
            <w:ind w:firstLine="562"/>
          </w:pPr>
          <w:r>
            <w:rPr>
              <w:b/>
              <w:bCs/>
              <w:lang w:val="zh-CN"/>
            </w:rPr>
            <w:fldChar w:fldCharType="end"/>
          </w:r>
        </w:p>
      </w:sdtContent>
    </w:sdt>
    <w:p>
      <w:pPr>
        <w:pStyle w:val="2"/>
        <w:ind w:firstLine="199" w:firstLineChars="45"/>
        <w:jc w:val="both"/>
        <w:sectPr>
          <w:type w:val="continuous"/>
          <w:pgSz w:w="23814" w:h="16839" w:orient="landscape"/>
          <w:pgMar w:top="1440" w:right="1803" w:bottom="1440" w:left="1803" w:header="720" w:footer="720" w:gutter="0"/>
          <w:cols w:space="720" w:num="2"/>
          <w:docGrid w:linePitch="326" w:charSpace="0"/>
        </w:sectPr>
      </w:pPr>
    </w:p>
    <w:p>
      <w:pPr>
        <w:pStyle w:val="2"/>
        <w:ind w:firstLine="199" w:firstLineChars="45"/>
        <w:jc w:val="both"/>
      </w:pPr>
      <w:bookmarkStart w:id="0" w:name="_Toc43042484"/>
      <w:r>
        <w:t>第一章</w:t>
      </w:r>
      <w:r>
        <w:rPr>
          <w:rFonts w:hint="eastAsia"/>
        </w:rPr>
        <w:t>《规划》背景</w:t>
      </w:r>
      <w:bookmarkEnd w:id="0"/>
    </w:p>
    <w:p>
      <w:pPr>
        <w:pStyle w:val="3"/>
      </w:pPr>
      <w:bookmarkStart w:id="1" w:name="_Toc43042485"/>
      <w:r>
        <w:rPr>
          <w:rFonts w:hint="eastAsia"/>
        </w:rPr>
        <w:t>1.1 《规划》背景</w:t>
      </w:r>
      <w:bookmarkEnd w:id="1"/>
    </w:p>
    <w:p>
      <w:pPr>
        <w:pStyle w:val="4"/>
        <w:rPr>
          <w:szCs w:val="28"/>
        </w:rPr>
      </w:pPr>
      <w:bookmarkStart w:id="2" w:name="_Toc43042486"/>
      <w:r>
        <w:rPr>
          <w:szCs w:val="28"/>
        </w:rPr>
        <w:t>1.1.1全国层面——改善农村人居环境，实施乡村振兴战略</w:t>
      </w:r>
      <w:bookmarkEnd w:id="2"/>
    </w:p>
    <w:p>
      <w:pPr>
        <w:adjustRightInd w:val="0"/>
        <w:snapToGrid w:val="0"/>
        <w:ind w:firstLine="560"/>
        <w:rPr>
          <w:rFonts w:ascii="方正仿宋_GBK"/>
          <w:szCs w:val="28"/>
        </w:rPr>
      </w:pPr>
      <w:r>
        <w:rPr>
          <w:rFonts w:hint="eastAsia" w:ascii="方正仿宋_GBK"/>
          <w:szCs w:val="28"/>
        </w:rPr>
        <w:t>习近平同志指出，农业农村农民问题是关系国计民生的根本性问题，必须始终把解决好“三农”问题作为全党工作的重中之重，实施乡村振兴战略。2018年1月2日，国务院公布的《中共中央国务院关于实施乡村振兴战略的意见》指出，乡村振兴，生态宜居是关键，良好生态环境是农村最大优势和宝贵财富。要求以农村垃圾、污水治理和村容村貌提升为主攻方向，稳步有序推进农村人居环境突出问题治理。</w:t>
      </w:r>
    </w:p>
    <w:p>
      <w:pPr>
        <w:adjustRightInd w:val="0"/>
        <w:snapToGrid w:val="0"/>
        <w:ind w:firstLine="560"/>
        <w:rPr>
          <w:rFonts w:ascii="方正仿宋_GBK"/>
          <w:szCs w:val="28"/>
        </w:rPr>
      </w:pPr>
      <w:r>
        <w:rPr>
          <w:rFonts w:hint="eastAsia" w:ascii="方正仿宋_GBK"/>
          <w:szCs w:val="28"/>
        </w:rPr>
        <w:t>改善农村人居环境，建设美丽宜居乡村，是实施乡村振兴战略的一项重要任务，事关全面建成小康社会，事关广大农民根本福祉，事关农村社会文明和谐。我国农村人居环境状况很不平衡，脏乱差问题在一些地区还比较突出，与全面建成小康社会要求和农民群众期盼还有较大差距，仍然是经济社会发展的突出短板。为加快推进农村人居环境整治，进一步提升农村人居环境水平，2018年2月，中共中央办公厅、国务院办公厅印发了《农村人居环境整治三年行动方案》，其要求梯次推进农村生活污水治理，鼓励有条件的地区推行城乡垃圾污水处理统一规划、统一建设、统一运行、统一管理。</w:t>
      </w:r>
    </w:p>
    <w:p>
      <w:pPr>
        <w:adjustRightInd w:val="0"/>
        <w:snapToGrid w:val="0"/>
        <w:ind w:firstLine="560"/>
        <w:rPr>
          <w:rFonts w:ascii="方正仿宋_GBK"/>
          <w:szCs w:val="28"/>
        </w:rPr>
      </w:pPr>
      <w:r>
        <w:rPr>
          <w:rFonts w:hint="eastAsia" w:ascii="方正仿宋_GBK"/>
          <w:szCs w:val="28"/>
        </w:rPr>
        <w:t>2018年10月，中央农办、农业农村部印发《农村人居环境整治工作分工方案》，明确由生态环境部牵头负责推进农村生活污水治理工作。</w:t>
      </w:r>
    </w:p>
    <w:p>
      <w:pPr>
        <w:adjustRightInd w:val="0"/>
        <w:snapToGrid w:val="0"/>
        <w:ind w:firstLine="560"/>
        <w:rPr>
          <w:rFonts w:ascii="方正仿宋_GBK"/>
          <w:b/>
          <w:bCs/>
          <w:szCs w:val="28"/>
        </w:rPr>
      </w:pPr>
      <w:r>
        <w:rPr>
          <w:rFonts w:hint="eastAsia" w:ascii="方正仿宋_GBK"/>
          <w:szCs w:val="28"/>
        </w:rPr>
        <w:t>2018年11月，经国务院同意，生态环境部、农业农村部印发《农业农村污染治理攻坚战行动计划》，明确要求，以县级行政区域为单位，实行农村生活污水处理统一规划、统一建设、统一管理。国家生态环境部于2019年9月20日下发了《县域农村生活污水治理专项规划编制指南（试行）》，以指导各地以县级行政区域为单元，科学规划和统筹治理农村生活污水。</w:t>
      </w:r>
    </w:p>
    <w:p>
      <w:pPr>
        <w:pStyle w:val="4"/>
        <w:rPr>
          <w:szCs w:val="28"/>
        </w:rPr>
      </w:pPr>
      <w:bookmarkStart w:id="3" w:name="_Toc43042487"/>
      <w:r>
        <w:rPr>
          <w:szCs w:val="28"/>
        </w:rPr>
        <w:t>1.1.2省域层面——加强统筹规划，推进农村生活污水治理</w:t>
      </w:r>
      <w:bookmarkEnd w:id="3"/>
    </w:p>
    <w:p>
      <w:pPr>
        <w:adjustRightInd w:val="0"/>
        <w:snapToGrid w:val="0"/>
        <w:ind w:firstLine="560"/>
        <w:rPr>
          <w:rFonts w:ascii="方正仿宋_GBK"/>
          <w:szCs w:val="28"/>
        </w:rPr>
      </w:pPr>
      <w:r>
        <w:rPr>
          <w:rFonts w:hint="eastAsia" w:ascii="方正仿宋_GBK"/>
          <w:szCs w:val="28"/>
        </w:rPr>
        <w:t>针对农村生活污水治理，目前仅有河北、浙江、江苏等少数省份制定出台农村生活污水治理专项规划（方案）或指导性文件，浙江、江苏、安徽、四川、山东等省份开展县域农村生活污水治理规划试点工作。</w:t>
      </w:r>
    </w:p>
    <w:p>
      <w:pPr>
        <w:adjustRightInd w:val="0"/>
        <w:snapToGrid w:val="0"/>
        <w:ind w:firstLine="560"/>
        <w:rPr>
          <w:rFonts w:ascii="方正仿宋_GBK"/>
          <w:szCs w:val="28"/>
        </w:rPr>
      </w:pPr>
      <w:r>
        <w:rPr>
          <w:rFonts w:hint="eastAsia" w:ascii="方正仿宋_GBK"/>
          <w:szCs w:val="28"/>
        </w:rPr>
        <w:t>云南省农村生活污水问题引起了省委、省政府高度重视，相继</w:t>
      </w:r>
      <w:r>
        <w:rPr>
          <w:rFonts w:ascii="方正仿宋_GBK"/>
          <w:szCs w:val="28"/>
        </w:rPr>
        <w:t>在</w:t>
      </w:r>
      <w:r>
        <w:rPr>
          <w:rFonts w:hint="eastAsia" w:ascii="方正仿宋_GBK"/>
          <w:szCs w:val="28"/>
        </w:rPr>
        <w:t>2018年-</w:t>
      </w:r>
      <w:r>
        <w:rPr>
          <w:rFonts w:ascii="方正仿宋_GBK"/>
          <w:szCs w:val="28"/>
        </w:rPr>
        <w:t>2019</w:t>
      </w:r>
      <w:r>
        <w:rPr>
          <w:rFonts w:hint="eastAsia" w:ascii="方正仿宋_GBK"/>
          <w:szCs w:val="28"/>
        </w:rPr>
        <w:t>年制定并印发</w:t>
      </w:r>
      <w:r>
        <w:rPr>
          <w:rFonts w:ascii="方正仿宋_GBK"/>
          <w:szCs w:val="28"/>
        </w:rPr>
        <w:t>了</w:t>
      </w:r>
      <w:r>
        <w:rPr>
          <w:rFonts w:hint="eastAsia" w:ascii="方正仿宋_GBK"/>
          <w:szCs w:val="28"/>
        </w:rPr>
        <w:t>《云南省</w:t>
      </w:r>
      <w:r>
        <w:rPr>
          <w:rFonts w:ascii="方正仿宋_GBK"/>
          <w:szCs w:val="28"/>
        </w:rPr>
        <w:t>农村人居环境</w:t>
      </w:r>
      <w:r>
        <w:rPr>
          <w:rFonts w:hint="eastAsia" w:ascii="方正仿宋_GBK"/>
          <w:szCs w:val="28"/>
        </w:rPr>
        <w:t>整治三年</w:t>
      </w:r>
      <w:r>
        <w:rPr>
          <w:rFonts w:ascii="方正仿宋_GBK"/>
          <w:szCs w:val="28"/>
        </w:rPr>
        <w:t>行动</w:t>
      </w:r>
      <w:r>
        <w:rPr>
          <w:rFonts w:hint="eastAsia" w:ascii="方正仿宋_GBK"/>
          <w:szCs w:val="28"/>
        </w:rPr>
        <w:t>实施</w:t>
      </w:r>
      <w:r>
        <w:rPr>
          <w:rFonts w:ascii="方正仿宋_GBK"/>
          <w:szCs w:val="28"/>
        </w:rPr>
        <w:t>方案（</w:t>
      </w:r>
      <w:r>
        <w:rPr>
          <w:rFonts w:hint="eastAsia" w:ascii="方正仿宋_GBK"/>
          <w:szCs w:val="28"/>
        </w:rPr>
        <w:t>2018-2020年</w:t>
      </w:r>
      <w:r>
        <w:rPr>
          <w:rFonts w:ascii="方正仿宋_GBK"/>
          <w:szCs w:val="28"/>
        </w:rPr>
        <w:t>）</w:t>
      </w:r>
      <w:r>
        <w:rPr>
          <w:rFonts w:hint="eastAsia" w:ascii="方正仿宋_GBK"/>
          <w:szCs w:val="28"/>
        </w:rPr>
        <w:t>》（云办发〔2018〕15号）、《云南省</w:t>
      </w:r>
      <w:r>
        <w:rPr>
          <w:rFonts w:ascii="方正仿宋_GBK"/>
          <w:szCs w:val="28"/>
        </w:rPr>
        <w:t>农</w:t>
      </w:r>
      <w:r>
        <w:rPr>
          <w:rFonts w:hint="eastAsia" w:ascii="方正仿宋_GBK"/>
          <w:szCs w:val="28"/>
        </w:rPr>
        <w:t>业</w:t>
      </w:r>
      <w:r>
        <w:rPr>
          <w:rFonts w:ascii="方正仿宋_GBK"/>
          <w:szCs w:val="28"/>
        </w:rPr>
        <w:t>农村</w:t>
      </w:r>
      <w:r>
        <w:rPr>
          <w:rFonts w:hint="eastAsia" w:ascii="方正仿宋_GBK"/>
          <w:szCs w:val="28"/>
        </w:rPr>
        <w:t>污染</w:t>
      </w:r>
      <w:r>
        <w:rPr>
          <w:rFonts w:ascii="方正仿宋_GBK"/>
          <w:szCs w:val="28"/>
        </w:rPr>
        <w:t>治理</w:t>
      </w:r>
      <w:r>
        <w:rPr>
          <w:rFonts w:hint="eastAsia" w:ascii="方正仿宋_GBK"/>
          <w:szCs w:val="28"/>
        </w:rPr>
        <w:t>攻坚</w:t>
      </w:r>
      <w:r>
        <w:rPr>
          <w:rFonts w:ascii="方正仿宋_GBK"/>
          <w:szCs w:val="28"/>
        </w:rPr>
        <w:t>作战方案</w:t>
      </w:r>
      <w:r>
        <w:rPr>
          <w:rFonts w:hint="eastAsia" w:ascii="方正仿宋_GBK"/>
          <w:szCs w:val="28"/>
        </w:rPr>
        <w:t>》（云环发〔2018〕44号）、《关于进一步加强农业农村生态环境工作的指导意见》（环办土壤〔2019〕24号）等</w:t>
      </w:r>
      <w:r>
        <w:rPr>
          <w:rFonts w:ascii="方正仿宋_GBK"/>
          <w:szCs w:val="28"/>
        </w:rPr>
        <w:t>。</w:t>
      </w:r>
      <w:r>
        <w:rPr>
          <w:rFonts w:hint="eastAsia" w:ascii="方正仿宋_GBK"/>
          <w:szCs w:val="28"/>
        </w:rPr>
        <w:t>同时</w:t>
      </w:r>
      <w:r>
        <w:rPr>
          <w:rFonts w:ascii="方正仿宋_GBK"/>
          <w:szCs w:val="28"/>
        </w:rPr>
        <w:t>云南省</w:t>
      </w:r>
      <w:r>
        <w:rPr>
          <w:rFonts w:hint="eastAsia" w:ascii="方正仿宋_GBK"/>
          <w:szCs w:val="28"/>
        </w:rPr>
        <w:t>在九大高原湖泊流域、饮用水源地保护区、重点治理河流径流区、重点建设村落等范围内开展了大量农村生活污水治理工作。处理设施建设方面，2008-2016年，云南省全省农村环境综合整治专项资金在污水治理上投入费用为76582万元（2008-2016年投入资金148233万元），资金占比约51.7%。新建及修缮农村生活污水收集管沟约2002公里，建成农村生活污水处理设施3259座，处理能力59555吨/天。设施运行管理方面，截至2016年，云南省全省共建成的农村生活污水处理设施3259座，正常运行的有2121座，占设施总数的65%。全省农村生活污水收集处理设施每年需要运行经费共计约1330.87万元，其中农村污水收集设施年运行费用约600.8万元，农村生活污水处理设施年运行经费约730.07万元。</w:t>
      </w:r>
    </w:p>
    <w:p>
      <w:pPr>
        <w:adjustRightInd w:val="0"/>
        <w:snapToGrid w:val="0"/>
        <w:ind w:firstLine="560"/>
        <w:rPr>
          <w:rFonts w:ascii="方正仿宋_GBK"/>
          <w:szCs w:val="28"/>
        </w:rPr>
      </w:pPr>
      <w:r>
        <w:rPr>
          <w:rFonts w:hint="eastAsia" w:ascii="方正仿宋_GBK"/>
          <w:szCs w:val="28"/>
        </w:rPr>
        <w:t>虽然云南省农村生活污水治理已有一定工作及经验积累，但总体来看，云南省全省农村生活污水治理工作依然基础薄弱，缺乏统筹规划，治理理念和工作思路不够清晰，亟待落实县级主体责任，从规划布局、治理模式、技术工艺、管理机制上加强指导。</w:t>
      </w:r>
    </w:p>
    <w:p>
      <w:pPr>
        <w:adjustRightInd w:val="0"/>
        <w:snapToGrid w:val="0"/>
        <w:ind w:firstLine="560"/>
        <w:rPr>
          <w:rFonts w:ascii="方正仿宋_GBK"/>
          <w:szCs w:val="28"/>
        </w:rPr>
      </w:pPr>
      <w:r>
        <w:rPr>
          <w:rFonts w:hint="eastAsia" w:ascii="方正仿宋_GBK"/>
          <w:szCs w:val="28"/>
        </w:rPr>
        <w:t>为贯彻落实党中央、国务院对农村生活污水治理决策部署，落实县级政府治理农村生活污水的主体责任，云南省编制和实施《县域农村生活污水治理专项规划》（以下简称《专项规划》），具有重大意义，与生态环境部相呼应，云南省生态环境厅根据本省农村污水</w:t>
      </w:r>
      <w:r>
        <w:rPr>
          <w:rFonts w:ascii="方正仿宋_GBK"/>
          <w:szCs w:val="28"/>
        </w:rPr>
        <w:t>排放及污染特点</w:t>
      </w:r>
      <w:r>
        <w:rPr>
          <w:rFonts w:hint="eastAsia" w:ascii="方正仿宋_GBK"/>
          <w:szCs w:val="28"/>
        </w:rPr>
        <w:t>，组织</w:t>
      </w:r>
      <w:r>
        <w:rPr>
          <w:rFonts w:ascii="方正仿宋_GBK"/>
          <w:szCs w:val="28"/>
        </w:rPr>
        <w:t>云南省生态环境科学研究院起早了</w:t>
      </w:r>
      <w:r>
        <w:rPr>
          <w:rFonts w:hint="eastAsia" w:ascii="方正仿宋_GBK"/>
          <w:szCs w:val="28"/>
        </w:rPr>
        <w:t>《云南省农村生活污水处理设施水污染物排放标准》（DB53/T 953-2019）。同时</w:t>
      </w:r>
      <w:r>
        <w:rPr>
          <w:rFonts w:ascii="方正仿宋_GBK"/>
          <w:szCs w:val="28"/>
        </w:rPr>
        <w:t>为了规范和</w:t>
      </w:r>
      <w:r>
        <w:rPr>
          <w:rFonts w:hint="eastAsia" w:ascii="方正仿宋_GBK"/>
          <w:szCs w:val="28"/>
        </w:rPr>
        <w:t>指导</w:t>
      </w:r>
      <w:r>
        <w:rPr>
          <w:rFonts w:ascii="方正仿宋_GBK"/>
          <w:szCs w:val="28"/>
        </w:rPr>
        <w:t>《</w:t>
      </w:r>
      <w:r>
        <w:rPr>
          <w:rFonts w:hint="eastAsia" w:ascii="方正仿宋_GBK"/>
          <w:szCs w:val="28"/>
        </w:rPr>
        <w:t>专项</w:t>
      </w:r>
      <w:r>
        <w:rPr>
          <w:rFonts w:ascii="方正仿宋_GBK"/>
          <w:szCs w:val="28"/>
        </w:rPr>
        <w:t>规划》</w:t>
      </w:r>
      <w:r>
        <w:rPr>
          <w:rFonts w:hint="eastAsia" w:ascii="方正仿宋_GBK"/>
          <w:szCs w:val="28"/>
        </w:rPr>
        <w:t>工作，编制了《云南省县域农村生活污水治理专项规划编制指南（试行）》和《云南省农村生活污水治理模式及技术指南》（试行），并下发各地州、各县。《专项规划》的编制利于云南省省域层面加强统筹规划，推进云南省全省农村生活污水治理工作。</w:t>
      </w:r>
    </w:p>
    <w:p>
      <w:pPr>
        <w:pStyle w:val="4"/>
        <w:rPr>
          <w:szCs w:val="28"/>
        </w:rPr>
      </w:pPr>
      <w:bookmarkStart w:id="4" w:name="_Toc43042488"/>
      <w:r>
        <w:rPr>
          <w:szCs w:val="28"/>
        </w:rPr>
        <w:t>1.1.3县域层面——加强水环境保护，</w:t>
      </w:r>
      <w:r>
        <w:rPr>
          <w:rFonts w:hint="eastAsia"/>
          <w:szCs w:val="28"/>
        </w:rPr>
        <w:t>建设生态晋宁</w:t>
      </w:r>
      <w:bookmarkEnd w:id="4"/>
    </w:p>
    <w:p>
      <w:pPr>
        <w:adjustRightInd w:val="0"/>
        <w:snapToGrid w:val="0"/>
        <w:ind w:firstLine="560"/>
        <w:rPr>
          <w:rFonts w:ascii="方正仿宋_GBK"/>
          <w:szCs w:val="28"/>
        </w:rPr>
      </w:pPr>
      <w:r>
        <w:rPr>
          <w:rFonts w:hint="eastAsia" w:ascii="方正仿宋_GBK"/>
          <w:szCs w:val="28"/>
        </w:rPr>
        <w:t>晋宁区深入</w:t>
      </w:r>
      <w:r>
        <w:rPr>
          <w:rFonts w:ascii="方正仿宋_GBK"/>
          <w:szCs w:val="28"/>
        </w:rPr>
        <w:t>实施</w:t>
      </w:r>
      <w:r>
        <w:rPr>
          <w:rFonts w:hint="eastAsia" w:ascii="方正仿宋_GBK"/>
          <w:szCs w:val="28"/>
        </w:rPr>
        <w:t>“百村示范</w:t>
      </w:r>
      <w:r>
        <w:rPr>
          <w:rFonts w:ascii="方正仿宋_GBK"/>
          <w:szCs w:val="28"/>
        </w:rPr>
        <w:t>、</w:t>
      </w:r>
      <w:r>
        <w:rPr>
          <w:rFonts w:hint="eastAsia" w:ascii="方正仿宋_GBK"/>
          <w:szCs w:val="28"/>
        </w:rPr>
        <w:t>千村整治”工程，</w:t>
      </w:r>
      <w:r>
        <w:rPr>
          <w:rFonts w:ascii="方正仿宋_GBK"/>
          <w:szCs w:val="28"/>
        </w:rPr>
        <w:t>全面</w:t>
      </w:r>
      <w:r>
        <w:rPr>
          <w:rFonts w:hint="eastAsia" w:ascii="方正仿宋_GBK"/>
          <w:szCs w:val="28"/>
        </w:rPr>
        <w:t>推进</w:t>
      </w:r>
      <w:r>
        <w:rPr>
          <w:rFonts w:ascii="方正仿宋_GBK"/>
          <w:szCs w:val="28"/>
        </w:rPr>
        <w:t>乡村振兴，</w:t>
      </w:r>
      <w:r>
        <w:rPr>
          <w:rFonts w:hint="eastAsia" w:ascii="方正仿宋_GBK"/>
          <w:szCs w:val="28"/>
        </w:rPr>
        <w:t>围绕</w:t>
      </w:r>
      <w:r>
        <w:rPr>
          <w:rFonts w:ascii="方正仿宋_GBK"/>
          <w:szCs w:val="28"/>
        </w:rPr>
        <w:t>规划先行</w:t>
      </w:r>
      <w:r>
        <w:rPr>
          <w:rFonts w:hint="eastAsia" w:ascii="方正仿宋_GBK"/>
          <w:szCs w:val="28"/>
        </w:rPr>
        <w:t>、</w:t>
      </w:r>
      <w:r>
        <w:rPr>
          <w:rFonts w:ascii="方正仿宋_GBK"/>
          <w:szCs w:val="28"/>
        </w:rPr>
        <w:t>因地制宜、示范带动、以民为主的原则，持续改善农村人居环境。</w:t>
      </w:r>
      <w:r>
        <w:rPr>
          <w:rFonts w:hint="eastAsia" w:ascii="方正仿宋_GBK"/>
          <w:szCs w:val="28"/>
        </w:rPr>
        <w:t>晋宁区深入贯彻《云南省农村人居环境整治三年行动实施方案（2018—2020年）》（云办发〔2018〕15号）、昆明市农村“七改三清”办印发的《昆明市农村人居环境百村示范千村整治全域提升三年行动实施办法（2018—2020年）》精神，先后出台</w:t>
      </w:r>
      <w:r>
        <w:rPr>
          <w:rFonts w:ascii="方正仿宋_GBK"/>
          <w:szCs w:val="28"/>
        </w:rPr>
        <w:t>了</w:t>
      </w:r>
      <w:r>
        <w:rPr>
          <w:rFonts w:hint="eastAsia" w:ascii="方正仿宋_GBK"/>
          <w:szCs w:val="28"/>
        </w:rPr>
        <w:t>《晋宁区农村人居环境全域提升三年行动实施细则（2018-2020年）》、《昆明市晋宁区打赢碧水保卫战三年行动实施方案》、《昆明市晋宁区打赢蓝天保卫战三年行动实施方案》、《昆明市晋宁区打赢净土保卫战三年行动实施方案》、《昆明市晋宁区农村“厕所革命”实施方案（2019-2020年）》</w:t>
      </w:r>
      <w:r>
        <w:rPr>
          <w:rFonts w:ascii="方正仿宋_GBK"/>
          <w:szCs w:val="28"/>
        </w:rPr>
        <w:t>。围绕环境整治</w:t>
      </w:r>
      <w:r>
        <w:rPr>
          <w:rFonts w:hint="eastAsia" w:ascii="方正仿宋_GBK"/>
          <w:szCs w:val="28"/>
        </w:rPr>
        <w:t>，</w:t>
      </w:r>
      <w:r>
        <w:rPr>
          <w:rFonts w:ascii="方正仿宋_GBK"/>
          <w:szCs w:val="28"/>
        </w:rPr>
        <w:t>结合生态宜居美丽乡村家园建设和传统村落保护，</w:t>
      </w:r>
      <w:r>
        <w:rPr>
          <w:rFonts w:hint="eastAsia" w:ascii="方正仿宋_GBK"/>
          <w:szCs w:val="28"/>
        </w:rPr>
        <w:t>优先</w:t>
      </w:r>
      <w:r>
        <w:rPr>
          <w:rFonts w:ascii="方正仿宋_GBK"/>
          <w:szCs w:val="28"/>
        </w:rPr>
        <w:t>选择区位优势、交通便利、</w:t>
      </w:r>
      <w:r>
        <w:rPr>
          <w:rFonts w:hint="eastAsia" w:ascii="方正仿宋_GBK"/>
          <w:szCs w:val="28"/>
        </w:rPr>
        <w:t>历史文化名村、</w:t>
      </w:r>
      <w:r>
        <w:rPr>
          <w:rFonts w:ascii="方正仿宋_GBK"/>
          <w:szCs w:val="28"/>
        </w:rPr>
        <w:t>有</w:t>
      </w:r>
      <w:r>
        <w:rPr>
          <w:rFonts w:hint="eastAsia" w:ascii="方正仿宋_GBK"/>
          <w:szCs w:val="28"/>
        </w:rPr>
        <w:t>鲜明特色</w:t>
      </w:r>
      <w:r>
        <w:rPr>
          <w:rFonts w:ascii="方正仿宋_GBK"/>
          <w:szCs w:val="28"/>
        </w:rPr>
        <w:t>，有发展基础的贫困村开展乡村旅游扶贫。按照</w:t>
      </w:r>
      <w:r>
        <w:rPr>
          <w:rFonts w:hint="eastAsia" w:ascii="方正仿宋_GBK"/>
          <w:szCs w:val="28"/>
        </w:rPr>
        <w:t>“统筹规划</w:t>
      </w:r>
      <w:r>
        <w:rPr>
          <w:rFonts w:ascii="方正仿宋_GBK"/>
          <w:szCs w:val="28"/>
        </w:rPr>
        <w:t>、分类指导</w:t>
      </w:r>
      <w:r>
        <w:rPr>
          <w:rFonts w:hint="eastAsia" w:ascii="方正仿宋_GBK"/>
          <w:szCs w:val="28"/>
        </w:rPr>
        <w:t>，政府主导</w:t>
      </w:r>
      <w:r>
        <w:rPr>
          <w:rFonts w:ascii="方正仿宋_GBK"/>
          <w:szCs w:val="28"/>
        </w:rPr>
        <w:t>、群众主体</w:t>
      </w:r>
      <w:r>
        <w:rPr>
          <w:rFonts w:hint="eastAsia" w:ascii="方正仿宋_GBK"/>
          <w:szCs w:val="28"/>
        </w:rPr>
        <w:t>，</w:t>
      </w:r>
      <w:r>
        <w:rPr>
          <w:rFonts w:ascii="方正仿宋_GBK"/>
          <w:szCs w:val="28"/>
        </w:rPr>
        <w:t>注重保护</w:t>
      </w:r>
      <w:r>
        <w:rPr>
          <w:rFonts w:hint="eastAsia" w:ascii="方正仿宋_GBK"/>
          <w:szCs w:val="28"/>
        </w:rPr>
        <w:t>、</w:t>
      </w:r>
      <w:r>
        <w:rPr>
          <w:rFonts w:ascii="方正仿宋_GBK"/>
          <w:szCs w:val="28"/>
        </w:rPr>
        <w:t>留住乡愁</w:t>
      </w:r>
      <w:r>
        <w:rPr>
          <w:rFonts w:hint="eastAsia" w:ascii="方正仿宋_GBK"/>
          <w:szCs w:val="28"/>
        </w:rPr>
        <w:t>，建管</w:t>
      </w:r>
      <w:r>
        <w:rPr>
          <w:rFonts w:ascii="方正仿宋_GBK"/>
          <w:szCs w:val="28"/>
        </w:rPr>
        <w:t>并重</w:t>
      </w:r>
      <w:r>
        <w:rPr>
          <w:rFonts w:hint="eastAsia" w:ascii="方正仿宋_GBK"/>
          <w:szCs w:val="28"/>
        </w:rPr>
        <w:t>、</w:t>
      </w:r>
      <w:r>
        <w:rPr>
          <w:rFonts w:ascii="方正仿宋_GBK"/>
          <w:szCs w:val="28"/>
        </w:rPr>
        <w:t>长效治理</w:t>
      </w:r>
      <w:r>
        <w:rPr>
          <w:rFonts w:hint="eastAsia" w:ascii="方正仿宋_GBK"/>
          <w:szCs w:val="28"/>
        </w:rPr>
        <w:t>”的</w:t>
      </w:r>
      <w:r>
        <w:rPr>
          <w:rFonts w:ascii="方正仿宋_GBK"/>
          <w:szCs w:val="28"/>
        </w:rPr>
        <w:t>原则，坚持问题导向</w:t>
      </w:r>
      <w:r>
        <w:rPr>
          <w:rFonts w:hint="eastAsia" w:ascii="方正仿宋_GBK"/>
          <w:szCs w:val="28"/>
        </w:rPr>
        <w:t>，划分美丽宜居型、提升改善型、干净整洁型、旅游特色型、民族团结型、搬迁安置型等不同类型村庄，通过示范引领、抓点促面，分步实施、分类推进，加快实现全区人居环境提升。</w:t>
      </w:r>
    </w:p>
    <w:p>
      <w:pPr>
        <w:adjustRightInd w:val="0"/>
        <w:snapToGrid w:val="0"/>
        <w:ind w:firstLine="560"/>
        <w:rPr>
          <w:rFonts w:ascii="方正仿宋_GBK"/>
          <w:szCs w:val="28"/>
        </w:rPr>
      </w:pPr>
      <w:r>
        <w:rPr>
          <w:rFonts w:hint="eastAsia" w:ascii="方正仿宋_GBK"/>
          <w:szCs w:val="28"/>
        </w:rPr>
        <w:t>本规划拟通过晋宁区生活污水处理设施的建设、完善和长效管理，对晋宁区生态建设和环境保护提出了严格的要求，加强晋宁区水环境保护，保障资源可持续。</w:t>
      </w:r>
    </w:p>
    <w:p>
      <w:pPr>
        <w:pStyle w:val="3"/>
      </w:pPr>
      <w:bookmarkStart w:id="5" w:name="_Toc43042489"/>
      <w:r>
        <w:rPr>
          <w:rFonts w:hint="eastAsia"/>
        </w:rPr>
        <w:t>1.2 《规划》范围</w:t>
      </w:r>
      <w:bookmarkEnd w:id="5"/>
    </w:p>
    <w:p>
      <w:pPr>
        <w:ind w:firstLine="560"/>
      </w:pPr>
      <w:r>
        <w:rPr>
          <w:rFonts w:hint="eastAsia"/>
        </w:rPr>
        <w:t>《晋宁区农村生活污水治理专项规划》的规划范围为晋宁区</w:t>
      </w:r>
      <w:r>
        <w:rPr>
          <w:rFonts w:hint="eastAsia"/>
          <w:szCs w:val="28"/>
        </w:rPr>
        <w:t>全区范围内的村庄</w:t>
      </w:r>
      <w:r>
        <w:rPr>
          <w:rFonts w:hint="eastAsia"/>
        </w:rPr>
        <w:t>，主要包括</w:t>
      </w:r>
      <w:r>
        <w:t>2</w:t>
      </w:r>
      <w:r>
        <w:rPr>
          <w:rFonts w:hint="eastAsia"/>
        </w:rPr>
        <w:t>个街道办事处（昆阳街道办事处、宝峰街道办事处）、</w:t>
      </w:r>
      <w:r>
        <w:t>4</w:t>
      </w:r>
      <w:r>
        <w:rPr>
          <w:rFonts w:hint="eastAsia"/>
        </w:rPr>
        <w:t>个镇（晋城镇、二街镇、上蒜镇、六街镇）、</w:t>
      </w:r>
      <w:r>
        <w:t>2</w:t>
      </w:r>
      <w:r>
        <w:rPr>
          <w:rFonts w:hint="eastAsia"/>
        </w:rPr>
        <w:t>个乡（双河彝族乡、夕阳彝族乡），区域内共计</w:t>
      </w:r>
      <w:r>
        <w:t>125</w:t>
      </w:r>
      <w:r>
        <w:rPr>
          <w:rFonts w:hint="eastAsia"/>
        </w:rPr>
        <w:t>个村委会、</w:t>
      </w:r>
      <w:r>
        <w:t>494</w:t>
      </w:r>
      <w:r>
        <w:rPr>
          <w:rFonts w:hint="eastAsia"/>
        </w:rPr>
        <w:t>个自然村，国土面积共计</w:t>
      </w:r>
      <w:r>
        <w:t>1336.66</w:t>
      </w:r>
      <w:r>
        <w:rPr>
          <w:rFonts w:hint="eastAsia"/>
        </w:rPr>
        <w:t>平方公里。</w:t>
      </w:r>
    </w:p>
    <w:p>
      <w:pPr>
        <w:pStyle w:val="3"/>
      </w:pPr>
      <w:bookmarkStart w:id="6" w:name="_Toc43042490"/>
      <w:r>
        <w:rPr>
          <w:rFonts w:hint="eastAsia"/>
        </w:rPr>
        <w:t>1.3区域概况</w:t>
      </w:r>
      <w:bookmarkEnd w:id="6"/>
    </w:p>
    <w:p>
      <w:pPr>
        <w:pStyle w:val="4"/>
      </w:pPr>
      <w:bookmarkStart w:id="7" w:name="_Toc43042491"/>
      <w:r>
        <w:rPr>
          <w:rFonts w:hint="eastAsia"/>
        </w:rPr>
        <w:t>1.3.1 自然概况</w:t>
      </w:r>
      <w:bookmarkEnd w:id="7"/>
    </w:p>
    <w:p>
      <w:pPr>
        <w:pStyle w:val="5"/>
      </w:pPr>
      <w:r>
        <w:rPr>
          <w:rFonts w:hint="eastAsia"/>
        </w:rPr>
        <w:t>1.3.1.1 地理位置</w:t>
      </w:r>
    </w:p>
    <w:p>
      <w:pPr>
        <w:ind w:firstLine="560"/>
      </w:pPr>
      <w:r>
        <w:rPr>
          <w:rFonts w:hint="eastAsia"/>
        </w:rPr>
        <w:t>晋宁区位于云南省中部，是昆明市五区一市八县之一，县城设于昆阳镇，距省会昆明</w:t>
      </w:r>
      <w:r>
        <w:t>60</w:t>
      </w:r>
      <w:r>
        <w:rPr>
          <w:rFonts w:hint="eastAsia"/>
        </w:rPr>
        <w:t>千米。县境狭长，东西向横跨</w:t>
      </w:r>
      <w:r>
        <w:t>66</w:t>
      </w:r>
      <w:r>
        <w:rPr>
          <w:rFonts w:hint="eastAsia"/>
        </w:rPr>
        <w:t>公里，南北向纵距</w:t>
      </w:r>
      <w:r>
        <w:t>33</w:t>
      </w:r>
      <w:r>
        <w:rPr>
          <w:rFonts w:hint="eastAsia"/>
        </w:rPr>
        <w:t>公里，幅员</w:t>
      </w:r>
      <w:r>
        <w:t>1321.58</w:t>
      </w:r>
      <w:r>
        <w:rPr>
          <w:rFonts w:hint="eastAsia"/>
        </w:rPr>
        <w:t>平方公里。地理范围为东经</w:t>
      </w:r>
      <w:r>
        <w:t>102</w:t>
      </w:r>
      <w:r>
        <w:rPr>
          <w:rFonts w:hint="eastAsia"/>
        </w:rPr>
        <w:t>°</w:t>
      </w:r>
      <w:r>
        <w:t>12</w:t>
      </w:r>
      <w:r>
        <w:rPr>
          <w:rFonts w:hint="eastAsia"/>
        </w:rPr>
        <w:t>′至</w:t>
      </w:r>
      <w:r>
        <w:t>102</w:t>
      </w:r>
      <w:r>
        <w:rPr>
          <w:rFonts w:hint="eastAsia"/>
        </w:rPr>
        <w:t>°</w:t>
      </w:r>
      <w:r>
        <w:t>52</w:t>
      </w:r>
      <w:r>
        <w:rPr>
          <w:rFonts w:hint="eastAsia"/>
        </w:rPr>
        <w:t>′，北纬</w:t>
      </w:r>
      <w:r>
        <w:t>24</w:t>
      </w:r>
      <w:r>
        <w:rPr>
          <w:rFonts w:hint="eastAsia"/>
        </w:rPr>
        <w:t>°</w:t>
      </w:r>
      <w:r>
        <w:t>23</w:t>
      </w:r>
      <w:r>
        <w:rPr>
          <w:rFonts w:hint="eastAsia"/>
        </w:rPr>
        <w:t>′至</w:t>
      </w:r>
      <w:r>
        <w:t>24</w:t>
      </w:r>
      <w:r>
        <w:rPr>
          <w:rFonts w:hint="eastAsia"/>
        </w:rPr>
        <w:t>°</w:t>
      </w:r>
      <w:r>
        <w:t>48</w:t>
      </w:r>
      <w:r>
        <w:rPr>
          <w:rFonts w:hint="eastAsia"/>
        </w:rPr>
        <w:t>′之间。县域东邻澄江县，南连玉溪市及江川县，西接安宁市，峨山县及易门县，北交昆明市西山区和呈贡县。</w:t>
      </w:r>
    </w:p>
    <w:p>
      <w:pPr>
        <w:pStyle w:val="5"/>
      </w:pPr>
      <w:r>
        <w:rPr>
          <w:rFonts w:hint="eastAsia"/>
        </w:rPr>
        <w:t>1.3.1.2 地形地貌、地质</w:t>
      </w:r>
    </w:p>
    <w:p>
      <w:pPr>
        <w:ind w:firstLine="560"/>
        <w:rPr>
          <w:rFonts w:eastAsiaTheme="minorEastAsia"/>
          <w:szCs w:val="24"/>
        </w:rPr>
      </w:pPr>
      <w:r>
        <w:rPr>
          <w:rFonts w:hAnsiTheme="minorEastAsia" w:eastAsiaTheme="minorEastAsia"/>
          <w:szCs w:val="24"/>
        </w:rPr>
        <w:t>晋宁区地处滇中高原的浅切割中山地带，县内地面总体起伏和缓，三面环山，北临滇池。地势南高北低，呈波峰谷形向滇池倾斜。由于受新生代造山运动的影响，大小断层和褶皱随之而生，因此晋宁区山地、湖泊相间分布。最高处为东南部大梁子山，海拔</w:t>
      </w:r>
      <w:r>
        <w:rPr>
          <w:rFonts w:eastAsiaTheme="minorEastAsia"/>
          <w:szCs w:val="24"/>
        </w:rPr>
        <w:t>2648m</w:t>
      </w:r>
      <w:r>
        <w:rPr>
          <w:rFonts w:hAnsiTheme="minorEastAsia" w:eastAsiaTheme="minorEastAsia"/>
          <w:szCs w:val="24"/>
        </w:rPr>
        <w:t>，中部滇池沿岸为湖滨盆地，海拔</w:t>
      </w:r>
      <w:r>
        <w:rPr>
          <w:rFonts w:eastAsiaTheme="minorEastAsia"/>
          <w:szCs w:val="24"/>
        </w:rPr>
        <w:t>1888m</w:t>
      </w:r>
      <w:r>
        <w:rPr>
          <w:rFonts w:hAnsiTheme="minorEastAsia" w:eastAsiaTheme="minorEastAsia"/>
          <w:szCs w:val="24"/>
        </w:rPr>
        <w:t>；西部的小石板河最低，海拔为</w:t>
      </w:r>
      <w:r>
        <w:rPr>
          <w:rFonts w:eastAsiaTheme="minorEastAsia"/>
          <w:szCs w:val="24"/>
        </w:rPr>
        <w:t>1340m</w:t>
      </w:r>
      <w:r>
        <w:rPr>
          <w:rFonts w:hAnsiTheme="minorEastAsia" w:eastAsiaTheme="minorEastAsia"/>
          <w:szCs w:val="24"/>
        </w:rPr>
        <w:t>。全县系乌蒙山脉支系。县境由盆地、丘陵地、山地、中山峡谷四种地貌组成，坝子约占全县总面积的</w:t>
      </w:r>
      <w:r>
        <w:rPr>
          <w:rFonts w:eastAsiaTheme="minorEastAsia"/>
          <w:szCs w:val="24"/>
        </w:rPr>
        <w:t>30%</w:t>
      </w:r>
      <w:r>
        <w:rPr>
          <w:rFonts w:hAnsiTheme="minorEastAsia" w:eastAsiaTheme="minorEastAsia"/>
          <w:szCs w:val="24"/>
        </w:rPr>
        <w:t>。在坝区，有滇池水面</w:t>
      </w:r>
      <w:r>
        <w:rPr>
          <w:rFonts w:eastAsiaTheme="minorEastAsia"/>
          <w:szCs w:val="24"/>
        </w:rPr>
        <w:t>96.18</w:t>
      </w:r>
      <w:r>
        <w:rPr>
          <w:rFonts w:hAnsiTheme="minorEastAsia" w:eastAsiaTheme="minorEastAsia"/>
          <w:szCs w:val="24"/>
        </w:rPr>
        <w:t>平方公里，湖岸线</w:t>
      </w:r>
      <w:r>
        <w:rPr>
          <w:rFonts w:eastAsiaTheme="minorEastAsia"/>
          <w:szCs w:val="24"/>
        </w:rPr>
        <w:t>47</w:t>
      </w:r>
      <w:r>
        <w:rPr>
          <w:rFonts w:hAnsiTheme="minorEastAsia" w:eastAsiaTheme="minorEastAsia"/>
          <w:szCs w:val="24"/>
        </w:rPr>
        <w:t>公里。</w:t>
      </w:r>
    </w:p>
    <w:p>
      <w:pPr>
        <w:ind w:firstLine="560"/>
      </w:pPr>
      <w:r>
        <w:t>（1）湖滨盆地。分布于晋城、昆阳，形成“V”字形的山麓冲积扇。海拔1891—1920m，地势平坦，土层深厚，水利条件好，是全区粮食作物的主产区。</w:t>
      </w:r>
    </w:p>
    <w:p>
      <w:pPr>
        <w:ind w:firstLine="560"/>
      </w:pPr>
      <w:r>
        <w:t>（2）丘陵地。主要分布于宝峰、二街、上蒜。地势平缓区，是粮食和烤烟产区。</w:t>
      </w:r>
    </w:p>
    <w:p>
      <w:pPr>
        <w:ind w:firstLine="560"/>
      </w:pPr>
      <w:r>
        <w:t>（3）山地。分布于夕阳乡、双河乡、二街镇、六街镇和晋城镇、上蒜镇一带，是县内主要水库分布区，大河水库、柴河水库和双龙水库分布其中，也是晋宁区主要林区之一。</w:t>
      </w:r>
    </w:p>
    <w:p>
      <w:pPr>
        <w:ind w:firstLine="560"/>
      </w:pPr>
      <w:r>
        <w:t>（4）中山峡谷。分布夕阳乡一带，相对高差较大，是森林分布较多的地区。</w:t>
      </w:r>
    </w:p>
    <w:p>
      <w:pPr>
        <w:pStyle w:val="5"/>
      </w:pPr>
      <w:r>
        <w:rPr>
          <w:rFonts w:hint="eastAsia"/>
        </w:rPr>
        <w:t>1.3.1.3 水文水系</w:t>
      </w:r>
    </w:p>
    <w:p>
      <w:pPr>
        <w:ind w:firstLine="560"/>
        <w:rPr>
          <w:rFonts w:eastAsiaTheme="minorEastAsia"/>
        </w:rPr>
      </w:pPr>
      <w:r>
        <w:rPr>
          <w:rFonts w:hAnsiTheme="minorEastAsia" w:eastAsiaTheme="minorEastAsia"/>
        </w:rPr>
        <w:t>晋宁区境内水系分别属于长江上游金沙江水系、珠江流域南盘江水系和红河流域元江水系等三大水系的支流。县境内河流总长</w:t>
      </w:r>
      <w:r>
        <w:rPr>
          <w:rFonts w:eastAsiaTheme="minorEastAsia"/>
        </w:rPr>
        <w:t xml:space="preserve">168 </w:t>
      </w:r>
      <w:r>
        <w:rPr>
          <w:rFonts w:hAnsiTheme="minorEastAsia" w:eastAsiaTheme="minorEastAsia"/>
        </w:rPr>
        <w:t>公里。</w:t>
      </w:r>
    </w:p>
    <w:p>
      <w:pPr>
        <w:ind w:firstLine="560"/>
        <w:rPr>
          <w:rFonts w:eastAsiaTheme="minorEastAsia"/>
        </w:rPr>
      </w:pPr>
      <w:r>
        <w:rPr>
          <w:rFonts w:hAnsiTheme="minorEastAsia" w:eastAsiaTheme="minorEastAsia"/>
        </w:rPr>
        <w:t>长江水系流域面积为</w:t>
      </w:r>
      <w:r>
        <w:rPr>
          <w:rFonts w:eastAsiaTheme="minorEastAsia"/>
        </w:rPr>
        <w:t>1023</w:t>
      </w:r>
      <w:r>
        <w:rPr>
          <w:rFonts w:hAnsiTheme="minorEastAsia" w:eastAsiaTheme="minorEastAsia"/>
        </w:rPr>
        <w:t>平方公里（其中滇池流域面积为</w:t>
      </w:r>
      <w:r>
        <w:rPr>
          <w:rFonts w:eastAsiaTheme="minorEastAsia"/>
        </w:rPr>
        <w:t>715.09</w:t>
      </w:r>
      <w:r>
        <w:rPr>
          <w:rFonts w:hAnsiTheme="minorEastAsia" w:eastAsiaTheme="minorEastAsia"/>
        </w:rPr>
        <w:t>平方公里，鸣唉河流域面积为</w:t>
      </w:r>
      <w:r>
        <w:rPr>
          <w:rFonts w:eastAsiaTheme="minorEastAsia"/>
        </w:rPr>
        <w:t>158.04</w:t>
      </w:r>
      <w:r>
        <w:rPr>
          <w:rFonts w:hAnsiTheme="minorEastAsia" w:eastAsiaTheme="minorEastAsia"/>
        </w:rPr>
        <w:t>平方公里，八街河流域面积为</w:t>
      </w:r>
      <w:r>
        <w:rPr>
          <w:rFonts w:eastAsiaTheme="minorEastAsia"/>
        </w:rPr>
        <w:t>149.87</w:t>
      </w:r>
      <w:r>
        <w:rPr>
          <w:rFonts w:hAnsiTheme="minorEastAsia" w:eastAsiaTheme="minorEastAsia"/>
        </w:rPr>
        <w:t>平方公里），占全县总面积的</w:t>
      </w:r>
      <w:r>
        <w:rPr>
          <w:rFonts w:eastAsiaTheme="minorEastAsia"/>
        </w:rPr>
        <w:t>83.8 %</w:t>
      </w:r>
      <w:r>
        <w:rPr>
          <w:rFonts w:hAnsiTheme="minorEastAsia" w:eastAsiaTheme="minorEastAsia"/>
        </w:rPr>
        <w:t>；红河水系的十街河流域面积</w:t>
      </w:r>
      <w:r>
        <w:rPr>
          <w:rFonts w:eastAsiaTheme="minorEastAsia"/>
        </w:rPr>
        <w:t>155.67</w:t>
      </w:r>
      <w:r>
        <w:rPr>
          <w:rFonts w:hAnsiTheme="minorEastAsia" w:eastAsiaTheme="minorEastAsia"/>
        </w:rPr>
        <w:t>平方公里，占全县总面积的</w:t>
      </w:r>
      <w:r>
        <w:rPr>
          <w:rFonts w:eastAsiaTheme="minorEastAsia"/>
        </w:rPr>
        <w:t>12.7 %</w:t>
      </w:r>
      <w:r>
        <w:rPr>
          <w:rFonts w:hAnsiTheme="minorEastAsia" w:eastAsiaTheme="minorEastAsia"/>
        </w:rPr>
        <w:t>；珠江水系有大箐河、白沙河，流域面积为</w:t>
      </w:r>
      <w:r>
        <w:rPr>
          <w:rFonts w:eastAsiaTheme="minorEastAsia"/>
        </w:rPr>
        <w:t>42.62</w:t>
      </w:r>
      <w:r>
        <w:rPr>
          <w:rFonts w:hAnsiTheme="minorEastAsia" w:eastAsiaTheme="minorEastAsia"/>
        </w:rPr>
        <w:t>平方公里，占全县总面积的</w:t>
      </w:r>
      <w:r>
        <w:rPr>
          <w:rFonts w:eastAsiaTheme="minorEastAsia"/>
        </w:rPr>
        <w:t>3.5 %</w:t>
      </w:r>
      <w:r>
        <w:rPr>
          <w:rFonts w:hAnsiTheme="minorEastAsia" w:eastAsiaTheme="minorEastAsia"/>
        </w:rPr>
        <w:t>。</w:t>
      </w:r>
    </w:p>
    <w:p>
      <w:pPr>
        <w:shd w:val="clear" w:color="auto" w:fill="FFFFFF"/>
        <w:ind w:firstLine="560"/>
        <w:rPr>
          <w:rFonts w:eastAsiaTheme="minorEastAsia"/>
          <w:szCs w:val="24"/>
        </w:rPr>
      </w:pPr>
      <w:r>
        <w:rPr>
          <w:rFonts w:hAnsiTheme="minorEastAsia" w:eastAsiaTheme="minorEastAsia"/>
          <w:szCs w:val="24"/>
        </w:rPr>
        <w:t>其中最大的几条河流有：大河，是</w:t>
      </w:r>
      <w:r>
        <w:fldChar w:fldCharType="begin"/>
      </w:r>
      <w:r>
        <w:instrText xml:space="preserve"> HYPERLINK "https://baike.baidu.com/item/%E6%BB%87%E6%B1%A0/180932" \t "_blank" </w:instrText>
      </w:r>
      <w:r>
        <w:fldChar w:fldCharType="separate"/>
      </w:r>
      <w:r>
        <w:rPr>
          <w:rFonts w:hAnsiTheme="minorEastAsia" w:eastAsiaTheme="minorEastAsia"/>
          <w:szCs w:val="24"/>
        </w:rPr>
        <w:t>滇池</w:t>
      </w:r>
      <w:r>
        <w:rPr>
          <w:rFonts w:hAnsiTheme="minorEastAsia" w:eastAsiaTheme="minorEastAsia"/>
          <w:szCs w:val="24"/>
        </w:rPr>
        <w:fldChar w:fldCharType="end"/>
      </w:r>
      <w:r>
        <w:rPr>
          <w:rFonts w:hAnsiTheme="minorEastAsia" w:eastAsiaTheme="minorEastAsia"/>
          <w:szCs w:val="24"/>
        </w:rPr>
        <w:t>主要的入滇河流之一，河流全长约</w:t>
      </w:r>
      <w:r>
        <w:rPr>
          <w:rFonts w:eastAsiaTheme="minorEastAsia"/>
          <w:szCs w:val="24"/>
        </w:rPr>
        <w:t>31</w:t>
      </w:r>
      <w:r>
        <w:rPr>
          <w:rFonts w:hAnsiTheme="minorEastAsia" w:eastAsiaTheme="minorEastAsia"/>
          <w:szCs w:val="24"/>
        </w:rPr>
        <w:t>公里，发源于</w:t>
      </w:r>
      <w:r>
        <w:fldChar w:fldCharType="begin"/>
      </w:r>
      <w:r>
        <w:instrText xml:space="preserve"> HYPERLINK "https://baike.baidu.com/item/%E6%99%8B%E5%9F%8E%E9%95%87/24829" \t "_blank" </w:instrText>
      </w:r>
      <w:r>
        <w:fldChar w:fldCharType="separate"/>
      </w:r>
      <w:r>
        <w:rPr>
          <w:rFonts w:hAnsiTheme="minorEastAsia" w:eastAsiaTheme="minorEastAsia"/>
          <w:szCs w:val="24"/>
        </w:rPr>
        <w:t>晋城镇</w:t>
      </w:r>
      <w:r>
        <w:rPr>
          <w:rFonts w:hAnsiTheme="minorEastAsia" w:eastAsiaTheme="minorEastAsia"/>
          <w:szCs w:val="24"/>
        </w:rPr>
        <w:fldChar w:fldCharType="end"/>
      </w:r>
      <w:r>
        <w:rPr>
          <w:rFonts w:hAnsiTheme="minorEastAsia" w:eastAsiaTheme="minorEastAsia"/>
          <w:szCs w:val="24"/>
        </w:rPr>
        <w:t>与</w:t>
      </w:r>
      <w:r>
        <w:fldChar w:fldCharType="begin"/>
      </w:r>
      <w:r>
        <w:instrText xml:space="preserve"> HYPERLINK "https://baike.baidu.com/item/%E6%B1%9F%E5%B7%9D%E5%8E%BF" \t "_blank" </w:instrText>
      </w:r>
      <w:r>
        <w:fldChar w:fldCharType="separate"/>
      </w:r>
      <w:r>
        <w:rPr>
          <w:rFonts w:hAnsiTheme="minorEastAsia" w:eastAsiaTheme="minorEastAsia"/>
          <w:szCs w:val="24"/>
        </w:rPr>
        <w:t>江川县</w:t>
      </w:r>
      <w:r>
        <w:rPr>
          <w:rFonts w:hAnsiTheme="minorEastAsia" w:eastAsiaTheme="minorEastAsia"/>
          <w:szCs w:val="24"/>
        </w:rPr>
        <w:fldChar w:fldCharType="end"/>
      </w:r>
      <w:r>
        <w:rPr>
          <w:rFonts w:hAnsiTheme="minorEastAsia" w:eastAsiaTheme="minorEastAsia"/>
          <w:szCs w:val="24"/>
        </w:rPr>
        <w:t>交界山脉的关岭西坡干洞、大陷塘和菖蒲塘等地，汇入大河水库。</w:t>
      </w:r>
    </w:p>
    <w:p>
      <w:pPr>
        <w:shd w:val="clear" w:color="auto" w:fill="FFFFFF"/>
        <w:ind w:firstLine="560"/>
        <w:rPr>
          <w:rFonts w:eastAsiaTheme="minorEastAsia"/>
          <w:szCs w:val="24"/>
        </w:rPr>
      </w:pPr>
      <w:r>
        <w:rPr>
          <w:rFonts w:hAnsiTheme="minorEastAsia" w:eastAsiaTheme="minorEastAsia"/>
          <w:szCs w:val="24"/>
        </w:rPr>
        <w:t>柴河，发源于六街上游新寨、干海孜流径六街汇入</w:t>
      </w:r>
      <w:r>
        <w:fldChar w:fldCharType="begin"/>
      </w:r>
      <w:r>
        <w:instrText xml:space="preserve"> HYPERLINK "https://baike.baidu.com/item/%E6%9F%B4%E6%B2%B3%E6%B0%B4%E5%BA%93/14482013" \t "_blank" </w:instrText>
      </w:r>
      <w:r>
        <w:fldChar w:fldCharType="separate"/>
      </w:r>
      <w:r>
        <w:rPr>
          <w:rFonts w:hAnsiTheme="minorEastAsia" w:eastAsiaTheme="minorEastAsia"/>
          <w:szCs w:val="24"/>
        </w:rPr>
        <w:t>柴河水库</w:t>
      </w:r>
      <w:r>
        <w:rPr>
          <w:rFonts w:hAnsiTheme="minorEastAsia" w:eastAsiaTheme="minorEastAsia"/>
          <w:szCs w:val="24"/>
        </w:rPr>
        <w:fldChar w:fldCharType="end"/>
      </w:r>
      <w:r>
        <w:rPr>
          <w:rFonts w:hAnsiTheme="minorEastAsia" w:eastAsiaTheme="minorEastAsia"/>
          <w:szCs w:val="24"/>
        </w:rPr>
        <w:t>，为昆明市饮用水源，全长</w:t>
      </w:r>
      <w:r>
        <w:rPr>
          <w:rFonts w:eastAsiaTheme="minorEastAsia"/>
          <w:szCs w:val="24"/>
        </w:rPr>
        <w:t>32.1</w:t>
      </w:r>
      <w:r>
        <w:rPr>
          <w:rFonts w:hAnsiTheme="minorEastAsia" w:eastAsiaTheme="minorEastAsia"/>
          <w:szCs w:val="24"/>
        </w:rPr>
        <w:t>公里，径流面积</w:t>
      </w:r>
      <w:r>
        <w:rPr>
          <w:rFonts w:eastAsiaTheme="minorEastAsia"/>
          <w:szCs w:val="24"/>
        </w:rPr>
        <w:t>306.18</w:t>
      </w:r>
      <w:r>
        <w:rPr>
          <w:rFonts w:hAnsiTheme="minorEastAsia" w:eastAsiaTheme="minorEastAsia"/>
          <w:szCs w:val="24"/>
        </w:rPr>
        <w:t>平方公里。</w:t>
      </w:r>
    </w:p>
    <w:p>
      <w:pPr>
        <w:shd w:val="clear" w:color="auto" w:fill="FFFFFF"/>
        <w:ind w:firstLine="560"/>
        <w:rPr>
          <w:rFonts w:eastAsiaTheme="minorEastAsia"/>
          <w:szCs w:val="24"/>
        </w:rPr>
      </w:pPr>
      <w:r>
        <w:rPr>
          <w:rFonts w:eastAsiaTheme="minorEastAsia"/>
          <w:szCs w:val="24"/>
        </w:rPr>
        <w:t> </w:t>
      </w:r>
      <w:r>
        <w:rPr>
          <w:rFonts w:hAnsiTheme="minorEastAsia" w:eastAsiaTheme="minorEastAsia"/>
          <w:szCs w:val="24"/>
        </w:rPr>
        <w:t>东大河，发源于东南面的海孜白泥箐，汇入滇池，全长</w:t>
      </w:r>
      <w:r>
        <w:rPr>
          <w:rFonts w:eastAsiaTheme="minorEastAsia"/>
          <w:szCs w:val="24"/>
        </w:rPr>
        <w:t>21</w:t>
      </w:r>
      <w:r>
        <w:rPr>
          <w:rFonts w:hAnsiTheme="minorEastAsia" w:eastAsiaTheme="minorEastAsia"/>
          <w:szCs w:val="24"/>
        </w:rPr>
        <w:t>公里，径流面积</w:t>
      </w:r>
      <w:r>
        <w:rPr>
          <w:rFonts w:eastAsiaTheme="minorEastAsia"/>
          <w:szCs w:val="24"/>
        </w:rPr>
        <w:t>195.44</w:t>
      </w:r>
      <w:r>
        <w:rPr>
          <w:rFonts w:hAnsiTheme="minorEastAsia" w:eastAsiaTheme="minorEastAsia"/>
          <w:szCs w:val="24"/>
        </w:rPr>
        <w:t>平方公里。</w:t>
      </w:r>
    </w:p>
    <w:p>
      <w:pPr>
        <w:shd w:val="clear" w:color="auto" w:fill="FFFFFF"/>
        <w:ind w:firstLine="560"/>
        <w:rPr>
          <w:rFonts w:eastAsiaTheme="minorEastAsia"/>
          <w:szCs w:val="24"/>
        </w:rPr>
      </w:pPr>
      <w:r>
        <w:rPr>
          <w:rFonts w:hAnsiTheme="minorEastAsia" w:eastAsiaTheme="minorEastAsia"/>
          <w:szCs w:val="24"/>
        </w:rPr>
        <w:t>二街河，东面发源于栗庙箐、东冲箐最后汇入鸣矣河，全长</w:t>
      </w:r>
      <w:r>
        <w:rPr>
          <w:rFonts w:eastAsiaTheme="minorEastAsia"/>
          <w:szCs w:val="24"/>
        </w:rPr>
        <w:t>17.8</w:t>
      </w:r>
      <w:r>
        <w:rPr>
          <w:rFonts w:hAnsiTheme="minorEastAsia" w:eastAsiaTheme="minorEastAsia"/>
          <w:szCs w:val="24"/>
        </w:rPr>
        <w:t>公里，径流面积</w:t>
      </w:r>
      <w:r>
        <w:rPr>
          <w:rFonts w:eastAsiaTheme="minorEastAsia"/>
          <w:szCs w:val="24"/>
        </w:rPr>
        <w:t>163.24</w:t>
      </w:r>
      <w:r>
        <w:rPr>
          <w:rFonts w:hAnsiTheme="minorEastAsia" w:eastAsiaTheme="minorEastAsia"/>
          <w:szCs w:val="24"/>
        </w:rPr>
        <w:t>平方公里。</w:t>
      </w:r>
    </w:p>
    <w:p>
      <w:pPr>
        <w:shd w:val="clear" w:color="auto" w:fill="FFFFFF"/>
        <w:ind w:firstLine="560"/>
        <w:rPr>
          <w:rFonts w:eastAsiaTheme="minorEastAsia"/>
          <w:szCs w:val="24"/>
        </w:rPr>
      </w:pPr>
      <w:r>
        <w:rPr>
          <w:rFonts w:hAnsiTheme="minorEastAsia" w:eastAsiaTheme="minorEastAsia"/>
          <w:szCs w:val="24"/>
        </w:rPr>
        <w:t>双河，全长</w:t>
      </w:r>
      <w:r>
        <w:rPr>
          <w:rFonts w:eastAsiaTheme="minorEastAsia"/>
          <w:szCs w:val="24"/>
        </w:rPr>
        <w:t>14.31</w:t>
      </w:r>
      <w:r>
        <w:rPr>
          <w:rFonts w:hAnsiTheme="minorEastAsia" w:eastAsiaTheme="minorEastAsia"/>
          <w:szCs w:val="24"/>
        </w:rPr>
        <w:t>公里，径流面积</w:t>
      </w:r>
      <w:r>
        <w:rPr>
          <w:rFonts w:eastAsiaTheme="minorEastAsia"/>
          <w:szCs w:val="24"/>
        </w:rPr>
        <w:t>159.34</w:t>
      </w:r>
      <w:r>
        <w:rPr>
          <w:rFonts w:hAnsiTheme="minorEastAsia" w:eastAsiaTheme="minorEastAsia"/>
          <w:szCs w:val="24"/>
        </w:rPr>
        <w:t>平方公里。晋城东干渠，为大河泄洪渠，为五里干渠东段。</w:t>
      </w:r>
    </w:p>
    <w:p>
      <w:pPr>
        <w:pStyle w:val="5"/>
      </w:pPr>
      <w:r>
        <w:rPr>
          <w:rFonts w:hint="eastAsia"/>
        </w:rPr>
        <w:t>1.3.1.4 气象气候</w:t>
      </w:r>
    </w:p>
    <w:p>
      <w:pPr>
        <w:ind w:firstLine="560"/>
      </w:pPr>
      <w:r>
        <w:rPr>
          <w:rFonts w:hint="eastAsia"/>
        </w:rPr>
        <w:t>晋宁区属低纬度高原亚热带季风气候，特点是干湿季分明，而四季却不明显，夏无酷暑，冬无严寒，四季如春。年平均气温</w:t>
      </w:r>
      <w:r>
        <w:t>14.6</w:t>
      </w:r>
      <w:r>
        <w:rPr>
          <w:rFonts w:hint="eastAsia"/>
        </w:rPr>
        <w:t>℃，极端最高气温</w:t>
      </w:r>
      <w:r>
        <w:t>33.3</w:t>
      </w:r>
      <w:r>
        <w:rPr>
          <w:rFonts w:hint="eastAsia"/>
        </w:rPr>
        <w:t>℃，极端最低气温</w:t>
      </w:r>
      <w:r>
        <w:t>-6</w:t>
      </w:r>
      <w:r>
        <w:rPr>
          <w:rFonts w:hint="eastAsia"/>
        </w:rPr>
        <w:t>℃。月均最高气温为</w:t>
      </w:r>
      <w:r>
        <w:t>7</w:t>
      </w:r>
      <w:r>
        <w:rPr>
          <w:rFonts w:hint="eastAsia"/>
        </w:rPr>
        <w:t>月，平均气温</w:t>
      </w:r>
      <w:r>
        <w:t>19.5</w:t>
      </w:r>
      <w:r>
        <w:rPr>
          <w:rFonts w:hint="eastAsia"/>
        </w:rPr>
        <w:t>℃，初霜期始于</w:t>
      </w:r>
      <w:r>
        <w:t>11</w:t>
      </w:r>
      <w:r>
        <w:rPr>
          <w:rFonts w:hint="eastAsia"/>
        </w:rPr>
        <w:t>月，终霜期为</w:t>
      </w:r>
      <w:r>
        <w:t>3</w:t>
      </w:r>
      <w:r>
        <w:rPr>
          <w:rFonts w:hint="eastAsia"/>
        </w:rPr>
        <w:t>月下旬，平均无霜期约</w:t>
      </w:r>
      <w:r>
        <w:t>240</w:t>
      </w:r>
      <w:r>
        <w:rPr>
          <w:rFonts w:hint="eastAsia"/>
        </w:rPr>
        <w:t>天。平均日照时数</w:t>
      </w:r>
      <w:r>
        <w:t>2259.8</w:t>
      </w:r>
      <w:r>
        <w:rPr>
          <w:rFonts w:hint="eastAsia"/>
        </w:rPr>
        <w:t>小时，日照率为</w:t>
      </w:r>
      <w:r>
        <w:t>52 %</w:t>
      </w:r>
      <w:r>
        <w:rPr>
          <w:rFonts w:hint="eastAsia"/>
        </w:rPr>
        <w:t>，年太阳总辐射</w:t>
      </w:r>
      <w:r>
        <w:t>125.3</w:t>
      </w:r>
      <w:r>
        <w:rPr>
          <w:rFonts w:hint="eastAsia"/>
        </w:rPr>
        <w:t>千卡</w:t>
      </w:r>
      <w:r>
        <w:t>/cm2</w:t>
      </w:r>
      <w:r>
        <w:rPr>
          <w:rFonts w:hint="eastAsia"/>
        </w:rPr>
        <w:t>，≥</w:t>
      </w:r>
      <w:r>
        <w:t>10</w:t>
      </w:r>
      <w:r>
        <w:rPr>
          <w:rFonts w:hint="eastAsia"/>
        </w:rPr>
        <w:t>℃积温</w:t>
      </w:r>
      <w:r>
        <w:t>4520.6</w:t>
      </w:r>
      <w:r>
        <w:rPr>
          <w:rFonts w:hint="eastAsia"/>
        </w:rPr>
        <w:t>℃，年平均降水量</w:t>
      </w:r>
      <w:r>
        <w:t>897.9 mm</w:t>
      </w:r>
      <w:r>
        <w:rPr>
          <w:rFonts w:hint="eastAsia"/>
        </w:rPr>
        <w:t>，其中雨季为</w:t>
      </w:r>
      <w:r>
        <w:t>5</w:t>
      </w:r>
      <w:r>
        <w:rPr>
          <w:rFonts w:hint="eastAsia"/>
        </w:rPr>
        <w:t>～</w:t>
      </w:r>
      <w:r>
        <w:t>10</w:t>
      </w:r>
      <w:r>
        <w:rPr>
          <w:rFonts w:hint="eastAsia"/>
        </w:rPr>
        <w:t>月份，降水量为</w:t>
      </w:r>
      <w:r>
        <w:t>784.4 mm</w:t>
      </w:r>
      <w:r>
        <w:rPr>
          <w:rFonts w:hint="eastAsia"/>
        </w:rPr>
        <w:t>，占全年降水量的</w:t>
      </w:r>
      <w:r>
        <w:t>87.4 %</w:t>
      </w:r>
      <w:r>
        <w:rPr>
          <w:rFonts w:hint="eastAsia"/>
        </w:rPr>
        <w:t>。常年以西南风占绝对优势，最大风速</w:t>
      </w:r>
      <w:r>
        <w:t>23 m/s</w:t>
      </w:r>
      <w:r>
        <w:rPr>
          <w:rFonts w:hint="eastAsia"/>
        </w:rPr>
        <w:t>。</w:t>
      </w:r>
    </w:p>
    <w:p>
      <w:pPr>
        <w:pStyle w:val="5"/>
      </w:pPr>
      <w:r>
        <w:rPr>
          <w:rFonts w:hint="eastAsia"/>
        </w:rPr>
        <w:t>1.3.1.5 土壤资源</w:t>
      </w:r>
    </w:p>
    <w:p>
      <w:pPr>
        <w:ind w:firstLine="560"/>
      </w:pPr>
      <w:r>
        <w:rPr>
          <w:rFonts w:hint="eastAsia"/>
        </w:rPr>
        <w:t>全县在地质构造、气候、植被、降水等综合作用下，发育着不同的土壤。主要有三个土类：一是红壤占94.5 %，有2个亚类，分布最广泛，其中红壤主要分布于海拔1890～2600m，黄红壤主要分布于2100～2300m；二是紫色土占5.45 %，主要分布于夕阳乡1800m以下的河谷地带和化乐乡2000～2200m的半山区；三是石灰土占0.05%，主要分布于2200～2400m。</w:t>
      </w:r>
    </w:p>
    <w:p>
      <w:pPr>
        <w:ind w:firstLine="560"/>
      </w:pPr>
      <w:r>
        <w:rPr>
          <w:rFonts w:hint="eastAsia"/>
        </w:rPr>
        <w:t>成土母岩主要为砂质页岩、板岩、砾岩、紫色砂岩、玄武岩、白云岩、石灰岩等。土层厚度多为30～40c m，含石砾量大，自然肥力中等。分布在阴坡、半阴坡、沟谷地带的土壤，土层较厚，肥力较好。</w:t>
      </w:r>
    </w:p>
    <w:p>
      <w:pPr>
        <w:pStyle w:val="5"/>
      </w:pPr>
      <w:r>
        <w:rPr>
          <w:rFonts w:hint="eastAsia"/>
        </w:rPr>
        <w:t>1.3.1.6 矿产资源</w:t>
      </w:r>
    </w:p>
    <w:p>
      <w:pPr>
        <w:ind w:firstLine="560"/>
      </w:pPr>
      <w:r>
        <w:t>晋宁区矿产资源有</w:t>
      </w:r>
      <w:r>
        <w:fldChar w:fldCharType="begin"/>
      </w:r>
      <w:r>
        <w:instrText xml:space="preserve"> HYPERLINK "https://baike.baidu.com/item/%E7%A3%B7" \t "_blank" </w:instrText>
      </w:r>
      <w:r>
        <w:fldChar w:fldCharType="separate"/>
      </w:r>
      <w:r>
        <w:t>磷</w:t>
      </w:r>
      <w:r>
        <w:fldChar w:fldCharType="end"/>
      </w:r>
      <w:r>
        <w:t>、</w:t>
      </w:r>
      <w:r>
        <w:fldChar w:fldCharType="begin"/>
      </w:r>
      <w:r>
        <w:instrText xml:space="preserve"> HYPERLINK "https://baike.baidu.com/item/%E9%93%81/29586" \t "_blank" </w:instrText>
      </w:r>
      <w:r>
        <w:fldChar w:fldCharType="separate"/>
      </w:r>
      <w:r>
        <w:t>铁</w:t>
      </w:r>
      <w:r>
        <w:fldChar w:fldCharType="end"/>
      </w:r>
      <w:r>
        <w:t>、</w:t>
      </w:r>
      <w:r>
        <w:fldChar w:fldCharType="begin"/>
      </w:r>
      <w:r>
        <w:instrText xml:space="preserve"> HYPERLINK "https://baike.baidu.com/item/%E7%85%A4/15884029" \t "_blank" </w:instrText>
      </w:r>
      <w:r>
        <w:fldChar w:fldCharType="separate"/>
      </w:r>
      <w:r>
        <w:t>煤</w:t>
      </w:r>
      <w:r>
        <w:fldChar w:fldCharType="end"/>
      </w:r>
      <w:r>
        <w:t>、</w:t>
      </w:r>
      <w:r>
        <w:fldChar w:fldCharType="begin"/>
      </w:r>
      <w:r>
        <w:instrText xml:space="preserve"> HYPERLINK "https://baike.baidu.com/item/%E9%93%9C/668243" \t "_blank" </w:instrText>
      </w:r>
      <w:r>
        <w:fldChar w:fldCharType="separate"/>
      </w:r>
      <w:r>
        <w:t>铜</w:t>
      </w:r>
      <w:r>
        <w:fldChar w:fldCharType="end"/>
      </w:r>
      <w:r>
        <w:t>、</w:t>
      </w:r>
      <w:r>
        <w:fldChar w:fldCharType="begin"/>
      </w:r>
      <w:r>
        <w:instrText xml:space="preserve"> HYPERLINK "https://baike.baidu.com/item/%E7%A1%85/2142941" \t "_blank" </w:instrText>
      </w:r>
      <w:r>
        <w:fldChar w:fldCharType="separate"/>
      </w:r>
      <w:r>
        <w:t>硅</w:t>
      </w:r>
      <w:r>
        <w:fldChar w:fldCharType="end"/>
      </w:r>
      <w:r>
        <w:t>、</w:t>
      </w:r>
      <w:r>
        <w:fldChar w:fldCharType="begin"/>
      </w:r>
      <w:r>
        <w:instrText xml:space="preserve"> HYPERLINK "https://baike.baidu.com/item/%E9%93%9D/7206938" \t "_blank" </w:instrText>
      </w:r>
      <w:r>
        <w:fldChar w:fldCharType="separate"/>
      </w:r>
      <w:r>
        <w:t>铝</w:t>
      </w:r>
      <w:r>
        <w:fldChar w:fldCharType="end"/>
      </w:r>
      <w:r>
        <w:t>、</w:t>
      </w:r>
      <w:r>
        <w:fldChar w:fldCharType="begin"/>
      </w:r>
      <w:r>
        <w:instrText xml:space="preserve"> HYPERLINK "https://baike.baidu.com/item/%E9%94%B0/701057" \t "_blank" </w:instrText>
      </w:r>
      <w:r>
        <w:fldChar w:fldCharType="separate"/>
      </w:r>
      <w:r>
        <w:t>锰</w:t>
      </w:r>
      <w:r>
        <w:fldChar w:fldCharType="end"/>
      </w:r>
      <w:r>
        <w:t>、</w:t>
      </w:r>
      <w:r>
        <w:fldChar w:fldCharType="begin"/>
      </w:r>
      <w:r>
        <w:instrText xml:space="preserve"> HYPERLINK "https://baike.baidu.com/item/%E9%93%85/2141563" \t "_blank" </w:instrText>
      </w:r>
      <w:r>
        <w:fldChar w:fldCharType="separate"/>
      </w:r>
      <w:r>
        <w:t>铅</w:t>
      </w:r>
      <w:r>
        <w:fldChar w:fldCharType="end"/>
      </w:r>
      <w:r>
        <w:t>、</w:t>
      </w:r>
      <w:r>
        <w:fldChar w:fldCharType="begin"/>
      </w:r>
      <w:r>
        <w:instrText xml:space="preserve"> HYPERLINK "https://baike.baidu.com/item/%E9%94%8C" \t "_blank" </w:instrText>
      </w:r>
      <w:r>
        <w:fldChar w:fldCharType="separate"/>
      </w:r>
      <w:r>
        <w:t>锌</w:t>
      </w:r>
      <w:r>
        <w:fldChar w:fldCharType="end"/>
      </w:r>
      <w:r>
        <w:t>、</w:t>
      </w:r>
      <w:r>
        <w:fldChar w:fldCharType="begin"/>
      </w:r>
      <w:r>
        <w:instrText xml:space="preserve"> HYPERLINK "https://baike.baidu.com/item/%E9%93%80" \t "_blank" </w:instrText>
      </w:r>
      <w:r>
        <w:fldChar w:fldCharType="separate"/>
      </w:r>
      <w:r>
        <w:t>铀</w:t>
      </w:r>
      <w:r>
        <w:fldChar w:fldCharType="end"/>
      </w:r>
      <w:r>
        <w:t>、</w:t>
      </w:r>
      <w:r>
        <w:fldChar w:fldCharType="begin"/>
      </w:r>
      <w:r>
        <w:instrText xml:space="preserve"> HYPERLINK "https://baike.baidu.com/item/%E6%B3%A5%E7%82%AD" \t "_blank" </w:instrText>
      </w:r>
      <w:r>
        <w:fldChar w:fldCharType="separate"/>
      </w:r>
      <w:r>
        <w:t>泥炭</w:t>
      </w:r>
      <w:r>
        <w:fldChar w:fldCharType="end"/>
      </w:r>
      <w:r>
        <w:t>、</w:t>
      </w:r>
      <w:r>
        <w:fldChar w:fldCharType="begin"/>
      </w:r>
      <w:r>
        <w:instrText xml:space="preserve"> HYPERLINK "https://baike.baidu.com/item/%E7%B2%98%E5%9C%9F" \t "_blank" </w:instrText>
      </w:r>
      <w:r>
        <w:fldChar w:fldCharType="separate"/>
      </w:r>
      <w:r>
        <w:t>粘土</w:t>
      </w:r>
      <w:r>
        <w:fldChar w:fldCharType="end"/>
      </w:r>
      <w:r>
        <w:t>、</w:t>
      </w:r>
      <w:r>
        <w:fldChar w:fldCharType="begin"/>
      </w:r>
      <w:r>
        <w:instrText xml:space="preserve"> HYPERLINK "https://baike.baidu.com/item/%E7%9F%B3%E7%81%B0%E7%9F%B3" \t "_blank" </w:instrText>
      </w:r>
      <w:r>
        <w:fldChar w:fldCharType="separate"/>
      </w:r>
      <w:r>
        <w:t>石灰石</w:t>
      </w:r>
      <w:r>
        <w:fldChar w:fldCharType="end"/>
      </w:r>
      <w:r>
        <w:t>、</w:t>
      </w:r>
      <w:r>
        <w:fldChar w:fldCharType="begin"/>
      </w:r>
      <w:r>
        <w:instrText xml:space="preserve"> HYPERLINK "https://baike.baidu.com/item/%E7%99%BD%E4%BA%91%E5%B2%A9/883219" \t "_blank" </w:instrText>
      </w:r>
      <w:r>
        <w:fldChar w:fldCharType="separate"/>
      </w:r>
      <w:r>
        <w:t>白云岩</w:t>
      </w:r>
      <w:r>
        <w:fldChar w:fldCharType="end"/>
      </w:r>
      <w:r>
        <w:t>、</w:t>
      </w:r>
      <w:r>
        <w:fldChar w:fldCharType="begin"/>
      </w:r>
      <w:r>
        <w:instrText xml:space="preserve"> HYPERLINK "https://baike.baidu.com/item/%E7%8E%84%E6%AD%A6%E5%B2%A9" \t "_blank" </w:instrText>
      </w:r>
      <w:r>
        <w:fldChar w:fldCharType="separate"/>
      </w:r>
      <w:r>
        <w:t>玄武岩</w:t>
      </w:r>
      <w:r>
        <w:fldChar w:fldCharType="end"/>
      </w:r>
      <w:r>
        <w:t>、</w:t>
      </w:r>
      <w:r>
        <w:fldChar w:fldCharType="begin"/>
      </w:r>
      <w:r>
        <w:instrText xml:space="preserve"> HYPERLINK "https://baike.baidu.com/item/%E9%AB%98%E5%B2%AD%E5%9C%9F" \t "_blank" </w:instrText>
      </w:r>
      <w:r>
        <w:fldChar w:fldCharType="separate"/>
      </w:r>
      <w:r>
        <w:t>高岭土</w:t>
      </w:r>
      <w:r>
        <w:fldChar w:fldCharType="end"/>
      </w:r>
      <w:r>
        <w:t>、建材石料和矿泉水等18个矿产。其中以</w:t>
      </w:r>
      <w:r>
        <w:fldChar w:fldCharType="begin"/>
      </w:r>
      <w:r>
        <w:instrText xml:space="preserve"> HYPERLINK "https://baike.baidu.com/item/%E7%A3%B7%E7%9F%BF" \t "_blank" </w:instrText>
      </w:r>
      <w:r>
        <w:fldChar w:fldCharType="separate"/>
      </w:r>
      <w:r>
        <w:t>磷矿</w:t>
      </w:r>
      <w:r>
        <w:fldChar w:fldCharType="end"/>
      </w:r>
      <w:r>
        <w:t>储量最为丰富，主要分布在二街乡、上蒜乡及古城镇，已探明</w:t>
      </w:r>
      <w:r>
        <w:fldChar w:fldCharType="begin"/>
      </w:r>
      <w:r>
        <w:instrText xml:space="preserve"> HYPERLINK "https://baike.baidu.com/item/%E7%A3%B7%E7%9F%BF" \t "_blank" </w:instrText>
      </w:r>
      <w:r>
        <w:fldChar w:fldCharType="separate"/>
      </w:r>
      <w:r>
        <w:t>磷矿</w:t>
      </w:r>
      <w:r>
        <w:fldChar w:fldCharType="end"/>
      </w:r>
      <w:r>
        <w:t>储量为8.4亿吨。</w:t>
      </w:r>
      <w:r>
        <w:fldChar w:fldCharType="begin"/>
      </w:r>
      <w:r>
        <w:instrText xml:space="preserve"> HYPERLINK "https://baike.baidu.com/item/%E9%93%81%E7%9F%BF" \t "_blank" </w:instrText>
      </w:r>
      <w:r>
        <w:fldChar w:fldCharType="separate"/>
      </w:r>
      <w:r>
        <w:t>铁矿</w:t>
      </w:r>
      <w:r>
        <w:fldChar w:fldCharType="end"/>
      </w:r>
      <w:r>
        <w:t>主要分布在双河、夕阳两乡，储量为760万吨。</w:t>
      </w:r>
      <w:r>
        <w:fldChar w:fldCharType="begin"/>
      </w:r>
      <w:r>
        <w:instrText xml:space="preserve"> HYPERLINK "https://baike.baidu.com/item/%E7%A1%85%E7%9F%BF" \t "_blank" </w:instrText>
      </w:r>
      <w:r>
        <w:fldChar w:fldCharType="separate"/>
      </w:r>
      <w:r>
        <w:t>硅矿</w:t>
      </w:r>
      <w:r>
        <w:fldChar w:fldCharType="end"/>
      </w:r>
      <w:r>
        <w:t>为375万吨、铅矿260万吨、</w:t>
      </w:r>
      <w:r>
        <w:fldChar w:fldCharType="begin"/>
      </w:r>
      <w:r>
        <w:instrText xml:space="preserve"> HYPERLINK "https://baike.baidu.com/item/%E5%A4%A7%E7%90%86%E7%9F%B3" \t "_blank" </w:instrText>
      </w:r>
      <w:r>
        <w:fldChar w:fldCharType="separate"/>
      </w:r>
      <w:r>
        <w:t>大理石</w:t>
      </w:r>
      <w:r>
        <w:fldChar w:fldCharType="end"/>
      </w:r>
      <w:r>
        <w:t>450万立方米、</w:t>
      </w:r>
      <w:r>
        <w:fldChar w:fldCharType="begin"/>
      </w:r>
      <w:r>
        <w:instrText xml:space="preserve"> HYPERLINK "https://baike.baidu.com/item/%E7%9F%B3%E7%81%B0%E7%9F%B3" \t "_blank" </w:instrText>
      </w:r>
      <w:r>
        <w:fldChar w:fldCharType="separate"/>
      </w:r>
      <w:r>
        <w:t>石灰石</w:t>
      </w:r>
      <w:r>
        <w:fldChar w:fldCharType="end"/>
      </w:r>
      <w:r>
        <w:t>矿约7亿吨，沿滇池一带还有丰富的地下草煤。全县矿床规模为大型7个、中型13个，小型矿床37个，矿点21个。矿泉水4处，地下热水5处，总流量52.25升/秒，水温20ºC—30ºC</w:t>
      </w:r>
      <w:r>
        <w:rPr>
          <w:rFonts w:hint="eastAsia"/>
        </w:rPr>
        <w:t>。</w:t>
      </w:r>
      <w:r>
        <w:t> </w:t>
      </w:r>
    </w:p>
    <w:p>
      <w:pPr>
        <w:pStyle w:val="5"/>
      </w:pPr>
      <w:r>
        <w:rPr>
          <w:rFonts w:hint="eastAsia"/>
        </w:rPr>
        <w:t>1.3.1.7 植物植被</w:t>
      </w:r>
    </w:p>
    <w:p>
      <w:pPr>
        <w:ind w:firstLine="560"/>
      </w:pPr>
      <w:r>
        <w:rPr>
          <w:rFonts w:hint="eastAsia"/>
        </w:rPr>
        <w:t>晋宁区境内原生植被保存不多，现有植被多为次生植被类型。据资料记载，全县植物种类约</w:t>
      </w:r>
      <w:r>
        <w:t>167</w:t>
      </w:r>
      <w:r>
        <w:rPr>
          <w:rFonts w:hint="eastAsia"/>
        </w:rPr>
        <w:t>科，</w:t>
      </w:r>
      <w:r>
        <w:t>900</w:t>
      </w:r>
      <w:r>
        <w:rPr>
          <w:rFonts w:hint="eastAsia"/>
        </w:rPr>
        <w:t>多种。</w:t>
      </w:r>
    </w:p>
    <w:p>
      <w:pPr>
        <w:ind w:firstLine="560"/>
      </w:pPr>
      <w:r>
        <w:rPr>
          <w:rFonts w:hint="eastAsia"/>
        </w:rPr>
        <w:t>（</w:t>
      </w:r>
      <w:r>
        <w:t>1</w:t>
      </w:r>
      <w:r>
        <w:rPr>
          <w:rFonts w:hint="eastAsia"/>
        </w:rPr>
        <w:t>）常见植物种类</w:t>
      </w:r>
    </w:p>
    <w:p>
      <w:pPr>
        <w:ind w:firstLine="560"/>
      </w:pPr>
      <w:r>
        <w:rPr>
          <w:rFonts w:hint="eastAsia"/>
        </w:rPr>
        <w:t>①天然乔木：云南松、华山松、桤木、油杉、其它阔叶树；</w:t>
      </w:r>
    </w:p>
    <w:p>
      <w:pPr>
        <w:ind w:firstLine="560"/>
      </w:pPr>
      <w:r>
        <w:rPr>
          <w:rFonts w:hint="eastAsia"/>
        </w:rPr>
        <w:t>②人工乔木：华山松、桉树、柏木；</w:t>
      </w:r>
    </w:p>
    <w:p>
      <w:pPr>
        <w:ind w:firstLine="560"/>
      </w:pPr>
      <w:r>
        <w:rPr>
          <w:rFonts w:hint="eastAsia"/>
        </w:rPr>
        <w:t>③灌木：地盘松、杜鹃、乌饭、小铁子、柃木、杨梅、山茶、珍珠花、川梨、火把果、野蔷薇、车桑子等；</w:t>
      </w:r>
    </w:p>
    <w:p>
      <w:pPr>
        <w:ind w:firstLine="560"/>
      </w:pPr>
      <w:r>
        <w:rPr>
          <w:rFonts w:hint="eastAsia"/>
        </w:rPr>
        <w:t>④草本：旱茅、野枯草、灰金茅、细柄草、鼠菊草、蕨类、香薷、蒿、紫茎泽兰等。</w:t>
      </w:r>
    </w:p>
    <w:p>
      <w:pPr>
        <w:ind w:firstLine="560"/>
      </w:pPr>
      <w:r>
        <w:rPr>
          <w:rFonts w:hint="eastAsia"/>
        </w:rPr>
        <w:t>（</w:t>
      </w:r>
      <w:r>
        <w:t>2</w:t>
      </w:r>
      <w:r>
        <w:rPr>
          <w:rFonts w:hint="eastAsia"/>
        </w:rPr>
        <w:t>）主要植被类型</w:t>
      </w:r>
    </w:p>
    <w:p>
      <w:pPr>
        <w:ind w:firstLine="560"/>
      </w:pPr>
      <w:r>
        <w:rPr>
          <w:rFonts w:hint="eastAsia"/>
        </w:rPr>
        <w:t>①常绿阔叶林：分布于海拔</w:t>
      </w:r>
      <w:r>
        <w:t>2200 m</w:t>
      </w:r>
      <w:r>
        <w:rPr>
          <w:rFonts w:hint="eastAsia"/>
        </w:rPr>
        <w:t>以下地区，主要组成树种有滇青冈、元江栲、滇石砾、滇润楠、香果树、红枝木姜子、大白花杜鹃、碎米花杜鹃、滇玉兰等常绿树种，同时混生少量落叶树种和常绿的松柏类树种；其下木层覆盖度较小，但草本植物比较发达。</w:t>
      </w:r>
    </w:p>
    <w:p>
      <w:pPr>
        <w:ind w:firstLine="560"/>
      </w:pPr>
      <w:r>
        <w:rPr>
          <w:rFonts w:hint="eastAsia"/>
        </w:rPr>
        <w:t>②暖性针叶林：主要是云南松林。云南松林在</w:t>
      </w:r>
      <w:r>
        <w:t>2500 m</w:t>
      </w:r>
      <w:r>
        <w:rPr>
          <w:rFonts w:hint="eastAsia"/>
        </w:rPr>
        <w:t>以下均有分布，主要有灌木云南松林、草类云南松林和落叶栎类云南松林。</w:t>
      </w:r>
    </w:p>
    <w:p>
      <w:pPr>
        <w:ind w:firstLine="560"/>
      </w:pPr>
      <w:r>
        <w:rPr>
          <w:rFonts w:hint="eastAsia"/>
        </w:rPr>
        <w:t>③温性针叶林：主要是华山松林。华山松林集中分布于海拔</w:t>
      </w:r>
      <w:r>
        <w:t>2300</w:t>
      </w:r>
      <w:r>
        <w:rPr>
          <w:rFonts w:hint="eastAsia"/>
        </w:rPr>
        <w:t>米以下地区，常与云南松、栎类组成混交林，也常以小片纯林零星分布。</w:t>
      </w:r>
    </w:p>
    <w:p>
      <w:pPr>
        <w:ind w:firstLine="560"/>
      </w:pPr>
      <w:r>
        <w:rPr>
          <w:rFonts w:hint="eastAsia"/>
        </w:rPr>
        <w:t>④灌丛和草丛：分布在海拔</w:t>
      </w:r>
      <w:r>
        <w:t>2000m</w:t>
      </w:r>
      <w:r>
        <w:rPr>
          <w:rFonts w:hint="eastAsia"/>
        </w:rPr>
        <w:t>以上、土壤贫瘠地方，多为地盘松，个别地方常绿栎类为伴生树种。</w:t>
      </w:r>
    </w:p>
    <w:p>
      <w:pPr>
        <w:ind w:firstLine="560"/>
      </w:pPr>
    </w:p>
    <w:p>
      <w:pPr>
        <w:pStyle w:val="4"/>
        <w:rPr>
          <w:sz w:val="32"/>
        </w:rPr>
      </w:pPr>
      <w:bookmarkStart w:id="8" w:name="_Toc43042492"/>
      <w:r>
        <w:rPr>
          <w:sz w:val="32"/>
        </w:rPr>
        <w:t xml:space="preserve">1.3.2 </w:t>
      </w:r>
      <w:r>
        <w:rPr>
          <w:rFonts w:hint="eastAsia"/>
          <w:sz w:val="32"/>
        </w:rPr>
        <w:t>社会经济状况</w:t>
      </w:r>
      <w:bookmarkEnd w:id="8"/>
    </w:p>
    <w:p>
      <w:pPr>
        <w:pStyle w:val="5"/>
      </w:pPr>
      <w:r>
        <w:t xml:space="preserve">1.3.2.1 </w:t>
      </w:r>
      <w:r>
        <w:rPr>
          <w:rFonts w:hint="eastAsia"/>
        </w:rPr>
        <w:t>行政区划</w:t>
      </w:r>
    </w:p>
    <w:p>
      <w:pPr>
        <w:ind w:firstLine="560"/>
      </w:pPr>
      <w:r>
        <w:t>2005</w:t>
      </w:r>
      <w:r>
        <w:rPr>
          <w:rFonts w:hint="eastAsia"/>
        </w:rPr>
        <w:t>年以前，晋宁县辖</w:t>
      </w:r>
      <w:r>
        <w:t>4</w:t>
      </w:r>
      <w:r>
        <w:rPr>
          <w:rFonts w:hint="eastAsia"/>
        </w:rPr>
        <w:t>个镇、</w:t>
      </w:r>
      <w:r>
        <w:t>8</w:t>
      </w:r>
      <w:r>
        <w:rPr>
          <w:rFonts w:hint="eastAsia"/>
        </w:rPr>
        <w:t>个乡（其中</w:t>
      </w:r>
      <w:r>
        <w:t>2</w:t>
      </w:r>
      <w:r>
        <w:rPr>
          <w:rFonts w:hint="eastAsia"/>
        </w:rPr>
        <w:t>个民族乡）：昆阳镇、晋城镇、古城镇、宝峰镇、二街乡、化乐乡、中和乡、双河彝族乡、夕阳彝族乡、上蒜乡、六街乡、新街乡。</w:t>
      </w:r>
    </w:p>
    <w:p>
      <w:pPr>
        <w:ind w:firstLine="560"/>
      </w:pPr>
      <w:r>
        <w:t>2006</w:t>
      </w:r>
      <w:r>
        <w:rPr>
          <w:rFonts w:hint="eastAsia"/>
        </w:rPr>
        <w:t>年</w:t>
      </w:r>
      <w:r>
        <w:t>3</w:t>
      </w:r>
      <w:r>
        <w:rPr>
          <w:rFonts w:hint="eastAsia"/>
        </w:rPr>
        <w:t>月实行乡镇机构改革，中和乡和古城镇并入昆阳镇，化乐乡并入晋城镇。</w:t>
      </w:r>
    </w:p>
    <w:p>
      <w:pPr>
        <w:ind w:firstLine="560"/>
      </w:pPr>
      <w:r>
        <w:t>2009</w:t>
      </w:r>
      <w:r>
        <w:rPr>
          <w:rFonts w:hint="eastAsia"/>
        </w:rPr>
        <w:t>年，二街乡、新街乡、上蒜乡、六街乡均撤乡改镇。</w:t>
      </w:r>
    </w:p>
    <w:p>
      <w:pPr>
        <w:ind w:firstLine="560"/>
      </w:pPr>
      <w:r>
        <w:t>2010</w:t>
      </w:r>
      <w:r>
        <w:rPr>
          <w:rFonts w:hint="eastAsia"/>
        </w:rPr>
        <w:t>年，宝峰镇并入昆阳镇，新街镇并入晋城镇。晋宁县辖</w:t>
      </w:r>
      <w:r>
        <w:t>5</w:t>
      </w:r>
      <w:r>
        <w:rPr>
          <w:rFonts w:hint="eastAsia"/>
        </w:rPr>
        <w:t>镇、</w:t>
      </w:r>
      <w:r>
        <w:t>2</w:t>
      </w:r>
      <w:r>
        <w:rPr>
          <w:rFonts w:hint="eastAsia"/>
        </w:rPr>
        <w:t>乡：昆阳镇、晋城镇、二街镇、上蒜镇、六街镇、双河彝族乡、夕阳彝族乡。</w:t>
      </w:r>
    </w:p>
    <w:p>
      <w:pPr>
        <w:ind w:firstLine="560"/>
      </w:pPr>
      <w:r>
        <w:t>2011</w:t>
      </w:r>
      <w:r>
        <w:rPr>
          <w:rFonts w:hint="eastAsia"/>
        </w:rPr>
        <w:t>年，昆阳撤镇设街道，新街镇并入晋城镇。</w:t>
      </w:r>
    </w:p>
    <w:p>
      <w:pPr>
        <w:ind w:firstLine="560"/>
      </w:pPr>
      <w:r>
        <w:t>2016</w:t>
      </w:r>
      <w:r>
        <w:rPr>
          <w:rFonts w:hint="eastAsia"/>
        </w:rPr>
        <w:t>年，撤销晋宁县，设立昆明市晋宁区，晋宁区的行政区域为原晋宁县的行政区域。</w:t>
      </w:r>
    </w:p>
    <w:p>
      <w:pPr>
        <w:ind w:firstLine="560"/>
      </w:pPr>
      <w:r>
        <w:t>2017</w:t>
      </w:r>
      <w:r>
        <w:rPr>
          <w:rFonts w:hint="eastAsia"/>
        </w:rPr>
        <w:t>年，昆阳街道析置为昆阳街道和宝丰街道。</w:t>
      </w:r>
    </w:p>
    <w:p>
      <w:pPr>
        <w:pStyle w:val="5"/>
      </w:pPr>
      <w:r>
        <w:rPr>
          <w:rFonts w:hint="eastAsia"/>
        </w:rPr>
        <w:t>1.3.2.2 人口分布</w:t>
      </w:r>
    </w:p>
    <w:p>
      <w:pPr>
        <w:adjustRightInd w:val="0"/>
        <w:snapToGrid w:val="0"/>
        <w:ind w:firstLine="560"/>
        <w:rPr>
          <w:szCs w:val="28"/>
        </w:rPr>
      </w:pPr>
      <w:r>
        <w:t>2018</w:t>
      </w:r>
      <w:r>
        <w:rPr>
          <w:rFonts w:hint="eastAsia"/>
        </w:rPr>
        <w:t>年</w:t>
      </w:r>
      <w:r>
        <w:rPr>
          <w:rFonts w:hint="eastAsia"/>
          <w:szCs w:val="28"/>
        </w:rPr>
        <w:t>年末常住人口为</w:t>
      </w:r>
      <w:r>
        <w:rPr>
          <w:szCs w:val="28"/>
        </w:rPr>
        <w:t>30.92</w:t>
      </w:r>
      <w:r>
        <w:rPr>
          <w:rFonts w:hint="eastAsia"/>
          <w:szCs w:val="28"/>
        </w:rPr>
        <w:t>万人，其中：城镇人口</w:t>
      </w:r>
      <w:r>
        <w:rPr>
          <w:szCs w:val="28"/>
        </w:rPr>
        <w:t>14.93</w:t>
      </w:r>
      <w:r>
        <w:rPr>
          <w:rFonts w:hint="eastAsia"/>
          <w:szCs w:val="28"/>
        </w:rPr>
        <w:t>万人，乡村人口</w:t>
      </w:r>
      <w:r>
        <w:rPr>
          <w:szCs w:val="28"/>
        </w:rPr>
        <w:t>15.99</w:t>
      </w:r>
      <w:r>
        <w:rPr>
          <w:rFonts w:hint="eastAsia"/>
          <w:szCs w:val="28"/>
        </w:rPr>
        <w:t>万人。人口出生率为</w:t>
      </w:r>
      <w:r>
        <w:rPr>
          <w:szCs w:val="28"/>
        </w:rPr>
        <w:t>11.56‰</w:t>
      </w:r>
      <w:r>
        <w:rPr>
          <w:rFonts w:hint="eastAsia"/>
          <w:szCs w:val="28"/>
        </w:rPr>
        <w:t>，人口死亡率为</w:t>
      </w:r>
      <w:r>
        <w:rPr>
          <w:szCs w:val="28"/>
        </w:rPr>
        <w:t>3.67‰</w:t>
      </w:r>
      <w:r>
        <w:rPr>
          <w:rFonts w:hint="eastAsia"/>
          <w:szCs w:val="28"/>
        </w:rPr>
        <w:t>，人口自然增长率为</w:t>
      </w:r>
      <w:r>
        <w:rPr>
          <w:szCs w:val="28"/>
        </w:rPr>
        <w:t>7.89‰</w:t>
      </w:r>
      <w:r>
        <w:rPr>
          <w:rFonts w:hint="eastAsia"/>
          <w:szCs w:val="28"/>
        </w:rPr>
        <w:t>。</w:t>
      </w:r>
    </w:p>
    <w:p>
      <w:pPr>
        <w:adjustRightInd w:val="0"/>
        <w:snapToGrid w:val="0"/>
        <w:ind w:firstLine="560"/>
        <w:rPr>
          <w:szCs w:val="28"/>
        </w:rPr>
      </w:pPr>
      <w:r>
        <w:rPr>
          <w:rFonts w:hint="eastAsia"/>
          <w:szCs w:val="28"/>
        </w:rPr>
        <w:t>晋宁区共有彝族、白族、哈尼族、傣族、壮族、苗族、回族、傈僳族、拉祜族、佤族、纳西族、景颇族、瑶族、藏族、布朗族、阿吕族、怒族、普米族、蒙古族、满族、水族、布依族、独龙族、基诺族等</w:t>
      </w:r>
      <w:r>
        <w:rPr>
          <w:szCs w:val="28"/>
        </w:rPr>
        <w:t>24</w:t>
      </w:r>
      <w:r>
        <w:rPr>
          <w:rFonts w:hint="eastAsia"/>
          <w:szCs w:val="28"/>
        </w:rPr>
        <w:t>个少数民族分布。少数民族共有</w:t>
      </w:r>
      <w:r>
        <w:rPr>
          <w:szCs w:val="28"/>
        </w:rPr>
        <w:t>3.51</w:t>
      </w:r>
      <w:r>
        <w:rPr>
          <w:rFonts w:hint="eastAsia"/>
          <w:szCs w:val="28"/>
        </w:rPr>
        <w:t>万人，少数民族人口占总人口的</w:t>
      </w:r>
      <w:r>
        <w:rPr>
          <w:szCs w:val="28"/>
        </w:rPr>
        <w:t>12.28%</w:t>
      </w:r>
      <w:r>
        <w:rPr>
          <w:rFonts w:hint="eastAsia"/>
          <w:szCs w:val="28"/>
        </w:rPr>
        <w:t>。</w:t>
      </w:r>
    </w:p>
    <w:p>
      <w:pPr>
        <w:ind w:firstLine="560"/>
      </w:pPr>
    </w:p>
    <w:p>
      <w:pPr>
        <w:pStyle w:val="5"/>
      </w:pPr>
      <w:r>
        <w:rPr>
          <w:rFonts w:hint="eastAsia"/>
        </w:rPr>
        <w:t>1.3.2.3 经济状况</w:t>
      </w:r>
    </w:p>
    <w:p>
      <w:pPr>
        <w:ind w:firstLine="560"/>
      </w:pPr>
      <w:r>
        <w:t>2018</w:t>
      </w:r>
      <w:r>
        <w:rPr>
          <w:rFonts w:hint="eastAsia"/>
        </w:rPr>
        <w:t>年全区实现生产总值（</w:t>
      </w:r>
      <w:r>
        <w:t>GDP</w:t>
      </w:r>
      <w:r>
        <w:rPr>
          <w:rFonts w:hint="eastAsia"/>
        </w:rPr>
        <w:t>）</w:t>
      </w:r>
      <w:r>
        <w:t>135.80</w:t>
      </w:r>
      <w:r>
        <w:rPr>
          <w:rFonts w:hint="eastAsia"/>
        </w:rPr>
        <w:t>亿元，年均增长</w:t>
      </w:r>
      <w:r>
        <w:t>6.4%</w:t>
      </w:r>
      <w:r>
        <w:rPr>
          <w:rFonts w:hint="eastAsia"/>
        </w:rPr>
        <w:t>，保持了较高的增长水平。其中第一产业生产总值</w:t>
      </w:r>
      <w:r>
        <w:t>23.92</w:t>
      </w:r>
      <w:r>
        <w:rPr>
          <w:rFonts w:hint="eastAsia"/>
        </w:rPr>
        <w:t>亿元，增长</w:t>
      </w:r>
      <w:r>
        <w:t>6.9%</w:t>
      </w:r>
      <w:r>
        <w:rPr>
          <w:rFonts w:hint="eastAsia"/>
        </w:rPr>
        <w:t>；第二产业生产总值</w:t>
      </w:r>
      <w:r>
        <w:t>47.99</w:t>
      </w:r>
      <w:r>
        <w:rPr>
          <w:rFonts w:hint="eastAsia"/>
        </w:rPr>
        <w:t>亿元，增长</w:t>
      </w:r>
      <w:r>
        <w:t>6.0%</w:t>
      </w:r>
      <w:r>
        <w:rPr>
          <w:rFonts w:hint="eastAsia"/>
        </w:rPr>
        <w:t>；第三产业生产总值</w:t>
      </w:r>
      <w:r>
        <w:t>63.88</w:t>
      </w:r>
      <w:r>
        <w:rPr>
          <w:rFonts w:hint="eastAsia"/>
        </w:rPr>
        <w:t>亿元，增长</w:t>
      </w:r>
      <w:r>
        <w:t>6.5%</w:t>
      </w:r>
      <w:r>
        <w:rPr>
          <w:rFonts w:hint="eastAsia"/>
        </w:rPr>
        <w:t>。三次产业的结构比为</w:t>
      </w:r>
      <w:r>
        <w:t>17.6:35.4:47.0</w:t>
      </w:r>
      <w:r>
        <w:rPr>
          <w:rFonts w:hint="eastAsia"/>
        </w:rPr>
        <w:t>，第三产业发展明显加快。</w:t>
      </w:r>
    </w:p>
    <w:p>
      <w:pPr>
        <w:ind w:firstLine="560"/>
      </w:pPr>
      <w:r>
        <w:rPr>
          <w:rFonts w:hint="eastAsia"/>
        </w:rPr>
        <w:t>人均地区生产总值达</w:t>
      </w:r>
      <w:r>
        <w:t>47483</w:t>
      </w:r>
      <w:r>
        <w:rPr>
          <w:rFonts w:hint="eastAsia"/>
        </w:rPr>
        <w:t>元。</w:t>
      </w:r>
      <w:r>
        <w:t>2018</w:t>
      </w:r>
      <w:r>
        <w:rPr>
          <w:rFonts w:hint="eastAsia"/>
        </w:rPr>
        <w:t>年，完成地方财政总收入</w:t>
      </w:r>
      <w:r>
        <w:t>19.77</w:t>
      </w:r>
      <w:r>
        <w:rPr>
          <w:rFonts w:hint="eastAsia"/>
        </w:rPr>
        <w:t>亿元，其中地方一般预算收入</w:t>
      </w:r>
      <w:r>
        <w:t>12.50</w:t>
      </w:r>
      <w:r>
        <w:rPr>
          <w:rFonts w:hint="eastAsia"/>
        </w:rPr>
        <w:t>亿元；完成全社会固定资产投资年均增长</w:t>
      </w:r>
      <w:r>
        <w:t>9.30%</w:t>
      </w:r>
      <w:r>
        <w:rPr>
          <w:rFonts w:hint="eastAsia"/>
        </w:rPr>
        <w:t>；完成社会消费品零售总额</w:t>
      </w:r>
      <w:r>
        <w:t>46.38</w:t>
      </w:r>
      <w:r>
        <w:rPr>
          <w:rFonts w:hint="eastAsia"/>
        </w:rPr>
        <w:t>亿元，年均增长</w:t>
      </w:r>
      <w:r>
        <w:t>12.1%</w:t>
      </w:r>
      <w:r>
        <w:rPr>
          <w:rFonts w:hint="eastAsia"/>
        </w:rPr>
        <w:t>；实现城镇居民人均可支配收入</w:t>
      </w:r>
      <w:r>
        <w:t>3.9776</w:t>
      </w:r>
      <w:r>
        <w:rPr>
          <w:rFonts w:hint="eastAsia"/>
        </w:rPr>
        <w:t>万元，年均增长</w:t>
      </w:r>
      <w:r>
        <w:t>8.3%</w:t>
      </w:r>
      <w:r>
        <w:rPr>
          <w:rFonts w:hint="eastAsia"/>
        </w:rPr>
        <w:t>；实现农民人均纯收入</w:t>
      </w:r>
      <w:r>
        <w:t>1.6786</w:t>
      </w:r>
      <w:r>
        <w:rPr>
          <w:rFonts w:hint="eastAsia"/>
        </w:rPr>
        <w:t>万元；实现农民人均可支配收入</w:t>
      </w:r>
      <w:r>
        <w:t>1.5776</w:t>
      </w:r>
      <w:r>
        <w:rPr>
          <w:rFonts w:hint="eastAsia"/>
        </w:rPr>
        <w:t>万元，年均增长</w:t>
      </w:r>
      <w:r>
        <w:t>8.7%</w:t>
      </w:r>
      <w:r>
        <w:rPr>
          <w:rFonts w:hint="eastAsia"/>
        </w:rPr>
        <w:t>。</w:t>
      </w:r>
    </w:p>
    <w:p>
      <w:pPr>
        <w:pStyle w:val="4"/>
      </w:pPr>
      <w:bookmarkStart w:id="9" w:name="_Toc43042493"/>
      <w:r>
        <w:rPr>
          <w:rFonts w:hint="eastAsia"/>
        </w:rPr>
        <w:t>1.3.3 生态环境保护状况</w:t>
      </w:r>
      <w:bookmarkEnd w:id="9"/>
    </w:p>
    <w:p>
      <w:pPr>
        <w:pStyle w:val="5"/>
      </w:pPr>
      <w:r>
        <w:rPr>
          <w:rFonts w:hint="eastAsia"/>
        </w:rPr>
        <w:t>1.3.3.1 生态敏感区分布</w:t>
      </w:r>
    </w:p>
    <w:p>
      <w:pPr>
        <w:ind w:firstLine="560"/>
        <w:rPr>
          <w:szCs w:val="28"/>
        </w:rPr>
      </w:pPr>
      <w:r>
        <w:rPr>
          <w:rFonts w:hint="eastAsia"/>
          <w:szCs w:val="28"/>
        </w:rPr>
        <w:t>晋宁区是昆明都市核心区的重要组成部分，也是滇文化的发祥地，自然资源丰富。晋宁区的生态敏感区见下表。</w:t>
      </w:r>
    </w:p>
    <w:p>
      <w:pPr>
        <w:ind w:firstLine="560"/>
        <w:rPr>
          <w:szCs w:val="28"/>
        </w:rPr>
      </w:pPr>
    </w:p>
    <w:p>
      <w:pPr>
        <w:ind w:firstLine="560"/>
        <w:rPr>
          <w:szCs w:val="28"/>
        </w:rPr>
      </w:pPr>
    </w:p>
    <w:p>
      <w:pPr>
        <w:ind w:firstLine="560"/>
        <w:jc w:val="center"/>
      </w:pPr>
      <w:r>
        <w:rPr>
          <w:rFonts w:hint="eastAsia"/>
          <w:szCs w:val="28"/>
        </w:rPr>
        <w:t>表1-1 晋宁区主要生态敏感区一览表</w:t>
      </w:r>
    </w:p>
    <w:tbl>
      <w:tblPr>
        <w:tblStyle w:val="2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08"/>
        <w:gridCol w:w="2757"/>
        <w:gridCol w:w="3159"/>
        <w:gridCol w:w="2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807" w:type="pct"/>
            <w:vAlign w:val="center"/>
          </w:tcPr>
          <w:p>
            <w:pPr>
              <w:adjustRightInd w:val="0"/>
              <w:snapToGrid w:val="0"/>
              <w:spacing w:line="240" w:lineRule="auto"/>
              <w:ind w:firstLine="0" w:firstLineChars="0"/>
              <w:jc w:val="center"/>
              <w:rPr>
                <w:rFonts w:eastAsiaTheme="minorEastAsia"/>
                <w:b/>
                <w:bCs/>
              </w:rPr>
            </w:pPr>
            <w:r>
              <w:rPr>
                <w:rFonts w:hAnsiTheme="minorEastAsia" w:eastAsiaTheme="minorEastAsia"/>
                <w:b/>
                <w:bCs/>
              </w:rPr>
              <w:t>类型</w:t>
            </w:r>
          </w:p>
        </w:tc>
        <w:tc>
          <w:tcPr>
            <w:tcW w:w="1384" w:type="pct"/>
            <w:vAlign w:val="center"/>
          </w:tcPr>
          <w:p>
            <w:pPr>
              <w:adjustRightInd w:val="0"/>
              <w:snapToGrid w:val="0"/>
              <w:spacing w:line="240" w:lineRule="auto"/>
              <w:ind w:firstLine="0" w:firstLineChars="0"/>
              <w:jc w:val="center"/>
              <w:rPr>
                <w:rFonts w:eastAsiaTheme="minorEastAsia"/>
                <w:b/>
                <w:bCs/>
              </w:rPr>
            </w:pPr>
            <w:r>
              <w:rPr>
                <w:rFonts w:hAnsiTheme="minorEastAsia" w:eastAsiaTheme="minorEastAsia"/>
                <w:b/>
                <w:bCs/>
              </w:rPr>
              <w:t>生态敏感（区）</w:t>
            </w:r>
          </w:p>
        </w:tc>
        <w:tc>
          <w:tcPr>
            <w:tcW w:w="1586" w:type="pct"/>
            <w:vAlign w:val="center"/>
          </w:tcPr>
          <w:p>
            <w:pPr>
              <w:adjustRightInd w:val="0"/>
              <w:snapToGrid w:val="0"/>
              <w:spacing w:line="240" w:lineRule="auto"/>
              <w:ind w:firstLine="0" w:firstLineChars="0"/>
              <w:jc w:val="center"/>
              <w:rPr>
                <w:rFonts w:eastAsiaTheme="minorEastAsia"/>
                <w:b/>
                <w:bCs/>
              </w:rPr>
            </w:pPr>
            <w:r>
              <w:rPr>
                <w:rFonts w:hAnsiTheme="minorEastAsia" w:eastAsiaTheme="minorEastAsia"/>
                <w:b/>
                <w:bCs/>
              </w:rPr>
              <w:t>位置</w:t>
            </w:r>
          </w:p>
        </w:tc>
        <w:tc>
          <w:tcPr>
            <w:tcW w:w="1223" w:type="pct"/>
            <w:vAlign w:val="center"/>
          </w:tcPr>
          <w:p>
            <w:pPr>
              <w:adjustRightInd w:val="0"/>
              <w:snapToGrid w:val="0"/>
              <w:spacing w:line="240" w:lineRule="auto"/>
              <w:ind w:firstLine="0" w:firstLineChars="0"/>
              <w:jc w:val="center"/>
              <w:rPr>
                <w:rFonts w:eastAsiaTheme="minorEastAsia"/>
                <w:b/>
                <w:bCs/>
              </w:rPr>
            </w:pPr>
            <w:r>
              <w:rPr>
                <w:rFonts w:hAnsiTheme="minorEastAsia" w:eastAsiaTheme="minorEastAsia"/>
                <w:b/>
                <w:bCs/>
              </w:rPr>
              <w:t>面积（</w:t>
            </w:r>
            <w:r>
              <w:rPr>
                <w:rFonts w:eastAsiaTheme="minorEastAsia"/>
                <w:b/>
                <w:bCs/>
              </w:rPr>
              <w:t>km</w:t>
            </w:r>
            <w:r>
              <w:rPr>
                <w:rFonts w:eastAsiaTheme="minorEastAsia"/>
                <w:b/>
                <w:bCs/>
                <w:vertAlign w:val="superscript"/>
              </w:rPr>
              <w:t>2</w:t>
            </w:r>
            <w:r>
              <w:rPr>
                <w:rFonts w:hAnsiTheme="minorEastAsia" w:eastAsiaTheme="minorEastAsia"/>
                <w:b/>
                <w:bC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7" w:type="pct"/>
            <w:vMerge w:val="restart"/>
            <w:vAlign w:val="center"/>
          </w:tcPr>
          <w:p>
            <w:pPr>
              <w:adjustRightInd w:val="0"/>
              <w:snapToGrid w:val="0"/>
              <w:spacing w:line="240" w:lineRule="auto"/>
              <w:ind w:firstLine="0" w:firstLineChars="0"/>
              <w:jc w:val="center"/>
              <w:rPr>
                <w:rFonts w:eastAsiaTheme="minorEastAsia"/>
              </w:rPr>
            </w:pPr>
            <w:r>
              <w:rPr>
                <w:rFonts w:hAnsiTheme="minorEastAsia" w:eastAsiaTheme="minorEastAsia"/>
              </w:rPr>
              <w:t>生物多样性和重点生境保护区域</w:t>
            </w:r>
          </w:p>
        </w:tc>
        <w:tc>
          <w:tcPr>
            <w:tcW w:w="1384" w:type="pct"/>
            <w:vAlign w:val="center"/>
          </w:tcPr>
          <w:p>
            <w:pPr>
              <w:adjustRightInd w:val="0"/>
              <w:snapToGrid w:val="0"/>
              <w:spacing w:line="240" w:lineRule="auto"/>
              <w:ind w:firstLine="0" w:firstLineChars="0"/>
              <w:jc w:val="center"/>
              <w:rPr>
                <w:rFonts w:eastAsiaTheme="minorEastAsia"/>
              </w:rPr>
            </w:pPr>
            <w:r>
              <w:rPr>
                <w:rFonts w:hint="eastAsia" w:hAnsiTheme="minorEastAsia" w:eastAsiaTheme="minorEastAsia"/>
              </w:rPr>
              <w:t>中国前寒武系省级地质自然保护区</w:t>
            </w:r>
          </w:p>
        </w:tc>
        <w:tc>
          <w:tcPr>
            <w:tcW w:w="1586" w:type="pct"/>
            <w:vAlign w:val="center"/>
          </w:tcPr>
          <w:p>
            <w:pPr>
              <w:adjustRightInd w:val="0"/>
              <w:snapToGrid w:val="0"/>
              <w:spacing w:line="240" w:lineRule="auto"/>
              <w:ind w:firstLine="0" w:firstLineChars="0"/>
              <w:jc w:val="center"/>
              <w:rPr>
                <w:rFonts w:eastAsiaTheme="minorEastAsia"/>
              </w:rPr>
            </w:pPr>
            <w:r>
              <w:rPr>
                <w:rFonts w:hint="eastAsia" w:eastAsiaTheme="minorEastAsia"/>
              </w:rPr>
              <w:t>昆阳街道滇池南岸</w:t>
            </w:r>
          </w:p>
        </w:tc>
        <w:tc>
          <w:tcPr>
            <w:tcW w:w="1223" w:type="pct"/>
            <w:vAlign w:val="center"/>
          </w:tcPr>
          <w:p>
            <w:pPr>
              <w:adjustRightInd w:val="0"/>
              <w:snapToGrid w:val="0"/>
              <w:spacing w:line="240" w:lineRule="auto"/>
              <w:ind w:firstLine="0" w:firstLineChars="0"/>
              <w:jc w:val="center"/>
              <w:rPr>
                <w:rFonts w:eastAsiaTheme="minorEastAsia"/>
              </w:rPr>
            </w:pPr>
            <w:r>
              <w:rPr>
                <w:rFonts w:eastAsiaTheme="minorEastAsia"/>
              </w:rPr>
              <w:t>0.58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807" w:type="pct"/>
            <w:vMerge w:val="continue"/>
            <w:vAlign w:val="center"/>
          </w:tcPr>
          <w:p>
            <w:pPr>
              <w:adjustRightInd w:val="0"/>
              <w:snapToGrid w:val="0"/>
              <w:spacing w:line="240" w:lineRule="auto"/>
              <w:ind w:firstLine="0" w:firstLineChars="0"/>
              <w:jc w:val="center"/>
              <w:rPr>
                <w:rFonts w:eastAsiaTheme="minorEastAsia"/>
              </w:rPr>
            </w:pPr>
          </w:p>
        </w:tc>
        <w:tc>
          <w:tcPr>
            <w:tcW w:w="1384" w:type="pct"/>
            <w:vAlign w:val="center"/>
          </w:tcPr>
          <w:p>
            <w:pPr>
              <w:adjustRightInd w:val="0"/>
              <w:snapToGrid w:val="0"/>
              <w:spacing w:line="240" w:lineRule="auto"/>
              <w:ind w:firstLine="0" w:firstLineChars="0"/>
              <w:jc w:val="center"/>
              <w:rPr>
                <w:rFonts w:eastAsiaTheme="minorEastAsia"/>
              </w:rPr>
            </w:pPr>
            <w:r>
              <w:rPr>
                <w:rFonts w:hAnsiTheme="minorEastAsia" w:eastAsiaTheme="minorEastAsia"/>
              </w:rPr>
              <w:t>双河磨南德水源林保护区</w:t>
            </w:r>
          </w:p>
        </w:tc>
        <w:tc>
          <w:tcPr>
            <w:tcW w:w="1586" w:type="pct"/>
            <w:vAlign w:val="center"/>
          </w:tcPr>
          <w:p>
            <w:pPr>
              <w:adjustRightInd w:val="0"/>
              <w:snapToGrid w:val="0"/>
              <w:spacing w:line="240" w:lineRule="auto"/>
              <w:ind w:firstLine="0" w:firstLineChars="0"/>
              <w:jc w:val="center"/>
              <w:rPr>
                <w:rFonts w:eastAsiaTheme="minorEastAsia"/>
              </w:rPr>
            </w:pPr>
            <w:r>
              <w:rPr>
                <w:rFonts w:hAnsiTheme="minorEastAsia" w:eastAsiaTheme="minorEastAsia"/>
              </w:rPr>
              <w:t>双河彝族乡所属六个办事处</w:t>
            </w:r>
          </w:p>
        </w:tc>
        <w:tc>
          <w:tcPr>
            <w:tcW w:w="1223" w:type="pct"/>
            <w:vAlign w:val="center"/>
          </w:tcPr>
          <w:p>
            <w:pPr>
              <w:adjustRightInd w:val="0"/>
              <w:snapToGrid w:val="0"/>
              <w:spacing w:line="240" w:lineRule="auto"/>
              <w:ind w:firstLine="700" w:firstLineChars="250"/>
              <w:rPr>
                <w:rFonts w:eastAsiaTheme="minorEastAsia"/>
              </w:rPr>
            </w:pPr>
            <w:r>
              <w:rPr>
                <w:rFonts w:hint="eastAsia" w:eastAsiaTheme="minorEastAsia"/>
              </w:rPr>
              <w:t>316.67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7" w:type="pct"/>
            <w:vMerge w:val="continue"/>
            <w:vAlign w:val="center"/>
          </w:tcPr>
          <w:p>
            <w:pPr>
              <w:adjustRightInd w:val="0"/>
              <w:snapToGrid w:val="0"/>
              <w:spacing w:line="240" w:lineRule="auto"/>
              <w:ind w:firstLine="0" w:firstLineChars="0"/>
              <w:jc w:val="center"/>
              <w:rPr>
                <w:rFonts w:eastAsiaTheme="minorEastAsia"/>
              </w:rPr>
            </w:pPr>
          </w:p>
        </w:tc>
        <w:tc>
          <w:tcPr>
            <w:tcW w:w="1384" w:type="pct"/>
            <w:vAlign w:val="center"/>
          </w:tcPr>
          <w:p>
            <w:pPr>
              <w:adjustRightInd w:val="0"/>
              <w:snapToGrid w:val="0"/>
              <w:spacing w:line="240" w:lineRule="auto"/>
              <w:ind w:firstLine="0" w:firstLineChars="0"/>
              <w:jc w:val="center"/>
              <w:rPr>
                <w:rFonts w:eastAsiaTheme="minorEastAsia"/>
              </w:rPr>
            </w:pPr>
            <w:r>
              <w:rPr>
                <w:rFonts w:hAnsiTheme="minorEastAsia" w:eastAsiaTheme="minorEastAsia"/>
              </w:rPr>
              <w:t>夕阳古</w:t>
            </w:r>
            <w:r>
              <w:rPr>
                <w:rFonts w:hint="eastAsia" w:hAnsiTheme="minorEastAsia" w:eastAsiaTheme="minorEastAsia"/>
              </w:rPr>
              <w:t>脊椎动物</w:t>
            </w:r>
            <w:r>
              <w:rPr>
                <w:rFonts w:hAnsiTheme="minorEastAsia" w:eastAsiaTheme="minorEastAsia"/>
              </w:rPr>
              <w:t>化石自然保护区</w:t>
            </w:r>
          </w:p>
        </w:tc>
        <w:tc>
          <w:tcPr>
            <w:tcW w:w="1586" w:type="pct"/>
            <w:vAlign w:val="center"/>
          </w:tcPr>
          <w:p>
            <w:pPr>
              <w:adjustRightInd w:val="0"/>
              <w:snapToGrid w:val="0"/>
              <w:spacing w:line="240" w:lineRule="auto"/>
              <w:ind w:firstLine="0" w:firstLineChars="0"/>
              <w:jc w:val="center"/>
              <w:rPr>
                <w:rFonts w:eastAsiaTheme="minorEastAsia"/>
              </w:rPr>
            </w:pPr>
            <w:r>
              <w:rPr>
                <w:rFonts w:hAnsiTheme="minorEastAsia" w:eastAsiaTheme="minorEastAsia"/>
              </w:rPr>
              <w:t>夕阳彝族乡</w:t>
            </w:r>
          </w:p>
        </w:tc>
        <w:tc>
          <w:tcPr>
            <w:tcW w:w="1223" w:type="pct"/>
            <w:vAlign w:val="center"/>
          </w:tcPr>
          <w:p>
            <w:pPr>
              <w:adjustRightInd w:val="0"/>
              <w:snapToGrid w:val="0"/>
              <w:spacing w:line="240" w:lineRule="auto"/>
              <w:ind w:firstLine="0" w:firstLineChars="0"/>
              <w:jc w:val="center"/>
              <w:rPr>
                <w:rFonts w:eastAsiaTheme="minorEastAsia"/>
              </w:rPr>
            </w:pPr>
            <w:r>
              <w:rPr>
                <w:rFonts w:hint="eastAsia" w:eastAsiaTheme="minorEastAsia"/>
              </w:rPr>
              <w:t>156.51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7" w:type="pct"/>
            <w:vMerge w:val="restart"/>
            <w:vAlign w:val="center"/>
          </w:tcPr>
          <w:p>
            <w:pPr>
              <w:adjustRightInd w:val="0"/>
              <w:snapToGrid w:val="0"/>
              <w:spacing w:line="240" w:lineRule="auto"/>
              <w:ind w:firstLine="0" w:firstLineChars="0"/>
              <w:jc w:val="center"/>
              <w:rPr>
                <w:rFonts w:eastAsiaTheme="minorEastAsia"/>
              </w:rPr>
            </w:pPr>
            <w:r>
              <w:rPr>
                <w:rFonts w:hAnsiTheme="minorEastAsia" w:eastAsiaTheme="minorEastAsia"/>
              </w:rPr>
              <w:t>水源涵养区和饮用水源地保护区</w:t>
            </w:r>
          </w:p>
        </w:tc>
        <w:tc>
          <w:tcPr>
            <w:tcW w:w="1384" w:type="pct"/>
            <w:vAlign w:val="center"/>
          </w:tcPr>
          <w:p>
            <w:pPr>
              <w:adjustRightInd w:val="0"/>
              <w:snapToGrid w:val="0"/>
              <w:spacing w:line="240" w:lineRule="auto"/>
              <w:ind w:firstLine="0" w:firstLineChars="0"/>
              <w:jc w:val="center"/>
              <w:rPr>
                <w:rFonts w:eastAsiaTheme="minorEastAsia"/>
              </w:rPr>
            </w:pPr>
            <w:r>
              <w:rPr>
                <w:rFonts w:hAnsiTheme="minorEastAsia" w:eastAsiaTheme="minorEastAsia"/>
              </w:rPr>
              <w:t>大河水库</w:t>
            </w:r>
          </w:p>
        </w:tc>
        <w:tc>
          <w:tcPr>
            <w:tcW w:w="1586" w:type="pct"/>
            <w:vAlign w:val="center"/>
          </w:tcPr>
          <w:p>
            <w:pPr>
              <w:adjustRightInd w:val="0"/>
              <w:snapToGrid w:val="0"/>
              <w:spacing w:line="240" w:lineRule="auto"/>
              <w:ind w:firstLine="0" w:firstLineChars="0"/>
              <w:jc w:val="center"/>
              <w:rPr>
                <w:rFonts w:eastAsiaTheme="minorEastAsia"/>
              </w:rPr>
            </w:pPr>
            <w:r>
              <w:rPr>
                <w:rFonts w:hAnsiTheme="minorEastAsia" w:eastAsiaTheme="minorEastAsia"/>
              </w:rPr>
              <w:t>晋城镇晋江公路旁河涧铺村南面，东接澄江县，西与上蒜镇接壤，北和呈贡区交界</w:t>
            </w:r>
          </w:p>
        </w:tc>
        <w:tc>
          <w:tcPr>
            <w:tcW w:w="1223" w:type="pct"/>
            <w:vAlign w:val="center"/>
          </w:tcPr>
          <w:p>
            <w:pPr>
              <w:adjustRightInd w:val="0"/>
              <w:snapToGrid w:val="0"/>
              <w:spacing w:line="240" w:lineRule="auto"/>
              <w:ind w:firstLine="0" w:firstLineChars="0"/>
              <w:jc w:val="center"/>
              <w:rPr>
                <w:rFonts w:eastAsiaTheme="minorEastAsia"/>
              </w:rPr>
            </w:pPr>
            <w:r>
              <w:rPr>
                <w:rFonts w:eastAsiaTheme="minorEastAsia"/>
              </w:rPr>
              <w:t>34.1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7" w:type="pct"/>
            <w:vMerge w:val="continue"/>
            <w:vAlign w:val="center"/>
          </w:tcPr>
          <w:p>
            <w:pPr>
              <w:adjustRightInd w:val="0"/>
              <w:snapToGrid w:val="0"/>
              <w:spacing w:line="240" w:lineRule="auto"/>
              <w:ind w:firstLine="0" w:firstLineChars="0"/>
              <w:jc w:val="center"/>
              <w:rPr>
                <w:rFonts w:eastAsiaTheme="minorEastAsia"/>
              </w:rPr>
            </w:pPr>
          </w:p>
        </w:tc>
        <w:tc>
          <w:tcPr>
            <w:tcW w:w="1384" w:type="pct"/>
            <w:vAlign w:val="center"/>
          </w:tcPr>
          <w:p>
            <w:pPr>
              <w:adjustRightInd w:val="0"/>
              <w:snapToGrid w:val="0"/>
              <w:spacing w:line="240" w:lineRule="auto"/>
              <w:ind w:firstLine="0" w:firstLineChars="0"/>
              <w:jc w:val="center"/>
              <w:rPr>
                <w:rFonts w:eastAsiaTheme="minorEastAsia"/>
              </w:rPr>
            </w:pPr>
            <w:r>
              <w:rPr>
                <w:rFonts w:hAnsiTheme="minorEastAsia" w:eastAsiaTheme="minorEastAsia"/>
              </w:rPr>
              <w:t>柴河水库</w:t>
            </w:r>
          </w:p>
        </w:tc>
        <w:tc>
          <w:tcPr>
            <w:tcW w:w="1586" w:type="pct"/>
            <w:vAlign w:val="center"/>
          </w:tcPr>
          <w:p>
            <w:pPr>
              <w:adjustRightInd w:val="0"/>
              <w:snapToGrid w:val="0"/>
              <w:spacing w:line="240" w:lineRule="auto"/>
              <w:ind w:firstLine="0" w:firstLineChars="0"/>
              <w:jc w:val="center"/>
              <w:rPr>
                <w:rFonts w:eastAsiaTheme="minorEastAsia"/>
              </w:rPr>
            </w:pPr>
            <w:r>
              <w:rPr>
                <w:rFonts w:hAnsiTheme="minorEastAsia" w:eastAsiaTheme="minorEastAsia"/>
              </w:rPr>
              <w:t>六街镇与上蒜镇交界处李官营村南面的河谷地带</w:t>
            </w:r>
          </w:p>
        </w:tc>
        <w:tc>
          <w:tcPr>
            <w:tcW w:w="1223" w:type="pct"/>
            <w:vAlign w:val="center"/>
          </w:tcPr>
          <w:p>
            <w:pPr>
              <w:adjustRightInd w:val="0"/>
              <w:snapToGrid w:val="0"/>
              <w:spacing w:line="240" w:lineRule="auto"/>
              <w:ind w:firstLine="0" w:firstLineChars="0"/>
              <w:jc w:val="center"/>
              <w:rPr>
                <w:rFonts w:eastAsiaTheme="minorEastAsia"/>
              </w:rPr>
            </w:pPr>
            <w:r>
              <w:rPr>
                <w:rFonts w:eastAsiaTheme="minorEastAsia"/>
              </w:rPr>
              <w:t>101.05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7" w:type="pct"/>
            <w:vMerge w:val="continue"/>
            <w:vAlign w:val="center"/>
          </w:tcPr>
          <w:p>
            <w:pPr>
              <w:adjustRightInd w:val="0"/>
              <w:snapToGrid w:val="0"/>
              <w:spacing w:line="240" w:lineRule="auto"/>
              <w:ind w:firstLine="0" w:firstLineChars="0"/>
              <w:jc w:val="center"/>
              <w:rPr>
                <w:rFonts w:eastAsiaTheme="minorEastAsia"/>
              </w:rPr>
            </w:pPr>
          </w:p>
        </w:tc>
        <w:tc>
          <w:tcPr>
            <w:tcW w:w="1384" w:type="pct"/>
            <w:vAlign w:val="center"/>
          </w:tcPr>
          <w:p>
            <w:pPr>
              <w:adjustRightInd w:val="0"/>
              <w:snapToGrid w:val="0"/>
              <w:spacing w:line="240" w:lineRule="auto"/>
              <w:ind w:firstLine="0" w:firstLineChars="0"/>
              <w:jc w:val="center"/>
              <w:rPr>
                <w:rFonts w:eastAsiaTheme="minorEastAsia"/>
              </w:rPr>
            </w:pPr>
            <w:r>
              <w:rPr>
                <w:rFonts w:hAnsiTheme="minorEastAsia" w:eastAsiaTheme="minorEastAsia"/>
              </w:rPr>
              <w:t>双龙水库</w:t>
            </w:r>
          </w:p>
        </w:tc>
        <w:tc>
          <w:tcPr>
            <w:tcW w:w="1586" w:type="pct"/>
            <w:vAlign w:val="center"/>
          </w:tcPr>
          <w:p>
            <w:pPr>
              <w:adjustRightInd w:val="0"/>
              <w:snapToGrid w:val="0"/>
              <w:spacing w:line="240" w:lineRule="auto"/>
              <w:ind w:firstLine="0" w:firstLineChars="0"/>
              <w:jc w:val="center"/>
              <w:rPr>
                <w:rFonts w:eastAsiaTheme="minorEastAsia"/>
              </w:rPr>
            </w:pPr>
            <w:r>
              <w:rPr>
                <w:rFonts w:hAnsiTheme="minorEastAsia" w:eastAsiaTheme="minorEastAsia"/>
              </w:rPr>
              <w:t>昆阳街道办双龙村</w:t>
            </w:r>
          </w:p>
        </w:tc>
        <w:tc>
          <w:tcPr>
            <w:tcW w:w="1223" w:type="pct"/>
            <w:vAlign w:val="center"/>
          </w:tcPr>
          <w:p>
            <w:pPr>
              <w:adjustRightInd w:val="0"/>
              <w:snapToGrid w:val="0"/>
              <w:spacing w:line="240" w:lineRule="auto"/>
              <w:ind w:firstLine="0" w:firstLineChars="0"/>
              <w:jc w:val="center"/>
              <w:rPr>
                <w:rFonts w:eastAsiaTheme="minorEastAsia"/>
              </w:rPr>
            </w:pPr>
            <w:r>
              <w:rPr>
                <w:rFonts w:eastAsiaTheme="minorEastAsia"/>
              </w:rPr>
              <w:t>12.51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7" w:type="pct"/>
            <w:vMerge w:val="continue"/>
            <w:vAlign w:val="center"/>
          </w:tcPr>
          <w:p>
            <w:pPr>
              <w:adjustRightInd w:val="0"/>
              <w:snapToGrid w:val="0"/>
              <w:spacing w:line="240" w:lineRule="auto"/>
              <w:ind w:firstLine="0" w:firstLineChars="0"/>
              <w:jc w:val="center"/>
              <w:rPr>
                <w:rFonts w:eastAsiaTheme="minorEastAsia"/>
              </w:rPr>
            </w:pPr>
          </w:p>
        </w:tc>
        <w:tc>
          <w:tcPr>
            <w:tcW w:w="1384" w:type="pct"/>
            <w:vAlign w:val="center"/>
          </w:tcPr>
          <w:p>
            <w:pPr>
              <w:adjustRightInd w:val="0"/>
              <w:snapToGrid w:val="0"/>
              <w:spacing w:line="240" w:lineRule="auto"/>
              <w:ind w:firstLine="0" w:firstLineChars="0"/>
              <w:jc w:val="center"/>
              <w:rPr>
                <w:rFonts w:eastAsiaTheme="minorEastAsia"/>
              </w:rPr>
            </w:pPr>
            <w:r>
              <w:rPr>
                <w:rFonts w:hAnsiTheme="minorEastAsia" w:eastAsiaTheme="minorEastAsia"/>
              </w:rPr>
              <w:t>洛武河水库</w:t>
            </w:r>
          </w:p>
        </w:tc>
        <w:tc>
          <w:tcPr>
            <w:tcW w:w="1586" w:type="pct"/>
            <w:vAlign w:val="center"/>
          </w:tcPr>
          <w:p>
            <w:pPr>
              <w:adjustRightInd w:val="0"/>
              <w:snapToGrid w:val="0"/>
              <w:spacing w:line="240" w:lineRule="auto"/>
              <w:ind w:firstLine="0" w:firstLineChars="0"/>
              <w:jc w:val="center"/>
              <w:rPr>
                <w:rFonts w:eastAsiaTheme="minorEastAsia"/>
              </w:rPr>
            </w:pPr>
            <w:r>
              <w:rPr>
                <w:rFonts w:hAnsiTheme="minorEastAsia" w:eastAsiaTheme="minorEastAsia"/>
              </w:rPr>
              <w:t>昆阳街道办乌龙村委会普家村旁</w:t>
            </w:r>
          </w:p>
        </w:tc>
        <w:tc>
          <w:tcPr>
            <w:tcW w:w="1223" w:type="pct"/>
            <w:vAlign w:val="center"/>
          </w:tcPr>
          <w:p>
            <w:pPr>
              <w:adjustRightInd w:val="0"/>
              <w:snapToGrid w:val="0"/>
              <w:spacing w:line="240" w:lineRule="auto"/>
              <w:ind w:firstLine="0" w:firstLineChars="0"/>
              <w:jc w:val="center"/>
              <w:rPr>
                <w:rFonts w:eastAsiaTheme="minorEastAsia"/>
              </w:rPr>
            </w:pPr>
            <w:r>
              <w:rPr>
                <w:rFonts w:eastAsiaTheme="minorEastAsia"/>
              </w:rPr>
              <w:t>1.51</w:t>
            </w:r>
          </w:p>
        </w:tc>
      </w:tr>
    </w:tbl>
    <w:p>
      <w:pPr>
        <w:ind w:firstLine="560"/>
      </w:pPr>
    </w:p>
    <w:p>
      <w:pPr>
        <w:pStyle w:val="5"/>
      </w:pPr>
      <w:r>
        <w:rPr>
          <w:rFonts w:hint="eastAsia"/>
        </w:rPr>
        <w:t>1.3.3.2 水环境质量状况</w:t>
      </w:r>
    </w:p>
    <w:p>
      <w:pPr>
        <w:ind w:firstLine="560"/>
        <w:rPr>
          <w:szCs w:val="28"/>
        </w:rPr>
      </w:pPr>
      <w:r>
        <w:rPr>
          <w:rFonts w:hint="eastAsia"/>
          <w:szCs w:val="28"/>
        </w:rPr>
        <w:t>（</w:t>
      </w:r>
      <w:r>
        <w:rPr>
          <w:szCs w:val="28"/>
        </w:rPr>
        <w:t>1</w:t>
      </w:r>
      <w:r>
        <w:rPr>
          <w:rFonts w:hint="eastAsia"/>
          <w:szCs w:val="28"/>
        </w:rPr>
        <w:t>）饮用水源</w:t>
      </w:r>
    </w:p>
    <w:p>
      <w:pPr>
        <w:ind w:firstLine="560"/>
        <w:rPr>
          <w:rFonts w:eastAsiaTheme="minorEastAsia"/>
        </w:rPr>
      </w:pPr>
      <w:r>
        <w:rPr>
          <w:rFonts w:hAnsiTheme="minorEastAsia" w:eastAsiaTheme="minorEastAsia"/>
        </w:rPr>
        <w:t>大河水库：</w:t>
      </w:r>
      <w:r>
        <w:rPr>
          <w:rFonts w:eastAsiaTheme="minorEastAsia"/>
        </w:rPr>
        <w:t>2019</w:t>
      </w:r>
      <w:r>
        <w:rPr>
          <w:rFonts w:hAnsiTheme="minorEastAsia" w:eastAsiaTheme="minorEastAsia"/>
        </w:rPr>
        <w:t>年</w:t>
      </w:r>
      <w:r>
        <w:rPr>
          <w:rFonts w:eastAsiaTheme="minorEastAsia"/>
        </w:rPr>
        <w:t>1-10</w:t>
      </w:r>
      <w:r>
        <w:rPr>
          <w:rFonts w:hAnsiTheme="minorEastAsia" w:eastAsiaTheme="minorEastAsia"/>
        </w:rPr>
        <w:t>份水质类为Ⅲ类，达到阶段保护Ⅲ类水标准要求。</w:t>
      </w:r>
    </w:p>
    <w:p>
      <w:pPr>
        <w:ind w:firstLine="560"/>
        <w:rPr>
          <w:rFonts w:eastAsiaTheme="minorEastAsia"/>
        </w:rPr>
      </w:pPr>
      <w:r>
        <w:rPr>
          <w:rFonts w:hAnsiTheme="minorEastAsia" w:eastAsiaTheme="minorEastAsia"/>
        </w:rPr>
        <w:t>柴河水库：</w:t>
      </w:r>
      <w:r>
        <w:rPr>
          <w:rFonts w:eastAsiaTheme="minorEastAsia"/>
        </w:rPr>
        <w:t> 2019</w:t>
      </w:r>
      <w:r>
        <w:rPr>
          <w:rFonts w:hAnsiTheme="minorEastAsia" w:eastAsiaTheme="minorEastAsia"/>
        </w:rPr>
        <w:t>年</w:t>
      </w:r>
      <w:r>
        <w:rPr>
          <w:rFonts w:eastAsiaTheme="minorEastAsia"/>
        </w:rPr>
        <w:t>1</w:t>
      </w:r>
      <w:r>
        <w:rPr>
          <w:rFonts w:hAnsiTheme="minorEastAsia" w:eastAsiaTheme="minorEastAsia"/>
        </w:rPr>
        <w:t>月份、</w:t>
      </w:r>
      <w:r>
        <w:rPr>
          <w:rFonts w:eastAsiaTheme="minorEastAsia"/>
        </w:rPr>
        <w:t>5</w:t>
      </w:r>
      <w:r>
        <w:rPr>
          <w:rFonts w:hAnsiTheme="minorEastAsia" w:eastAsiaTheme="minorEastAsia"/>
        </w:rPr>
        <w:t>月份水质类别为Ⅲ类，</w:t>
      </w:r>
      <w:r>
        <w:rPr>
          <w:rFonts w:eastAsiaTheme="minorEastAsia"/>
        </w:rPr>
        <w:t>2-4</w:t>
      </w:r>
      <w:r>
        <w:rPr>
          <w:rFonts w:hAnsiTheme="minorEastAsia" w:eastAsiaTheme="minorEastAsia"/>
        </w:rPr>
        <w:t>月份水质类别为</w:t>
      </w:r>
      <w:r>
        <w:rPr>
          <w:rFonts w:eastAsiaTheme="minorEastAsia"/>
        </w:rPr>
        <w:t>IV</w:t>
      </w:r>
      <w:r>
        <w:rPr>
          <w:rFonts w:hAnsiTheme="minorEastAsia" w:eastAsiaTheme="minorEastAsia"/>
        </w:rPr>
        <w:t>类，</w:t>
      </w:r>
      <w:r>
        <w:rPr>
          <w:rFonts w:eastAsiaTheme="minorEastAsia"/>
        </w:rPr>
        <w:t>6-7 </w:t>
      </w:r>
      <w:r>
        <w:rPr>
          <w:rFonts w:hAnsiTheme="minorEastAsia" w:eastAsiaTheme="minorEastAsia"/>
        </w:rPr>
        <w:t>月份水质</w:t>
      </w:r>
      <w:r>
        <w:rPr>
          <w:rFonts w:eastAsiaTheme="minorEastAsia"/>
        </w:rPr>
        <w:t>IV</w:t>
      </w:r>
      <w:r>
        <w:rPr>
          <w:rFonts w:hAnsiTheme="minorEastAsia" w:eastAsiaTheme="minorEastAsia"/>
        </w:rPr>
        <w:t>类，</w:t>
      </w:r>
      <w:r>
        <w:rPr>
          <w:rFonts w:eastAsiaTheme="minorEastAsia"/>
        </w:rPr>
        <w:t>8-10 </w:t>
      </w:r>
      <w:r>
        <w:rPr>
          <w:rFonts w:hAnsiTheme="minorEastAsia" w:eastAsiaTheme="minorEastAsia"/>
        </w:rPr>
        <w:t>月份水质为Ⅲ类。</w:t>
      </w:r>
      <w:r>
        <w:rPr>
          <w:rFonts w:eastAsiaTheme="minorEastAsia"/>
        </w:rPr>
        <w:t>1-10</w:t>
      </w:r>
      <w:r>
        <w:rPr>
          <w:rFonts w:hAnsiTheme="minorEastAsia" w:eastAsiaTheme="minorEastAsia"/>
        </w:rPr>
        <w:t>月份平均类别为</w:t>
      </w:r>
      <w:r>
        <w:rPr>
          <w:rFonts w:eastAsiaTheme="minorEastAsia"/>
        </w:rPr>
        <w:t>IV</w:t>
      </w:r>
      <w:r>
        <w:rPr>
          <w:rFonts w:hAnsiTheme="minorEastAsia" w:eastAsiaTheme="minorEastAsia"/>
        </w:rPr>
        <w:t>类，未达到阶段保护Ⅲ类水标准要求。</w:t>
      </w:r>
    </w:p>
    <w:p>
      <w:pPr>
        <w:ind w:firstLine="560"/>
        <w:rPr>
          <w:rFonts w:eastAsiaTheme="minorEastAsia"/>
        </w:rPr>
      </w:pPr>
      <w:r>
        <w:rPr>
          <w:rFonts w:hAnsiTheme="minorEastAsia" w:eastAsiaTheme="minorEastAsia"/>
        </w:rPr>
        <w:t>双龙水库：除</w:t>
      </w:r>
      <w:r>
        <w:rPr>
          <w:rFonts w:eastAsiaTheme="minorEastAsia"/>
        </w:rPr>
        <w:t>2019</w:t>
      </w:r>
      <w:r>
        <w:rPr>
          <w:rFonts w:hAnsiTheme="minorEastAsia" w:eastAsiaTheme="minorEastAsia"/>
        </w:rPr>
        <w:t>年</w:t>
      </w:r>
      <w:r>
        <w:rPr>
          <w:rFonts w:eastAsiaTheme="minorEastAsia"/>
        </w:rPr>
        <w:t>5</w:t>
      </w:r>
      <w:r>
        <w:rPr>
          <w:rFonts w:hAnsiTheme="minorEastAsia" w:eastAsiaTheme="minorEastAsia"/>
        </w:rPr>
        <w:t>月份</w:t>
      </w:r>
      <w:r>
        <w:rPr>
          <w:rFonts w:eastAsiaTheme="minorEastAsia"/>
        </w:rPr>
        <w:t>PH</w:t>
      </w:r>
      <w:r>
        <w:rPr>
          <w:rFonts w:hAnsiTheme="minorEastAsia" w:eastAsiaTheme="minorEastAsia"/>
        </w:rPr>
        <w:t>超标为劣</w:t>
      </w:r>
      <w:r>
        <w:rPr>
          <w:rFonts w:eastAsiaTheme="minorEastAsia"/>
        </w:rPr>
        <w:t>V</w:t>
      </w:r>
      <w:r>
        <w:rPr>
          <w:rFonts w:hAnsiTheme="minorEastAsia" w:eastAsiaTheme="minorEastAsia"/>
        </w:rPr>
        <w:t>类，其余月份水质类别为Ⅲ类，</w:t>
      </w:r>
      <w:r>
        <w:rPr>
          <w:rFonts w:eastAsiaTheme="minorEastAsia"/>
        </w:rPr>
        <w:t>1-10 </w:t>
      </w:r>
      <w:r>
        <w:rPr>
          <w:rFonts w:hAnsiTheme="minorEastAsia" w:eastAsiaTheme="minorEastAsia"/>
        </w:rPr>
        <w:t>月水质为Ⅲ类，达到阶段保护Ⅲ类水标准要求。</w:t>
      </w:r>
    </w:p>
    <w:p>
      <w:pPr>
        <w:ind w:firstLine="560"/>
      </w:pPr>
      <w:r>
        <w:rPr>
          <w:rFonts w:hAnsiTheme="minorEastAsia" w:eastAsiaTheme="minorEastAsia"/>
        </w:rPr>
        <w:t>洛武河水库：除</w:t>
      </w:r>
      <w:r>
        <w:rPr>
          <w:rFonts w:eastAsiaTheme="minorEastAsia"/>
        </w:rPr>
        <w:t>2019</w:t>
      </w:r>
      <w:r>
        <w:rPr>
          <w:rFonts w:hAnsiTheme="minorEastAsia" w:eastAsiaTheme="minorEastAsia"/>
        </w:rPr>
        <w:t>年</w:t>
      </w:r>
      <w:r>
        <w:rPr>
          <w:rFonts w:eastAsiaTheme="minorEastAsia"/>
        </w:rPr>
        <w:t>5</w:t>
      </w:r>
      <w:r>
        <w:rPr>
          <w:rFonts w:hAnsiTheme="minorEastAsia" w:eastAsiaTheme="minorEastAsia"/>
        </w:rPr>
        <w:t>月份</w:t>
      </w:r>
      <w:r>
        <w:rPr>
          <w:rFonts w:eastAsiaTheme="minorEastAsia"/>
        </w:rPr>
        <w:t>PH</w:t>
      </w:r>
      <w:r>
        <w:rPr>
          <w:rFonts w:hAnsiTheme="minorEastAsia" w:eastAsiaTheme="minorEastAsia"/>
        </w:rPr>
        <w:t>超标为劣</w:t>
      </w:r>
      <w:r>
        <w:rPr>
          <w:rFonts w:eastAsiaTheme="minorEastAsia"/>
        </w:rPr>
        <w:t>V</w:t>
      </w:r>
      <w:r>
        <w:rPr>
          <w:rFonts w:hAnsiTheme="minorEastAsia" w:eastAsiaTheme="minorEastAsia"/>
        </w:rPr>
        <w:t>类，</w:t>
      </w:r>
      <w:r>
        <w:rPr>
          <w:rFonts w:eastAsiaTheme="minorEastAsia"/>
        </w:rPr>
        <w:t>7-8</w:t>
      </w:r>
      <w:r>
        <w:rPr>
          <w:rFonts w:hAnsiTheme="minorEastAsia" w:eastAsiaTheme="minorEastAsia"/>
        </w:rPr>
        <w:t>月份水质Ⅲ类，其余月份水质类别为</w:t>
      </w:r>
      <w:r>
        <w:rPr>
          <w:rFonts w:eastAsiaTheme="minorEastAsia"/>
        </w:rPr>
        <w:t>II</w:t>
      </w:r>
      <w:r>
        <w:rPr>
          <w:rFonts w:hAnsiTheme="minorEastAsia" w:eastAsiaTheme="minorEastAsia"/>
        </w:rPr>
        <w:t>类，</w:t>
      </w:r>
      <w:r>
        <w:rPr>
          <w:rFonts w:eastAsiaTheme="minorEastAsia"/>
        </w:rPr>
        <w:t>1-10</w:t>
      </w:r>
      <w:r>
        <w:rPr>
          <w:rFonts w:hAnsiTheme="minorEastAsia" w:eastAsiaTheme="minorEastAsia"/>
        </w:rPr>
        <w:t>月水质为</w:t>
      </w:r>
      <w:r>
        <w:rPr>
          <w:rFonts w:eastAsiaTheme="minorEastAsia"/>
        </w:rPr>
        <w:t>II</w:t>
      </w:r>
      <w:r>
        <w:rPr>
          <w:rFonts w:hAnsiTheme="minorEastAsia" w:eastAsiaTheme="minorEastAsia"/>
        </w:rPr>
        <w:t>类，达到阶段保护</w:t>
      </w:r>
      <w:r>
        <w:rPr>
          <w:rFonts w:eastAsiaTheme="minorEastAsia"/>
        </w:rPr>
        <w:t>II</w:t>
      </w:r>
      <w:r>
        <w:rPr>
          <w:rFonts w:hAnsiTheme="minorEastAsia" w:eastAsiaTheme="minorEastAsia"/>
        </w:rPr>
        <w:t>类水标准要求。</w:t>
      </w:r>
    </w:p>
    <w:p>
      <w:pPr>
        <w:spacing w:line="520" w:lineRule="exact"/>
        <w:ind w:firstLine="560"/>
        <w:jc w:val="center"/>
      </w:pPr>
      <w:r>
        <w:t>表</w:t>
      </w:r>
      <w:r>
        <w:rPr>
          <w:rFonts w:hint="eastAsia"/>
        </w:rPr>
        <w:t>1</w:t>
      </w:r>
      <w:r>
        <w:t>-2  2019年</w:t>
      </w:r>
      <w:r>
        <w:rPr>
          <w:rFonts w:hint="eastAsia"/>
        </w:rPr>
        <w:t>晋宁区</w:t>
      </w:r>
      <w:r>
        <w:t>集中式饮用水水源水质状况</w:t>
      </w:r>
    </w:p>
    <w:tbl>
      <w:tblPr>
        <w:tblStyle w:val="26"/>
        <w:tblW w:w="42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296"/>
        <w:gridCol w:w="1155"/>
        <w:gridCol w:w="1800"/>
        <w:gridCol w:w="1178"/>
        <w:gridCol w:w="997"/>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89" w:type="pct"/>
            <w:vAlign w:val="center"/>
          </w:tcPr>
          <w:p>
            <w:pPr>
              <w:spacing w:line="240" w:lineRule="auto"/>
              <w:ind w:firstLine="0" w:firstLineChars="0"/>
              <w:jc w:val="center"/>
              <w:rPr>
                <w:b/>
                <w:bCs/>
              </w:rPr>
            </w:pPr>
            <w:r>
              <w:rPr>
                <w:b/>
                <w:bCs/>
              </w:rPr>
              <w:t>序号</w:t>
            </w:r>
          </w:p>
        </w:tc>
        <w:tc>
          <w:tcPr>
            <w:tcW w:w="771" w:type="pct"/>
            <w:vAlign w:val="center"/>
          </w:tcPr>
          <w:p>
            <w:pPr>
              <w:spacing w:line="240" w:lineRule="auto"/>
              <w:ind w:firstLine="0" w:firstLineChars="0"/>
              <w:jc w:val="center"/>
              <w:rPr>
                <w:b/>
                <w:bCs/>
              </w:rPr>
            </w:pPr>
            <w:r>
              <w:rPr>
                <w:b/>
                <w:bCs/>
              </w:rPr>
              <w:t>省份名称</w:t>
            </w:r>
          </w:p>
        </w:tc>
        <w:tc>
          <w:tcPr>
            <w:tcW w:w="687" w:type="pct"/>
            <w:vAlign w:val="center"/>
          </w:tcPr>
          <w:p>
            <w:pPr>
              <w:spacing w:line="240" w:lineRule="auto"/>
              <w:ind w:firstLine="0" w:firstLineChars="0"/>
              <w:jc w:val="center"/>
              <w:rPr>
                <w:b/>
                <w:bCs/>
              </w:rPr>
            </w:pPr>
            <w:r>
              <w:rPr>
                <w:b/>
                <w:bCs/>
              </w:rPr>
              <w:t>城市名称</w:t>
            </w:r>
          </w:p>
        </w:tc>
        <w:tc>
          <w:tcPr>
            <w:tcW w:w="1071" w:type="pct"/>
            <w:vAlign w:val="center"/>
          </w:tcPr>
          <w:p>
            <w:pPr>
              <w:spacing w:line="240" w:lineRule="auto"/>
              <w:ind w:firstLine="0" w:firstLineChars="0"/>
              <w:jc w:val="center"/>
              <w:rPr>
                <w:b/>
                <w:bCs/>
              </w:rPr>
            </w:pPr>
            <w:r>
              <w:rPr>
                <w:b/>
                <w:bCs/>
              </w:rPr>
              <w:t>水源名称（监测点位）</w:t>
            </w:r>
          </w:p>
        </w:tc>
        <w:tc>
          <w:tcPr>
            <w:tcW w:w="701" w:type="pct"/>
            <w:vAlign w:val="center"/>
          </w:tcPr>
          <w:p>
            <w:pPr>
              <w:spacing w:line="240" w:lineRule="auto"/>
              <w:ind w:firstLine="0" w:firstLineChars="0"/>
              <w:jc w:val="center"/>
              <w:rPr>
                <w:b/>
                <w:bCs/>
              </w:rPr>
            </w:pPr>
            <w:r>
              <w:rPr>
                <w:b/>
                <w:bCs/>
              </w:rPr>
              <w:t>水源类型</w:t>
            </w:r>
          </w:p>
        </w:tc>
        <w:tc>
          <w:tcPr>
            <w:tcW w:w="593" w:type="pct"/>
            <w:vAlign w:val="center"/>
          </w:tcPr>
          <w:p>
            <w:pPr>
              <w:spacing w:line="240" w:lineRule="auto"/>
              <w:ind w:firstLine="0" w:firstLineChars="0"/>
              <w:jc w:val="center"/>
              <w:rPr>
                <w:b/>
                <w:bCs/>
              </w:rPr>
            </w:pPr>
            <w:r>
              <w:rPr>
                <w:rFonts w:hint="eastAsia"/>
                <w:b/>
                <w:bCs/>
              </w:rPr>
              <w:t>水质</w:t>
            </w:r>
            <w:r>
              <w:rPr>
                <w:b/>
                <w:bCs/>
              </w:rPr>
              <w:t>标准</w:t>
            </w:r>
          </w:p>
        </w:tc>
        <w:tc>
          <w:tcPr>
            <w:tcW w:w="788" w:type="pct"/>
            <w:vAlign w:val="center"/>
          </w:tcPr>
          <w:p>
            <w:pPr>
              <w:spacing w:line="240" w:lineRule="auto"/>
              <w:ind w:firstLine="0" w:firstLineChars="0"/>
              <w:jc w:val="center"/>
              <w:rPr>
                <w:b/>
                <w:bCs/>
              </w:rPr>
            </w:pPr>
            <w:r>
              <w:rPr>
                <w:b/>
                <w:bCs/>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9" w:type="pct"/>
            <w:vAlign w:val="center"/>
          </w:tcPr>
          <w:p>
            <w:pPr>
              <w:spacing w:line="240" w:lineRule="auto"/>
              <w:ind w:firstLine="0" w:firstLineChars="0"/>
              <w:jc w:val="center"/>
            </w:pPr>
            <w:r>
              <w:t>1</w:t>
            </w:r>
          </w:p>
        </w:tc>
        <w:tc>
          <w:tcPr>
            <w:tcW w:w="771" w:type="pct"/>
            <w:vAlign w:val="center"/>
          </w:tcPr>
          <w:p>
            <w:pPr>
              <w:spacing w:line="240" w:lineRule="auto"/>
              <w:ind w:firstLine="0" w:firstLineChars="0"/>
              <w:jc w:val="center"/>
            </w:pPr>
            <w:r>
              <w:t>云南省</w:t>
            </w:r>
          </w:p>
        </w:tc>
        <w:tc>
          <w:tcPr>
            <w:tcW w:w="687" w:type="pct"/>
            <w:vAlign w:val="center"/>
          </w:tcPr>
          <w:p>
            <w:pPr>
              <w:spacing w:line="240" w:lineRule="auto"/>
              <w:ind w:firstLine="0" w:firstLineChars="0"/>
              <w:jc w:val="center"/>
            </w:pPr>
            <w:r>
              <w:rPr>
                <w:rFonts w:hint="eastAsia"/>
              </w:rPr>
              <w:t>晋宁区</w:t>
            </w:r>
          </w:p>
        </w:tc>
        <w:tc>
          <w:tcPr>
            <w:tcW w:w="1071" w:type="pct"/>
            <w:vAlign w:val="center"/>
          </w:tcPr>
          <w:p>
            <w:pPr>
              <w:spacing w:line="240" w:lineRule="auto"/>
              <w:ind w:firstLine="0" w:firstLineChars="0"/>
              <w:jc w:val="center"/>
            </w:pPr>
            <w:r>
              <w:rPr>
                <w:rFonts w:hint="eastAsia"/>
              </w:rPr>
              <w:t>大河</w:t>
            </w:r>
            <w:r>
              <w:t>水库</w:t>
            </w:r>
          </w:p>
        </w:tc>
        <w:tc>
          <w:tcPr>
            <w:tcW w:w="701" w:type="pct"/>
            <w:vAlign w:val="center"/>
          </w:tcPr>
          <w:p>
            <w:pPr>
              <w:spacing w:line="240" w:lineRule="auto"/>
              <w:ind w:firstLine="0" w:firstLineChars="0"/>
              <w:jc w:val="center"/>
            </w:pPr>
            <w:r>
              <w:t>地表水</w:t>
            </w:r>
          </w:p>
        </w:tc>
        <w:tc>
          <w:tcPr>
            <w:tcW w:w="593" w:type="pct"/>
            <w:vAlign w:val="center"/>
          </w:tcPr>
          <w:p>
            <w:pPr>
              <w:spacing w:line="240" w:lineRule="auto"/>
              <w:ind w:firstLine="0" w:firstLineChars="0"/>
              <w:jc w:val="center"/>
            </w:pPr>
            <w:r>
              <w:rPr>
                <w:rFonts w:hint="eastAsia"/>
                <w:szCs w:val="28"/>
              </w:rPr>
              <w:t>III</w:t>
            </w:r>
            <w:r>
              <w:rPr>
                <w:szCs w:val="28"/>
              </w:rPr>
              <w:t>类</w:t>
            </w:r>
          </w:p>
        </w:tc>
        <w:tc>
          <w:tcPr>
            <w:tcW w:w="788" w:type="pct"/>
            <w:vAlign w:val="center"/>
          </w:tcPr>
          <w:p>
            <w:pPr>
              <w:spacing w:line="240" w:lineRule="auto"/>
              <w:ind w:firstLine="0" w:firstLineChars="0"/>
              <w:jc w:val="cente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9" w:type="pct"/>
            <w:vAlign w:val="center"/>
          </w:tcPr>
          <w:p>
            <w:pPr>
              <w:spacing w:line="240" w:lineRule="auto"/>
              <w:ind w:firstLine="0" w:firstLineChars="0"/>
              <w:jc w:val="center"/>
            </w:pPr>
            <w:r>
              <w:t>2</w:t>
            </w:r>
          </w:p>
        </w:tc>
        <w:tc>
          <w:tcPr>
            <w:tcW w:w="771" w:type="pct"/>
            <w:vAlign w:val="center"/>
          </w:tcPr>
          <w:p>
            <w:pPr>
              <w:spacing w:line="240" w:lineRule="auto"/>
              <w:ind w:firstLine="0" w:firstLineChars="0"/>
              <w:jc w:val="center"/>
            </w:pPr>
            <w:r>
              <w:t>云南省</w:t>
            </w:r>
          </w:p>
        </w:tc>
        <w:tc>
          <w:tcPr>
            <w:tcW w:w="687" w:type="pct"/>
            <w:vAlign w:val="center"/>
          </w:tcPr>
          <w:p>
            <w:pPr>
              <w:spacing w:line="240" w:lineRule="auto"/>
              <w:ind w:firstLine="0" w:firstLineChars="0"/>
              <w:jc w:val="center"/>
            </w:pPr>
            <w:r>
              <w:rPr>
                <w:rFonts w:hint="eastAsia"/>
              </w:rPr>
              <w:t>晋宁区</w:t>
            </w:r>
          </w:p>
        </w:tc>
        <w:tc>
          <w:tcPr>
            <w:tcW w:w="1071" w:type="pct"/>
            <w:vAlign w:val="center"/>
          </w:tcPr>
          <w:p>
            <w:pPr>
              <w:spacing w:line="240" w:lineRule="auto"/>
              <w:ind w:firstLine="0" w:firstLineChars="0"/>
              <w:jc w:val="center"/>
            </w:pPr>
            <w:r>
              <w:rPr>
                <w:rFonts w:hint="eastAsia"/>
              </w:rPr>
              <w:t>柴河</w:t>
            </w:r>
            <w:r>
              <w:t>水库</w:t>
            </w:r>
          </w:p>
        </w:tc>
        <w:tc>
          <w:tcPr>
            <w:tcW w:w="701" w:type="pct"/>
            <w:vAlign w:val="center"/>
          </w:tcPr>
          <w:p>
            <w:pPr>
              <w:spacing w:line="240" w:lineRule="auto"/>
              <w:ind w:firstLine="0" w:firstLineChars="0"/>
              <w:jc w:val="center"/>
            </w:pPr>
            <w:r>
              <w:t>地表水</w:t>
            </w:r>
          </w:p>
        </w:tc>
        <w:tc>
          <w:tcPr>
            <w:tcW w:w="593" w:type="pct"/>
            <w:vAlign w:val="center"/>
          </w:tcPr>
          <w:p>
            <w:pPr>
              <w:spacing w:line="240" w:lineRule="auto"/>
              <w:ind w:firstLine="0" w:firstLineChars="0"/>
              <w:jc w:val="center"/>
            </w:pPr>
            <w:r>
              <w:rPr>
                <w:rFonts w:hint="eastAsia"/>
                <w:szCs w:val="28"/>
              </w:rPr>
              <w:t>III</w:t>
            </w:r>
            <w:r>
              <w:t>类</w:t>
            </w:r>
          </w:p>
        </w:tc>
        <w:tc>
          <w:tcPr>
            <w:tcW w:w="788" w:type="pct"/>
            <w:vAlign w:val="center"/>
          </w:tcPr>
          <w:p>
            <w:pPr>
              <w:spacing w:line="240" w:lineRule="auto"/>
              <w:ind w:firstLine="0" w:firstLineChars="0"/>
              <w:jc w:val="center"/>
            </w:pPr>
            <w:r>
              <w:rPr>
                <w:rFonts w:hint="eastAsia"/>
              </w:rPr>
              <w:t>未达标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9" w:type="pct"/>
            <w:vAlign w:val="center"/>
          </w:tcPr>
          <w:p>
            <w:pPr>
              <w:spacing w:line="240" w:lineRule="auto"/>
              <w:ind w:firstLine="0" w:firstLineChars="0"/>
              <w:jc w:val="center"/>
            </w:pPr>
            <w:r>
              <w:rPr>
                <w:rFonts w:hint="eastAsia"/>
              </w:rPr>
              <w:t>3</w:t>
            </w:r>
          </w:p>
        </w:tc>
        <w:tc>
          <w:tcPr>
            <w:tcW w:w="771" w:type="pct"/>
            <w:vAlign w:val="center"/>
          </w:tcPr>
          <w:p>
            <w:pPr>
              <w:spacing w:line="240" w:lineRule="auto"/>
              <w:ind w:firstLine="0" w:firstLineChars="0"/>
              <w:jc w:val="center"/>
            </w:pPr>
            <w:r>
              <w:t>云南省</w:t>
            </w:r>
          </w:p>
        </w:tc>
        <w:tc>
          <w:tcPr>
            <w:tcW w:w="687" w:type="pct"/>
            <w:vAlign w:val="center"/>
          </w:tcPr>
          <w:p>
            <w:pPr>
              <w:spacing w:line="240" w:lineRule="auto"/>
              <w:ind w:firstLine="0" w:firstLineChars="0"/>
              <w:jc w:val="center"/>
            </w:pPr>
            <w:r>
              <w:rPr>
                <w:rFonts w:hint="eastAsia"/>
              </w:rPr>
              <w:t>晋宁区</w:t>
            </w:r>
          </w:p>
        </w:tc>
        <w:tc>
          <w:tcPr>
            <w:tcW w:w="1071" w:type="pct"/>
            <w:vAlign w:val="center"/>
          </w:tcPr>
          <w:p>
            <w:pPr>
              <w:spacing w:line="240" w:lineRule="auto"/>
              <w:ind w:firstLine="0" w:firstLineChars="0"/>
              <w:jc w:val="center"/>
            </w:pPr>
            <w:r>
              <w:rPr>
                <w:rFonts w:hint="eastAsia"/>
              </w:rPr>
              <w:t>双龙水库</w:t>
            </w:r>
          </w:p>
        </w:tc>
        <w:tc>
          <w:tcPr>
            <w:tcW w:w="701" w:type="pct"/>
            <w:vAlign w:val="center"/>
          </w:tcPr>
          <w:p>
            <w:pPr>
              <w:spacing w:line="240" w:lineRule="auto"/>
              <w:ind w:firstLine="0" w:firstLineChars="0"/>
              <w:jc w:val="center"/>
            </w:pPr>
            <w:r>
              <w:t>地表水</w:t>
            </w:r>
          </w:p>
        </w:tc>
        <w:tc>
          <w:tcPr>
            <w:tcW w:w="593" w:type="pct"/>
            <w:vAlign w:val="center"/>
          </w:tcPr>
          <w:p>
            <w:pPr>
              <w:spacing w:line="240" w:lineRule="auto"/>
              <w:ind w:firstLine="0" w:firstLineChars="0"/>
              <w:jc w:val="center"/>
              <w:rPr>
                <w:szCs w:val="28"/>
              </w:rPr>
            </w:pPr>
            <w:r>
              <w:rPr>
                <w:rFonts w:hint="eastAsia"/>
                <w:szCs w:val="28"/>
              </w:rPr>
              <w:t>III</w:t>
            </w:r>
            <w:r>
              <w:t>类</w:t>
            </w:r>
          </w:p>
        </w:tc>
        <w:tc>
          <w:tcPr>
            <w:tcW w:w="788" w:type="pct"/>
            <w:vAlign w:val="center"/>
          </w:tcPr>
          <w:p>
            <w:pPr>
              <w:spacing w:line="240" w:lineRule="auto"/>
              <w:ind w:firstLine="0" w:firstLineChars="0"/>
              <w:jc w:val="center"/>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9" w:type="pct"/>
            <w:vAlign w:val="center"/>
          </w:tcPr>
          <w:p>
            <w:pPr>
              <w:spacing w:line="240" w:lineRule="auto"/>
              <w:ind w:firstLine="0" w:firstLineChars="0"/>
              <w:jc w:val="center"/>
            </w:pPr>
            <w:r>
              <w:rPr>
                <w:rFonts w:hint="eastAsia"/>
              </w:rPr>
              <w:t>4</w:t>
            </w:r>
          </w:p>
        </w:tc>
        <w:tc>
          <w:tcPr>
            <w:tcW w:w="771" w:type="pct"/>
            <w:vAlign w:val="center"/>
          </w:tcPr>
          <w:p>
            <w:pPr>
              <w:spacing w:line="240" w:lineRule="auto"/>
              <w:ind w:firstLine="0" w:firstLineChars="0"/>
              <w:jc w:val="center"/>
            </w:pPr>
            <w:r>
              <w:t>云南省</w:t>
            </w:r>
          </w:p>
        </w:tc>
        <w:tc>
          <w:tcPr>
            <w:tcW w:w="687" w:type="pct"/>
            <w:vAlign w:val="center"/>
          </w:tcPr>
          <w:p>
            <w:pPr>
              <w:spacing w:line="240" w:lineRule="auto"/>
              <w:ind w:firstLine="0" w:firstLineChars="0"/>
              <w:jc w:val="center"/>
            </w:pPr>
            <w:r>
              <w:rPr>
                <w:rFonts w:hint="eastAsia"/>
              </w:rPr>
              <w:t>晋宁区</w:t>
            </w:r>
          </w:p>
        </w:tc>
        <w:tc>
          <w:tcPr>
            <w:tcW w:w="1071" w:type="pct"/>
            <w:vAlign w:val="center"/>
          </w:tcPr>
          <w:p>
            <w:pPr>
              <w:spacing w:line="240" w:lineRule="auto"/>
              <w:ind w:firstLine="0" w:firstLineChars="0"/>
              <w:jc w:val="center"/>
            </w:pPr>
            <w:r>
              <w:rPr>
                <w:rFonts w:hint="eastAsia"/>
              </w:rPr>
              <w:t>洛武河水库</w:t>
            </w:r>
          </w:p>
        </w:tc>
        <w:tc>
          <w:tcPr>
            <w:tcW w:w="701" w:type="pct"/>
            <w:vAlign w:val="center"/>
          </w:tcPr>
          <w:p>
            <w:pPr>
              <w:spacing w:line="240" w:lineRule="auto"/>
              <w:ind w:firstLine="0" w:firstLineChars="0"/>
              <w:jc w:val="center"/>
            </w:pPr>
            <w:r>
              <w:t>地表水</w:t>
            </w:r>
          </w:p>
        </w:tc>
        <w:tc>
          <w:tcPr>
            <w:tcW w:w="593" w:type="pct"/>
            <w:vAlign w:val="center"/>
          </w:tcPr>
          <w:p>
            <w:pPr>
              <w:spacing w:line="240" w:lineRule="auto"/>
              <w:ind w:firstLine="0" w:firstLineChars="0"/>
              <w:jc w:val="center"/>
              <w:rPr>
                <w:szCs w:val="28"/>
              </w:rPr>
            </w:pPr>
            <w:r>
              <w:t>II类</w:t>
            </w:r>
          </w:p>
        </w:tc>
        <w:tc>
          <w:tcPr>
            <w:tcW w:w="788" w:type="pct"/>
            <w:vAlign w:val="center"/>
          </w:tcPr>
          <w:p>
            <w:pPr>
              <w:spacing w:line="240" w:lineRule="auto"/>
              <w:ind w:firstLine="0" w:firstLineChars="0"/>
              <w:jc w:val="center"/>
            </w:pPr>
            <w:r>
              <w:rPr>
                <w:rFonts w:hint="eastAsia"/>
              </w:rPr>
              <w:t>达标</w:t>
            </w:r>
          </w:p>
        </w:tc>
      </w:tr>
    </w:tbl>
    <w:p>
      <w:pPr>
        <w:ind w:firstLine="560"/>
        <w:rPr>
          <w:szCs w:val="28"/>
        </w:rPr>
      </w:pPr>
    </w:p>
    <w:p>
      <w:pPr>
        <w:ind w:firstLine="560"/>
        <w:rPr>
          <w:szCs w:val="28"/>
        </w:rPr>
      </w:pPr>
      <w:r>
        <w:rPr>
          <w:rFonts w:hint="eastAsia"/>
          <w:szCs w:val="28"/>
        </w:rPr>
        <w:t>（</w:t>
      </w:r>
      <w:r>
        <w:rPr>
          <w:szCs w:val="28"/>
        </w:rPr>
        <w:t>2</w:t>
      </w:r>
      <w:r>
        <w:rPr>
          <w:rFonts w:hint="eastAsia"/>
          <w:szCs w:val="28"/>
        </w:rPr>
        <w:t>）地表水</w:t>
      </w:r>
    </w:p>
    <w:p>
      <w:pPr>
        <w:ind w:firstLine="560"/>
        <w:rPr>
          <w:szCs w:val="28"/>
        </w:rPr>
      </w:pPr>
      <w:r>
        <w:rPr>
          <w:rFonts w:hint="eastAsia"/>
          <w:szCs w:val="28"/>
        </w:rPr>
        <w:t>晋宁区地表水系分属</w:t>
      </w:r>
      <w:r>
        <w:rPr>
          <w:rFonts w:hint="eastAsia"/>
        </w:rPr>
        <w:t>金沙江水系、南盘江水系和元江水系三大水系</w:t>
      </w:r>
      <w:r>
        <w:rPr>
          <w:rFonts w:hint="eastAsia"/>
          <w:szCs w:val="28"/>
        </w:rPr>
        <w:t>。</w:t>
      </w:r>
    </w:p>
    <w:p>
      <w:pPr>
        <w:ind w:firstLine="560"/>
      </w:pPr>
      <w:r>
        <w:rPr>
          <w:rFonts w:hint="eastAsia"/>
        </w:rPr>
        <w:t>长江水系流域面积为</w:t>
      </w:r>
      <w:r>
        <w:t>1023</w:t>
      </w:r>
      <w:r>
        <w:rPr>
          <w:rFonts w:hint="eastAsia"/>
        </w:rPr>
        <w:t>平方公里（其中滇池流域面积为</w:t>
      </w:r>
      <w:r>
        <w:t>715.09</w:t>
      </w:r>
      <w:r>
        <w:rPr>
          <w:rFonts w:hint="eastAsia"/>
        </w:rPr>
        <w:t>平方公里，鸣唉河流域面积为</w:t>
      </w:r>
      <w:r>
        <w:t>158.04</w:t>
      </w:r>
      <w:r>
        <w:rPr>
          <w:rFonts w:hint="eastAsia"/>
        </w:rPr>
        <w:t>平方公里，八街河流域面积为</w:t>
      </w:r>
      <w:r>
        <w:t>149.87</w:t>
      </w:r>
      <w:r>
        <w:rPr>
          <w:rFonts w:hint="eastAsia"/>
        </w:rPr>
        <w:t>平方公里），占全县总面积的</w:t>
      </w:r>
      <w:r>
        <w:t>83.8 %</w:t>
      </w:r>
      <w:r>
        <w:rPr>
          <w:rFonts w:hint="eastAsia"/>
        </w:rPr>
        <w:t>；红河水系流域面积</w:t>
      </w:r>
      <w:r>
        <w:t>155.67</w:t>
      </w:r>
      <w:r>
        <w:rPr>
          <w:rFonts w:hint="eastAsia"/>
        </w:rPr>
        <w:t>平方公里，占全县总面积的</w:t>
      </w:r>
      <w:r>
        <w:t>12.7 %</w:t>
      </w:r>
      <w:r>
        <w:rPr>
          <w:rFonts w:hint="eastAsia"/>
        </w:rPr>
        <w:t>；珠江水系流域面积为</w:t>
      </w:r>
      <w:r>
        <w:t>42.62</w:t>
      </w:r>
      <w:r>
        <w:rPr>
          <w:rFonts w:hint="eastAsia"/>
        </w:rPr>
        <w:t>平方公里，占全县总面积的</w:t>
      </w:r>
      <w:r>
        <w:t>3.5 %</w:t>
      </w:r>
      <w:r>
        <w:rPr>
          <w:rFonts w:hint="eastAsia"/>
        </w:rPr>
        <w:t>。</w:t>
      </w:r>
    </w:p>
    <w:p>
      <w:pPr>
        <w:ind w:firstLine="560"/>
        <w:rPr>
          <w:szCs w:val="28"/>
        </w:rPr>
      </w:pPr>
      <w:r>
        <w:rPr>
          <w:rFonts w:hint="eastAsia"/>
          <w:szCs w:val="28"/>
        </w:rPr>
        <w:t>根据晋宁区</w:t>
      </w:r>
      <w:r>
        <w:rPr>
          <w:szCs w:val="28"/>
        </w:rPr>
        <w:t>2019</w:t>
      </w:r>
      <w:r>
        <w:rPr>
          <w:rFonts w:hint="eastAsia"/>
          <w:szCs w:val="28"/>
        </w:rPr>
        <w:t>年地表水质监测情况，国考断面大河（淤泥河）晋城小寨断面水质类别为</w:t>
      </w:r>
      <w:r>
        <w:rPr>
          <w:szCs w:val="28"/>
        </w:rPr>
        <w:t>IV</w:t>
      </w:r>
      <w:r>
        <w:rPr>
          <w:rFonts w:hint="eastAsia"/>
          <w:szCs w:val="28"/>
        </w:rPr>
        <w:t>类，茨巷河牛恋乡入湖口断面水质为</w:t>
      </w:r>
      <w:r>
        <w:rPr>
          <w:szCs w:val="28"/>
        </w:rPr>
        <w:t>III</w:t>
      </w:r>
      <w:r>
        <w:rPr>
          <w:rFonts w:hint="eastAsia"/>
          <w:szCs w:val="28"/>
        </w:rPr>
        <w:t>类，东大河入湖口断面水质为</w:t>
      </w:r>
      <w:r>
        <w:rPr>
          <w:szCs w:val="28"/>
        </w:rPr>
        <w:t>IV</w:t>
      </w:r>
      <w:r>
        <w:rPr>
          <w:rFonts w:hint="eastAsia"/>
          <w:szCs w:val="28"/>
        </w:rPr>
        <w:t>类，所有断面均达到水环境功能区划要求；市级考核断面除二街河双顺闸室控断面水质为劣</w:t>
      </w:r>
      <w:r>
        <w:rPr>
          <w:szCs w:val="28"/>
        </w:rPr>
        <w:t>V</w:t>
      </w:r>
      <w:r>
        <w:rPr>
          <w:rFonts w:hint="eastAsia"/>
          <w:szCs w:val="28"/>
        </w:rPr>
        <w:t>类，未达水质保护目标外，南冲河入湖口断面水质为</w:t>
      </w:r>
      <w:r>
        <w:rPr>
          <w:szCs w:val="28"/>
        </w:rPr>
        <w:t>IV</w:t>
      </w:r>
      <w:r>
        <w:rPr>
          <w:rFonts w:hint="eastAsia"/>
          <w:szCs w:val="28"/>
        </w:rPr>
        <w:t>类，柴河小朴分洪闸断面水质为</w:t>
      </w:r>
      <w:r>
        <w:rPr>
          <w:szCs w:val="28"/>
        </w:rPr>
        <w:t>III</w:t>
      </w:r>
      <w:r>
        <w:rPr>
          <w:rFonts w:hint="eastAsia"/>
          <w:szCs w:val="28"/>
        </w:rPr>
        <w:t>类，中河（护城河）昆阳码头断面水质为</w:t>
      </w:r>
      <w:r>
        <w:rPr>
          <w:szCs w:val="28"/>
        </w:rPr>
        <w:t>V</w:t>
      </w:r>
      <w:r>
        <w:rPr>
          <w:rFonts w:hint="eastAsia"/>
          <w:szCs w:val="28"/>
        </w:rPr>
        <w:t>类，古城河入湖口断面水质为</w:t>
      </w:r>
      <w:r>
        <w:rPr>
          <w:szCs w:val="28"/>
        </w:rPr>
        <w:t>III</w:t>
      </w:r>
      <w:r>
        <w:rPr>
          <w:rFonts w:hint="eastAsia"/>
          <w:szCs w:val="28"/>
        </w:rPr>
        <w:t>类，所有断面均达到水质保护目标。</w:t>
      </w:r>
    </w:p>
    <w:p>
      <w:pPr>
        <w:ind w:firstLine="560"/>
        <w:rPr>
          <w:szCs w:val="28"/>
        </w:rPr>
      </w:pPr>
    </w:p>
    <w:p>
      <w:pPr>
        <w:ind w:firstLine="560"/>
      </w:pPr>
    </w:p>
    <w:p>
      <w:pPr>
        <w:pStyle w:val="3"/>
      </w:pPr>
      <w:bookmarkStart w:id="10" w:name="_Toc43042494"/>
      <w:r>
        <w:rPr>
          <w:rFonts w:hint="eastAsia"/>
        </w:rPr>
        <w:t>1.4《规划》指导思想</w:t>
      </w:r>
      <w:bookmarkEnd w:id="10"/>
    </w:p>
    <w:p>
      <w:pPr>
        <w:pStyle w:val="4"/>
      </w:pPr>
      <w:bookmarkStart w:id="11" w:name="_Toc43042495"/>
      <w:r>
        <w:rPr>
          <w:rFonts w:hint="eastAsia"/>
        </w:rPr>
        <w:t>1.4.1 分区指导思想</w:t>
      </w:r>
      <w:bookmarkEnd w:id="11"/>
    </w:p>
    <w:p>
      <w:pPr>
        <w:ind w:firstLine="560"/>
      </w:pPr>
      <w:r>
        <w:rPr>
          <w:rFonts w:hint="eastAsia"/>
        </w:rPr>
        <w:t>根据晋宁区村庄分布散、平坝区村庄少、村庄规模小的特点，村庄治理区域可划分为重点建设村、生态敏感村和其他村庄三大类。其各自特点分析如下：</w:t>
      </w:r>
    </w:p>
    <w:p>
      <w:pPr>
        <w:ind w:firstLine="560"/>
      </w:pPr>
      <w:r>
        <w:rPr>
          <w:rFonts w:hint="eastAsia"/>
        </w:rPr>
        <w:t>（</w:t>
      </w:r>
      <w:r>
        <w:t>1</w:t>
      </w:r>
      <w:r>
        <w:rPr>
          <w:rFonts w:hint="eastAsia"/>
        </w:rPr>
        <w:t>）重点建设村：村落具有重要示范、辐射、引领意义，如传统村落、民族文化村、生态旅游村、城郊区村庄、移民搬迁村等。这些村庄在全区经济发展水平中处于较高的水平。村庄人口集中、地势较为平缓，基础设施较好，村庄道路全部硬化，民房建设水平较高，村内整体环境卫生较好；村外距离城镇排水基础设施较劲，实施条件尚佳，且在短期内（未来</w:t>
      </w:r>
      <w:r>
        <w:t>3-5</w:t>
      </w:r>
      <w:r>
        <w:rPr>
          <w:rFonts w:hint="eastAsia"/>
        </w:rPr>
        <w:t>年）城镇扩张涉及不到或难以触碰，这些村庄以集中处理模式为主。</w:t>
      </w:r>
    </w:p>
    <w:p>
      <w:pPr>
        <w:ind w:firstLine="560"/>
      </w:pPr>
      <w:r>
        <w:rPr>
          <w:rFonts w:hint="eastAsia"/>
        </w:rPr>
        <w:t>（</w:t>
      </w:r>
      <w:r>
        <w:t>2</w:t>
      </w:r>
      <w:r>
        <w:rPr>
          <w:rFonts w:hint="eastAsia"/>
        </w:rPr>
        <w:t>）生态敏感村：晋宁区生态敏感区村庄包括滇池沿岸村庄、</w:t>
      </w:r>
      <w:r>
        <w:rPr>
          <w:rFonts w:hAnsiTheme="minorEastAsia" w:eastAsiaTheme="minorEastAsia"/>
        </w:rPr>
        <w:t>河涧铺村</w:t>
      </w:r>
      <w:r>
        <w:rPr>
          <w:rFonts w:hint="eastAsia" w:hAnsiTheme="minorEastAsia" w:eastAsiaTheme="minorEastAsia"/>
        </w:rPr>
        <w:t>、饮用水水源地所在村庄</w:t>
      </w:r>
      <w:r>
        <w:rPr>
          <w:rFonts w:hint="eastAsia"/>
        </w:rPr>
        <w:t>。生态敏感村主要是在晋宁区内较为敏感的区域，对周边环境有一定的影响，该片区村庄以集中处理模式为主。</w:t>
      </w:r>
    </w:p>
    <w:p>
      <w:pPr>
        <w:ind w:firstLine="560"/>
      </w:pPr>
      <w:r>
        <w:rPr>
          <w:rFonts w:hint="eastAsia"/>
        </w:rPr>
        <w:t>（</w:t>
      </w:r>
      <w:r>
        <w:t>3</w:t>
      </w:r>
      <w:r>
        <w:rPr>
          <w:rFonts w:hint="eastAsia"/>
        </w:rPr>
        <w:t>）其他村庄：除以上村庄外，其余均为分布于大山之上的村庄，此类村庄分布散、人口规模小、离主要道路和重要水系远、周边环境容量大，作为最后一个农村生活污水治理区，该片区村庄以分散处理为主，集中为辅。暂时无需求的户数少、人口少，周边容量大的村庄，可以考虑远期之后在考虑。</w:t>
      </w:r>
    </w:p>
    <w:p>
      <w:pPr>
        <w:pStyle w:val="4"/>
        <w:rPr>
          <w:sz w:val="32"/>
        </w:rPr>
      </w:pPr>
      <w:bookmarkStart w:id="12" w:name="_Toc43042496"/>
      <w:r>
        <w:rPr>
          <w:sz w:val="32"/>
        </w:rPr>
        <w:t xml:space="preserve">1.4.2 </w:t>
      </w:r>
      <w:r>
        <w:rPr>
          <w:rFonts w:hint="eastAsia"/>
          <w:sz w:val="32"/>
        </w:rPr>
        <w:t>分期指导思想</w:t>
      </w:r>
      <w:bookmarkEnd w:id="12"/>
    </w:p>
    <w:p>
      <w:pPr>
        <w:ind w:firstLine="560"/>
      </w:pPr>
      <w:r>
        <w:rPr>
          <w:rFonts w:hint="eastAsia"/>
        </w:rPr>
        <w:t>统筹考虑规划期内农村生活污水治理的紧迫性、治理的基础设施条件、外部条件敏感性和治理资金等因素，因地制宜、梯次推进。</w:t>
      </w:r>
    </w:p>
    <w:p>
      <w:pPr>
        <w:ind w:firstLine="560"/>
      </w:pPr>
      <w:r>
        <w:rPr>
          <w:rFonts w:hint="eastAsia"/>
        </w:rPr>
        <w:t>本规划以</w:t>
      </w:r>
      <w:r>
        <w:t>2018</w:t>
      </w:r>
      <w:r>
        <w:rPr>
          <w:rFonts w:hint="eastAsia"/>
        </w:rPr>
        <w:t>年为规划基准年；近期到</w:t>
      </w:r>
      <w:r>
        <w:t>2020</w:t>
      </w:r>
      <w:r>
        <w:rPr>
          <w:rFonts w:hint="eastAsia"/>
        </w:rPr>
        <w:t>年，参考《晋宁县总体规划修编》（</w:t>
      </w:r>
      <w:r>
        <w:t>2013-2030</w:t>
      </w:r>
      <w:r>
        <w:rPr>
          <w:rFonts w:hint="eastAsia"/>
        </w:rPr>
        <w:t>年）的规划期划分，配合扶贫攻坚规划、“厕所革命”实施方案短期任务；中期为</w:t>
      </w:r>
      <w:r>
        <w:t>2025</w:t>
      </w:r>
      <w:r>
        <w:rPr>
          <w:rFonts w:hint="eastAsia"/>
        </w:rPr>
        <w:t>年，远期为</w:t>
      </w:r>
      <w:r>
        <w:t>2030</w:t>
      </w:r>
      <w:r>
        <w:rPr>
          <w:rFonts w:hint="eastAsia"/>
        </w:rPr>
        <w:t>年。</w:t>
      </w:r>
    </w:p>
    <w:p>
      <w:pPr>
        <w:ind w:firstLine="560"/>
      </w:pPr>
      <w:r>
        <w:rPr>
          <w:rFonts w:hint="eastAsia"/>
        </w:rPr>
        <w:t>规划重点为近期，配合扶贫攻坚规划、“厕所革命”实施方案，积极响应国家在改善农村人居环境和扶贫的要求。</w:t>
      </w:r>
    </w:p>
    <w:p>
      <w:pPr>
        <w:pStyle w:val="4"/>
      </w:pPr>
      <w:bookmarkStart w:id="13" w:name="_Toc43042497"/>
      <w:r>
        <w:rPr>
          <w:rFonts w:hint="eastAsia"/>
        </w:rPr>
        <w:t>1.4.3 分步指导思想</w:t>
      </w:r>
      <w:bookmarkEnd w:id="13"/>
    </w:p>
    <w:p>
      <w:pPr>
        <w:ind w:firstLine="560"/>
      </w:pPr>
      <w:r>
        <w:rPr>
          <w:rFonts w:hint="eastAsia"/>
        </w:rPr>
        <w:t>根据分区指导思想特点，结合分期实施重点，对晋宁区范围内农村生活污水按照因地因时制宜、突出重点、梯度推进的思想进行分步治理。</w:t>
      </w:r>
    </w:p>
    <w:p>
      <w:pPr>
        <w:ind w:firstLine="560"/>
      </w:pPr>
      <w:r>
        <w:rPr>
          <w:rFonts w:hint="eastAsia"/>
        </w:rPr>
        <w:t>（</w:t>
      </w:r>
      <w:r>
        <w:t>1</w:t>
      </w:r>
      <w:r>
        <w:rPr>
          <w:rFonts w:hint="eastAsia"/>
        </w:rPr>
        <w:t>）近期（</w:t>
      </w:r>
      <w:r>
        <w:t>2020</w:t>
      </w:r>
      <w:r>
        <w:rPr>
          <w:rFonts w:hint="eastAsia"/>
        </w:rPr>
        <w:t>年）为重点，考虑到近期临近，配合扶贫攻坚规划、“厕所革命”实施方案，先实施一批，分步重点依次为城郊村→中心村和重点村；</w:t>
      </w:r>
    </w:p>
    <w:p>
      <w:pPr>
        <w:ind w:firstLine="560"/>
      </w:pPr>
      <w:r>
        <w:rPr>
          <w:rFonts w:hint="eastAsia"/>
        </w:rPr>
        <w:t>（</w:t>
      </w:r>
      <w:r>
        <w:t>2</w:t>
      </w:r>
      <w:r>
        <w:rPr>
          <w:rFonts w:hint="eastAsia"/>
        </w:rPr>
        <w:t>）中期（</w:t>
      </w:r>
      <w:r>
        <w:t>2025</w:t>
      </w:r>
      <w:r>
        <w:rPr>
          <w:rFonts w:hint="eastAsia"/>
        </w:rPr>
        <w:t>年）为次，配合晋宁区可持续发展规划，分步实施村庄集中的扶贫搬迁、中心村→分布较分散的沿河沿路村；</w:t>
      </w:r>
    </w:p>
    <w:p>
      <w:pPr>
        <w:ind w:firstLine="560"/>
      </w:pPr>
      <w:r>
        <w:rPr>
          <w:rFonts w:hint="eastAsia"/>
        </w:rPr>
        <w:t>（</w:t>
      </w:r>
      <w:r>
        <w:t>3</w:t>
      </w:r>
      <w:r>
        <w:rPr>
          <w:rFonts w:hint="eastAsia"/>
        </w:rPr>
        <w:t>）远期（</w:t>
      </w:r>
      <w:r>
        <w:t>2030</w:t>
      </w:r>
      <w:r>
        <w:rPr>
          <w:rFonts w:hint="eastAsia"/>
        </w:rPr>
        <w:t>年）置于整个晋宁区最后治理，主要目标为村庄分散、人口稀少的山区村。</w:t>
      </w:r>
    </w:p>
    <w:p>
      <w:pPr>
        <w:ind w:firstLine="560"/>
      </w:pPr>
    </w:p>
    <w:p>
      <w:pPr>
        <w:pStyle w:val="3"/>
      </w:pPr>
      <w:bookmarkStart w:id="14" w:name="_Toc43042498"/>
      <w:r>
        <w:rPr>
          <w:rFonts w:hint="eastAsia"/>
        </w:rPr>
        <w:t>1.5《规划》基本原则</w:t>
      </w:r>
      <w:bookmarkEnd w:id="14"/>
    </w:p>
    <w:p>
      <w:pPr>
        <w:adjustRightInd w:val="0"/>
        <w:snapToGrid w:val="0"/>
        <w:ind w:firstLine="560"/>
        <w:rPr>
          <w:bCs/>
          <w:szCs w:val="28"/>
        </w:rPr>
      </w:pPr>
      <w:r>
        <w:rPr>
          <w:bCs/>
          <w:szCs w:val="28"/>
        </w:rPr>
        <w:t>（1）科学规划，绿色发展</w:t>
      </w:r>
    </w:p>
    <w:p>
      <w:pPr>
        <w:adjustRightInd w:val="0"/>
        <w:snapToGrid w:val="0"/>
        <w:ind w:firstLine="560"/>
        <w:rPr>
          <w:szCs w:val="28"/>
        </w:rPr>
      </w:pPr>
      <w:r>
        <w:rPr>
          <w:szCs w:val="28"/>
        </w:rPr>
        <w:t>“</w:t>
      </w:r>
      <w:r>
        <w:rPr>
          <w:rFonts w:hint="eastAsia"/>
          <w:szCs w:val="28"/>
        </w:rPr>
        <w:t>规划科学是最大的效益，规划失误是最大的浪费，规划折腾是最大的忌讳</w:t>
      </w:r>
      <w:r>
        <w:rPr>
          <w:szCs w:val="28"/>
        </w:rPr>
        <w:t>”</w:t>
      </w:r>
      <w:r>
        <w:rPr>
          <w:rFonts w:hint="eastAsia"/>
          <w:szCs w:val="28"/>
        </w:rPr>
        <w:t>，针对农村生活污水治理专项规划，需要充分发挥其引领和规范作用，确立其强制力、权威性和高效率的地位，才能保障晋宁区的绿色发展。</w:t>
      </w:r>
    </w:p>
    <w:p>
      <w:pPr>
        <w:adjustRightInd w:val="0"/>
        <w:snapToGrid w:val="0"/>
        <w:ind w:firstLine="560"/>
        <w:rPr>
          <w:bCs/>
          <w:szCs w:val="28"/>
        </w:rPr>
      </w:pPr>
      <w:r>
        <w:rPr>
          <w:rFonts w:hint="eastAsia"/>
          <w:bCs/>
          <w:szCs w:val="28"/>
        </w:rPr>
        <w:t>（</w:t>
      </w:r>
      <w:r>
        <w:rPr>
          <w:bCs/>
          <w:szCs w:val="28"/>
        </w:rPr>
        <w:t>2</w:t>
      </w:r>
      <w:r>
        <w:rPr>
          <w:rFonts w:hint="eastAsia"/>
          <w:bCs/>
          <w:szCs w:val="28"/>
        </w:rPr>
        <w:t>）先易后难，梯次推进</w:t>
      </w:r>
    </w:p>
    <w:p>
      <w:pPr>
        <w:adjustRightInd w:val="0"/>
        <w:snapToGrid w:val="0"/>
        <w:ind w:firstLine="560"/>
        <w:rPr>
          <w:szCs w:val="28"/>
        </w:rPr>
      </w:pPr>
      <w:r>
        <w:rPr>
          <w:rFonts w:hint="eastAsia"/>
          <w:szCs w:val="28"/>
        </w:rPr>
        <w:t>根据分区、分期、分布实施的指导思想，先易后难，优先开展条件较好的村庄，由示范点带动连片，向城郊→坝区→沿河沿路→山区逐步梯次推进。</w:t>
      </w:r>
    </w:p>
    <w:p>
      <w:pPr>
        <w:adjustRightInd w:val="0"/>
        <w:snapToGrid w:val="0"/>
        <w:ind w:firstLine="560"/>
        <w:rPr>
          <w:bCs/>
          <w:szCs w:val="28"/>
        </w:rPr>
      </w:pPr>
      <w:r>
        <w:rPr>
          <w:rFonts w:hint="eastAsia"/>
          <w:bCs/>
          <w:szCs w:val="28"/>
        </w:rPr>
        <w:t>（</w:t>
      </w:r>
      <w:r>
        <w:rPr>
          <w:bCs/>
          <w:szCs w:val="28"/>
        </w:rPr>
        <w:t>3</w:t>
      </w:r>
      <w:r>
        <w:rPr>
          <w:rFonts w:hint="eastAsia"/>
          <w:bCs/>
          <w:szCs w:val="28"/>
        </w:rPr>
        <w:t>）因地制宜，分类治理</w:t>
      </w:r>
    </w:p>
    <w:p>
      <w:pPr>
        <w:adjustRightInd w:val="0"/>
        <w:snapToGrid w:val="0"/>
        <w:ind w:firstLine="560"/>
        <w:rPr>
          <w:szCs w:val="28"/>
        </w:rPr>
      </w:pPr>
      <w:r>
        <w:rPr>
          <w:rFonts w:hint="eastAsia"/>
          <w:szCs w:val="28"/>
        </w:rPr>
        <w:t>立足于区域内已实施农村生活污水治理设施建设及运行管理经验教训，综合考虑现有和未来的建设和运行管理能力，合理确定污水收集方式和处理工艺以及发展布局。与《</w:t>
      </w:r>
      <w:r>
        <w:rPr>
          <w:rFonts w:hint="eastAsia"/>
        </w:rPr>
        <w:t>晋宁县城总体规划修编（</w:t>
      </w:r>
      <w:r>
        <w:t>2013-2030</w:t>
      </w:r>
      <w:r>
        <w:rPr>
          <w:rFonts w:hint="eastAsia"/>
        </w:rPr>
        <w:t>）</w:t>
      </w:r>
      <w:r>
        <w:rPr>
          <w:rFonts w:hint="eastAsia"/>
          <w:szCs w:val="28"/>
        </w:rPr>
        <w:t>》和《晋宁区农村人居环境全域提升三年行动实施细则（</w:t>
      </w:r>
      <w:r>
        <w:rPr>
          <w:szCs w:val="28"/>
        </w:rPr>
        <w:t>2018-2020</w:t>
      </w:r>
      <w:r>
        <w:rPr>
          <w:rFonts w:hint="eastAsia"/>
          <w:szCs w:val="28"/>
        </w:rPr>
        <w:t>年）》的战略思想相结合，突出重点，分类治理，做到有的放矢，以切实改善农村人居环境，提升农村居民生活质量。</w:t>
      </w:r>
    </w:p>
    <w:p>
      <w:pPr>
        <w:adjustRightInd w:val="0"/>
        <w:snapToGrid w:val="0"/>
        <w:ind w:firstLine="560"/>
        <w:rPr>
          <w:bCs/>
          <w:szCs w:val="28"/>
        </w:rPr>
      </w:pPr>
      <w:r>
        <w:rPr>
          <w:rFonts w:hint="eastAsia"/>
          <w:bCs/>
          <w:szCs w:val="28"/>
        </w:rPr>
        <w:t>（</w:t>
      </w:r>
      <w:r>
        <w:rPr>
          <w:bCs/>
          <w:szCs w:val="28"/>
        </w:rPr>
        <w:t>4</w:t>
      </w:r>
      <w:r>
        <w:rPr>
          <w:rFonts w:hint="eastAsia"/>
          <w:bCs/>
          <w:szCs w:val="28"/>
        </w:rPr>
        <w:t>）经济实用，资源化利用优先</w:t>
      </w:r>
    </w:p>
    <w:p>
      <w:pPr>
        <w:adjustRightInd w:val="0"/>
        <w:snapToGrid w:val="0"/>
        <w:ind w:firstLine="560"/>
        <w:rPr>
          <w:szCs w:val="28"/>
        </w:rPr>
      </w:pPr>
      <w:r>
        <w:rPr>
          <w:rFonts w:hint="eastAsia"/>
          <w:szCs w:val="28"/>
        </w:rPr>
        <w:t>在全省范围内，总结云南省农村生活污水治理的经验教训，综合考虑区域村庄特点、建设投入能力、后期运行管理能力以及社会经济发展影响对各方面的，合理制定规划目标，忌高、大、上，以规划目标为根本，对收集后的污水和处理后的尾水，尽可能资源化利用，力争减少不必要的投入和浪费。</w:t>
      </w:r>
    </w:p>
    <w:p>
      <w:pPr>
        <w:adjustRightInd w:val="0"/>
        <w:snapToGrid w:val="0"/>
        <w:ind w:firstLine="560"/>
        <w:rPr>
          <w:bCs/>
          <w:szCs w:val="28"/>
        </w:rPr>
      </w:pPr>
      <w:r>
        <w:rPr>
          <w:rFonts w:hint="eastAsia"/>
          <w:bCs/>
          <w:szCs w:val="28"/>
        </w:rPr>
        <w:t>（</w:t>
      </w:r>
      <w:r>
        <w:rPr>
          <w:bCs/>
          <w:szCs w:val="28"/>
        </w:rPr>
        <w:t>5</w:t>
      </w:r>
      <w:r>
        <w:rPr>
          <w:rFonts w:hint="eastAsia"/>
          <w:bCs/>
          <w:szCs w:val="28"/>
        </w:rPr>
        <w:t>）政府主导，社会参与</w:t>
      </w:r>
    </w:p>
    <w:p>
      <w:pPr>
        <w:adjustRightInd w:val="0"/>
        <w:snapToGrid w:val="0"/>
        <w:ind w:firstLine="560"/>
        <w:rPr>
          <w:szCs w:val="28"/>
        </w:rPr>
      </w:pPr>
      <w:r>
        <w:rPr>
          <w:rFonts w:hint="eastAsia"/>
          <w:szCs w:val="28"/>
        </w:rPr>
        <w:t>区域内农村生活污水治理应当以政府部门为主导，明确相关部门职责，制定运行管理办法，筹措运行维护管理经费，纳入生态省建设等考核内容，在实施的全过程和后期运行管理中，鼓励多方参与，共筹共建。</w:t>
      </w:r>
    </w:p>
    <w:p>
      <w:pPr>
        <w:adjustRightInd w:val="0"/>
        <w:snapToGrid w:val="0"/>
        <w:ind w:firstLine="560"/>
        <w:rPr>
          <w:bCs/>
          <w:szCs w:val="28"/>
        </w:rPr>
      </w:pPr>
      <w:r>
        <w:rPr>
          <w:rFonts w:hint="eastAsia"/>
          <w:bCs/>
          <w:szCs w:val="28"/>
        </w:rPr>
        <w:t>（</w:t>
      </w:r>
      <w:r>
        <w:rPr>
          <w:bCs/>
          <w:szCs w:val="28"/>
        </w:rPr>
        <w:t>6</w:t>
      </w:r>
      <w:r>
        <w:rPr>
          <w:rFonts w:hint="eastAsia"/>
          <w:bCs/>
          <w:szCs w:val="28"/>
        </w:rPr>
        <w:t>）建管并重，长效运行</w:t>
      </w:r>
    </w:p>
    <w:p>
      <w:pPr>
        <w:ind w:firstLine="560"/>
      </w:pPr>
      <w:r>
        <w:rPr>
          <w:rFonts w:hint="eastAsia"/>
          <w:szCs w:val="28"/>
        </w:rPr>
        <w:t>坚持建设与运维兵种，最大化发挥农村生活污水治理设施功能，确保农村生活污水处理率与达标率提升，使农村人居环境和生态环境得到明显改善。健全农村生活污水治理设施运行管理组织框架及标准化运行管理体系，立足长远，保障农村生活污水处理设施</w:t>
      </w:r>
      <w:r>
        <w:rPr>
          <w:szCs w:val="28"/>
        </w:rPr>
        <w:t>“</w:t>
      </w:r>
      <w:r>
        <w:rPr>
          <w:rFonts w:hint="eastAsia"/>
          <w:szCs w:val="28"/>
        </w:rPr>
        <w:t>有专业的人员建设、管理和专职部门和人员监督</w:t>
      </w:r>
      <w:r>
        <w:rPr>
          <w:szCs w:val="28"/>
        </w:rPr>
        <w:t>”</w:t>
      </w:r>
      <w:r>
        <w:rPr>
          <w:rFonts w:hint="eastAsia"/>
          <w:szCs w:val="28"/>
        </w:rPr>
        <w:t>。</w:t>
      </w:r>
    </w:p>
    <w:p>
      <w:pPr>
        <w:pStyle w:val="3"/>
      </w:pPr>
      <w:bookmarkStart w:id="15" w:name="_Toc43042499"/>
      <w:r>
        <w:rPr>
          <w:rFonts w:hint="eastAsia"/>
        </w:rPr>
        <w:t>1.6《规划》编制依据</w:t>
      </w:r>
      <w:bookmarkEnd w:id="15"/>
    </w:p>
    <w:p>
      <w:pPr>
        <w:pStyle w:val="4"/>
      </w:pPr>
      <w:bookmarkStart w:id="16" w:name="_Toc43042500"/>
      <w:r>
        <w:rPr>
          <w:rFonts w:hint="eastAsia"/>
        </w:rPr>
        <w:t>1.6.1 法律法规</w:t>
      </w:r>
      <w:bookmarkEnd w:id="16"/>
    </w:p>
    <w:p>
      <w:pPr>
        <w:ind w:firstLine="560"/>
      </w:pPr>
      <w:r>
        <w:rPr>
          <w:rFonts w:hint="eastAsia"/>
        </w:rPr>
        <w:t>（</w:t>
      </w:r>
      <w:r>
        <w:t>1</w:t>
      </w:r>
      <w:r>
        <w:rPr>
          <w:rFonts w:hint="eastAsia"/>
        </w:rPr>
        <w:t>）《中华人民共和国水污染防治法》（</w:t>
      </w:r>
      <w:r>
        <w:t>2017</w:t>
      </w:r>
      <w:r>
        <w:rPr>
          <w:rFonts w:hint="eastAsia"/>
        </w:rPr>
        <w:t>年修订）；</w:t>
      </w:r>
    </w:p>
    <w:p>
      <w:pPr>
        <w:ind w:firstLine="560"/>
      </w:pPr>
      <w:r>
        <w:rPr>
          <w:rFonts w:hint="eastAsia"/>
        </w:rPr>
        <w:t>（</w:t>
      </w:r>
      <w:r>
        <w:t>2</w:t>
      </w:r>
      <w:r>
        <w:rPr>
          <w:rFonts w:hint="eastAsia"/>
        </w:rPr>
        <w:t>）《中华人民共和国水法》（</w:t>
      </w:r>
      <w:r>
        <w:t>2016</w:t>
      </w:r>
      <w:r>
        <w:rPr>
          <w:rFonts w:hint="eastAsia"/>
        </w:rPr>
        <w:t>年修订）；</w:t>
      </w:r>
    </w:p>
    <w:p>
      <w:pPr>
        <w:ind w:firstLine="560"/>
      </w:pPr>
      <w:r>
        <w:rPr>
          <w:rFonts w:hint="eastAsia"/>
        </w:rPr>
        <w:t>（</w:t>
      </w:r>
      <w:r>
        <w:t>3</w:t>
      </w:r>
      <w:r>
        <w:rPr>
          <w:rFonts w:hint="eastAsia"/>
        </w:rPr>
        <w:t>）《</w:t>
      </w:r>
      <w:r>
        <w:rPr>
          <w:rFonts w:hint="eastAsia"/>
          <w:lang w:eastAsia="zh-CN"/>
        </w:rPr>
        <w:t>中华人民共和国</w:t>
      </w:r>
      <w:r>
        <w:rPr>
          <w:rFonts w:hint="eastAsia"/>
        </w:rPr>
        <w:t>环境保护法》（</w:t>
      </w:r>
      <w:r>
        <w:t>2014</w:t>
      </w:r>
      <w:r>
        <w:rPr>
          <w:rFonts w:hint="eastAsia"/>
        </w:rPr>
        <w:t>年修订）；</w:t>
      </w:r>
    </w:p>
    <w:p>
      <w:pPr>
        <w:ind w:firstLine="560"/>
      </w:pPr>
      <w:r>
        <w:rPr>
          <w:rFonts w:hint="eastAsia"/>
        </w:rPr>
        <w:t>（</w:t>
      </w:r>
      <w:r>
        <w:t>4</w:t>
      </w:r>
      <w:r>
        <w:rPr>
          <w:rFonts w:hint="eastAsia"/>
        </w:rPr>
        <w:t>）《中华人民共和国城乡规划法》（</w:t>
      </w:r>
      <w:r>
        <w:t>2019</w:t>
      </w:r>
      <w:r>
        <w:rPr>
          <w:rFonts w:hint="eastAsia"/>
        </w:rPr>
        <w:t>年修订）；</w:t>
      </w:r>
    </w:p>
    <w:p>
      <w:pPr>
        <w:ind w:firstLine="560"/>
      </w:pPr>
      <w:r>
        <w:rPr>
          <w:rFonts w:hint="eastAsia"/>
        </w:rPr>
        <w:t>（</w:t>
      </w:r>
      <w:r>
        <w:t>5</w:t>
      </w:r>
      <w:r>
        <w:rPr>
          <w:rFonts w:hint="eastAsia"/>
        </w:rPr>
        <w:t>）《城市规划编制办法》（建设部令第</w:t>
      </w:r>
      <w:r>
        <w:t>146</w:t>
      </w:r>
      <w:r>
        <w:rPr>
          <w:rFonts w:hint="eastAsia"/>
        </w:rPr>
        <w:t>号）；</w:t>
      </w:r>
    </w:p>
    <w:p>
      <w:pPr>
        <w:ind w:firstLine="560"/>
      </w:pPr>
      <w:r>
        <w:rPr>
          <w:rFonts w:hint="eastAsia"/>
        </w:rPr>
        <w:t>（</w:t>
      </w:r>
      <w:r>
        <w:t>6</w:t>
      </w:r>
      <w:r>
        <w:rPr>
          <w:rFonts w:hint="eastAsia"/>
        </w:rPr>
        <w:t>）《乡村振兴战略规划（</w:t>
      </w:r>
      <w:r>
        <w:t>2018-2022</w:t>
      </w:r>
      <w:r>
        <w:rPr>
          <w:rFonts w:hint="eastAsia"/>
        </w:rPr>
        <w:t>年）；</w:t>
      </w:r>
    </w:p>
    <w:p>
      <w:pPr>
        <w:ind w:firstLine="560"/>
        <w:rPr>
          <w:szCs w:val="28"/>
        </w:rPr>
      </w:pPr>
      <w:r>
        <w:rPr>
          <w:rFonts w:hint="eastAsia"/>
          <w:szCs w:val="28"/>
        </w:rPr>
        <w:t>（</w:t>
      </w:r>
      <w:r>
        <w:rPr>
          <w:szCs w:val="28"/>
        </w:rPr>
        <w:t>7</w:t>
      </w:r>
      <w:r>
        <w:rPr>
          <w:rFonts w:hint="eastAsia"/>
          <w:szCs w:val="28"/>
        </w:rPr>
        <w:t>）《国家环境保护十三五规划纲要》。</w:t>
      </w:r>
    </w:p>
    <w:p>
      <w:pPr>
        <w:ind w:firstLine="560"/>
      </w:pPr>
    </w:p>
    <w:p>
      <w:pPr>
        <w:pStyle w:val="4"/>
      </w:pPr>
      <w:bookmarkStart w:id="17" w:name="_Toc43042501"/>
      <w:r>
        <w:rPr>
          <w:rFonts w:hint="eastAsia"/>
        </w:rPr>
        <w:t>1.6.2 标准规范</w:t>
      </w:r>
      <w:bookmarkEnd w:id="17"/>
    </w:p>
    <w:p>
      <w:pPr>
        <w:ind w:firstLine="560"/>
      </w:pPr>
      <w:r>
        <w:rPr>
          <w:rFonts w:hint="eastAsia"/>
        </w:rPr>
        <w:t>（</w:t>
      </w:r>
      <w:r>
        <w:t>1</w:t>
      </w:r>
      <w:r>
        <w:rPr>
          <w:rFonts w:hint="eastAsia"/>
        </w:rPr>
        <w:t>）《地表水环境质量标准》（</w:t>
      </w:r>
      <w:r>
        <w:t>GB 3838-2002</w:t>
      </w:r>
      <w:r>
        <w:rPr>
          <w:rFonts w:hint="eastAsia"/>
        </w:rPr>
        <w:t>）；</w:t>
      </w:r>
    </w:p>
    <w:p>
      <w:pPr>
        <w:ind w:firstLine="560"/>
      </w:pPr>
      <w:r>
        <w:rPr>
          <w:rFonts w:hint="eastAsia"/>
        </w:rPr>
        <w:t>（</w:t>
      </w:r>
      <w:r>
        <w:t>2</w:t>
      </w:r>
      <w:r>
        <w:rPr>
          <w:rFonts w:hint="eastAsia"/>
        </w:rPr>
        <w:t>）《室外排水设计规范》（</w:t>
      </w:r>
      <w:r>
        <w:t>GB 50014-2006</w:t>
      </w:r>
      <w:r>
        <w:rPr>
          <w:rFonts w:hint="eastAsia"/>
        </w:rPr>
        <w:t>）（</w:t>
      </w:r>
      <w:r>
        <w:t xml:space="preserve">2016 </w:t>
      </w:r>
      <w:r>
        <w:rPr>
          <w:rFonts w:hint="eastAsia"/>
        </w:rPr>
        <w:t>版）；</w:t>
      </w:r>
    </w:p>
    <w:p>
      <w:pPr>
        <w:ind w:firstLine="560"/>
      </w:pPr>
      <w:r>
        <w:rPr>
          <w:rFonts w:hint="eastAsia"/>
        </w:rPr>
        <w:t>（</w:t>
      </w:r>
      <w:r>
        <w:t>3</w:t>
      </w:r>
      <w:r>
        <w:rPr>
          <w:rFonts w:hint="eastAsia"/>
        </w:rPr>
        <w:t>）《室外给水设计规范》（</w:t>
      </w:r>
      <w:r>
        <w:t>GB50013-2006</w:t>
      </w:r>
      <w:r>
        <w:rPr>
          <w:rFonts w:hint="eastAsia"/>
        </w:rPr>
        <w:t>）；</w:t>
      </w:r>
    </w:p>
    <w:p>
      <w:pPr>
        <w:ind w:firstLine="560"/>
      </w:pPr>
      <w:r>
        <w:rPr>
          <w:rFonts w:hint="eastAsia"/>
        </w:rPr>
        <w:t>（</w:t>
      </w:r>
      <w:r>
        <w:t>4</w:t>
      </w:r>
      <w:r>
        <w:rPr>
          <w:rFonts w:hint="eastAsia"/>
        </w:rPr>
        <w:t>）《污水综合排放标准》（</w:t>
      </w:r>
      <w:r>
        <w:t>GB8978-2002</w:t>
      </w:r>
      <w:r>
        <w:rPr>
          <w:rFonts w:hint="eastAsia"/>
        </w:rPr>
        <w:t>）；</w:t>
      </w:r>
    </w:p>
    <w:p>
      <w:pPr>
        <w:ind w:firstLine="560"/>
      </w:pPr>
      <w:r>
        <w:rPr>
          <w:rFonts w:hint="eastAsia"/>
        </w:rPr>
        <w:t>（</w:t>
      </w:r>
      <w:r>
        <w:t>5</w:t>
      </w:r>
      <w:r>
        <w:rPr>
          <w:rFonts w:hint="eastAsia"/>
        </w:rPr>
        <w:t>）《城镇污水处理厂污染物排放标准》（</w:t>
      </w:r>
      <w:r>
        <w:t>GB 18918-2002</w:t>
      </w:r>
      <w:r>
        <w:rPr>
          <w:rFonts w:hint="eastAsia"/>
        </w:rPr>
        <w:t>）；</w:t>
      </w:r>
    </w:p>
    <w:p>
      <w:pPr>
        <w:ind w:firstLine="560"/>
      </w:pPr>
      <w:r>
        <w:rPr>
          <w:rFonts w:hint="eastAsia"/>
        </w:rPr>
        <w:t>（</w:t>
      </w:r>
      <w:r>
        <w:t>6</w:t>
      </w:r>
      <w:r>
        <w:rPr>
          <w:rFonts w:hint="eastAsia"/>
        </w:rPr>
        <w:t>）《村庄整治技术规范》（</w:t>
      </w:r>
      <w:r>
        <w:t>GB 50445-2008</w:t>
      </w:r>
      <w:r>
        <w:rPr>
          <w:rFonts w:hint="eastAsia"/>
        </w:rPr>
        <w:t>）；</w:t>
      </w:r>
    </w:p>
    <w:p>
      <w:pPr>
        <w:ind w:firstLine="560"/>
      </w:pPr>
      <w:r>
        <w:rPr>
          <w:rFonts w:hint="eastAsia"/>
        </w:rPr>
        <w:t>（</w:t>
      </w:r>
      <w:r>
        <w:t>7</w:t>
      </w:r>
      <w:r>
        <w:rPr>
          <w:rFonts w:hint="eastAsia"/>
        </w:rPr>
        <w:t>）《镇</w:t>
      </w:r>
      <w:r>
        <w:t>(</w:t>
      </w:r>
      <w:r>
        <w:rPr>
          <w:rFonts w:hint="eastAsia"/>
        </w:rPr>
        <w:t>乡</w:t>
      </w:r>
      <w:r>
        <w:t>)</w:t>
      </w:r>
      <w:r>
        <w:rPr>
          <w:rFonts w:hint="eastAsia"/>
        </w:rPr>
        <w:t>村排水工程技术规程》（</w:t>
      </w:r>
      <w:r>
        <w:t>CJJ 124-2008</w:t>
      </w:r>
      <w:r>
        <w:rPr>
          <w:rFonts w:hint="eastAsia"/>
        </w:rPr>
        <w:t>）；</w:t>
      </w:r>
    </w:p>
    <w:p>
      <w:pPr>
        <w:ind w:firstLine="560"/>
      </w:pPr>
      <w:r>
        <w:rPr>
          <w:rFonts w:hint="eastAsia"/>
        </w:rPr>
        <w:t>（</w:t>
      </w:r>
      <w:r>
        <w:t>8</w:t>
      </w:r>
      <w:r>
        <w:rPr>
          <w:rFonts w:hint="eastAsia"/>
        </w:rPr>
        <w:t>）《城镇污水处理厂污泥处置</w:t>
      </w:r>
      <w:r>
        <w:t>-</w:t>
      </w:r>
      <w:r>
        <w:rPr>
          <w:rFonts w:hint="eastAsia"/>
        </w:rPr>
        <w:t>农用泥质》（</w:t>
      </w:r>
      <w:r>
        <w:t>CJT 309-2009</w:t>
      </w:r>
      <w:r>
        <w:rPr>
          <w:rFonts w:hint="eastAsia"/>
        </w:rPr>
        <w:t>）；</w:t>
      </w:r>
    </w:p>
    <w:p>
      <w:pPr>
        <w:ind w:firstLine="560"/>
      </w:pPr>
      <w:r>
        <w:rPr>
          <w:rFonts w:hint="eastAsia"/>
        </w:rPr>
        <w:t>（</w:t>
      </w:r>
      <w:r>
        <w:t>9</w:t>
      </w:r>
      <w:r>
        <w:rPr>
          <w:rFonts w:hint="eastAsia"/>
        </w:rPr>
        <w:t>）《农村生活污水处理设施水污染物排放标准》（</w:t>
      </w:r>
      <w:r>
        <w:t>DB53_T 953-2019</w:t>
      </w:r>
      <w:r>
        <w:rPr>
          <w:rFonts w:hint="eastAsia"/>
        </w:rPr>
        <w:t>）；</w:t>
      </w:r>
    </w:p>
    <w:p>
      <w:pPr>
        <w:ind w:firstLine="560"/>
      </w:pPr>
      <w:r>
        <w:rPr>
          <w:rFonts w:hint="eastAsia"/>
        </w:rPr>
        <w:t>（</w:t>
      </w:r>
      <w:r>
        <w:t>10</w:t>
      </w:r>
      <w:r>
        <w:rPr>
          <w:rFonts w:hint="eastAsia"/>
        </w:rPr>
        <w:t>）《污水排入城市下水道水质标准》（</w:t>
      </w:r>
      <w:r>
        <w:t>CJ343-2010</w:t>
      </w:r>
      <w:r>
        <w:rPr>
          <w:rFonts w:hint="eastAsia"/>
        </w:rPr>
        <w:t>）；</w:t>
      </w:r>
    </w:p>
    <w:p>
      <w:pPr>
        <w:ind w:firstLine="560"/>
      </w:pPr>
      <w:r>
        <w:rPr>
          <w:rFonts w:hint="eastAsia"/>
        </w:rPr>
        <w:t>（</w:t>
      </w:r>
      <w:r>
        <w:t>11</w:t>
      </w:r>
      <w:r>
        <w:rPr>
          <w:rFonts w:hint="eastAsia"/>
        </w:rPr>
        <w:t>）《农村生活污水处理和给水与污水处理工程项目建设用地标准》；</w:t>
      </w:r>
    </w:p>
    <w:p>
      <w:pPr>
        <w:ind w:firstLine="560"/>
      </w:pPr>
      <w:r>
        <w:rPr>
          <w:rFonts w:hint="eastAsia"/>
        </w:rPr>
        <w:t>（</w:t>
      </w:r>
      <w:r>
        <w:t>12</w:t>
      </w:r>
      <w:r>
        <w:rPr>
          <w:rFonts w:hint="eastAsia"/>
        </w:rPr>
        <w:t>）《城市污水处理工程项目建设标准》（建标【</w:t>
      </w:r>
      <w:r>
        <w:t>1994</w:t>
      </w:r>
      <w:r>
        <w:rPr>
          <w:rFonts w:hint="eastAsia"/>
        </w:rPr>
        <w:t>】</w:t>
      </w:r>
      <w:r>
        <w:t>574</w:t>
      </w:r>
      <w:r>
        <w:rPr>
          <w:rFonts w:hint="eastAsia"/>
        </w:rPr>
        <w:t>号）；</w:t>
      </w:r>
    </w:p>
    <w:p>
      <w:pPr>
        <w:ind w:firstLine="560"/>
      </w:pPr>
      <w:r>
        <w:rPr>
          <w:rFonts w:hint="eastAsia"/>
        </w:rPr>
        <w:t>（</w:t>
      </w:r>
      <w:r>
        <w:t>13</w:t>
      </w:r>
      <w:r>
        <w:rPr>
          <w:rFonts w:hint="eastAsia"/>
        </w:rPr>
        <w:t>）《集中式饮用水水源环境保护指南</w:t>
      </w:r>
      <w:r>
        <w:t>(</w:t>
      </w:r>
      <w:r>
        <w:rPr>
          <w:rFonts w:hint="eastAsia"/>
        </w:rPr>
        <w:t>试行</w:t>
      </w:r>
      <w:r>
        <w:t>)</w:t>
      </w:r>
      <w:r>
        <w:rPr>
          <w:rFonts w:hint="eastAsia"/>
        </w:rPr>
        <w:t>》</w:t>
      </w:r>
      <w:r>
        <w:t>(</w:t>
      </w:r>
      <w:r>
        <w:rPr>
          <w:rFonts w:hint="eastAsia"/>
        </w:rPr>
        <w:t>环办</w:t>
      </w:r>
      <w:r>
        <w:t xml:space="preserve">[2012]50 </w:t>
      </w:r>
      <w:r>
        <w:rPr>
          <w:rFonts w:hint="eastAsia"/>
        </w:rPr>
        <w:t>号</w:t>
      </w:r>
      <w:r>
        <w:t>)</w:t>
      </w:r>
      <w:r>
        <w:rPr>
          <w:rFonts w:hint="eastAsia"/>
        </w:rPr>
        <w:t>；</w:t>
      </w:r>
    </w:p>
    <w:p>
      <w:pPr>
        <w:ind w:firstLine="560"/>
      </w:pPr>
      <w:r>
        <w:rPr>
          <w:rFonts w:hint="eastAsia"/>
        </w:rPr>
        <w:t>（</w:t>
      </w:r>
      <w:r>
        <w:t>14</w:t>
      </w:r>
      <w:r>
        <w:rPr>
          <w:rFonts w:hint="eastAsia"/>
        </w:rPr>
        <w:t>）《地表水和污水监测技术规范》（</w:t>
      </w:r>
      <w:r>
        <w:t>HJT 91-2002</w:t>
      </w:r>
      <w:r>
        <w:rPr>
          <w:rFonts w:hint="eastAsia"/>
        </w:rPr>
        <w:t>）；</w:t>
      </w:r>
    </w:p>
    <w:p>
      <w:pPr>
        <w:ind w:firstLine="560"/>
      </w:pPr>
      <w:r>
        <w:rPr>
          <w:rFonts w:hint="eastAsia"/>
        </w:rPr>
        <w:t>（</w:t>
      </w:r>
      <w:r>
        <w:t>15</w:t>
      </w:r>
      <w:r>
        <w:rPr>
          <w:rFonts w:hint="eastAsia"/>
        </w:rPr>
        <w:t>）《建筑给水排水设计规范》（</w:t>
      </w:r>
      <w:r>
        <w:t>GB50015-2003</w:t>
      </w:r>
      <w:r>
        <w:rPr>
          <w:rFonts w:hint="eastAsia"/>
        </w:rPr>
        <w:t>）（</w:t>
      </w:r>
      <w:r>
        <w:t xml:space="preserve">2009 </w:t>
      </w:r>
      <w:r>
        <w:rPr>
          <w:rFonts w:hint="eastAsia"/>
        </w:rPr>
        <w:t>版）；</w:t>
      </w:r>
    </w:p>
    <w:p>
      <w:pPr>
        <w:ind w:firstLine="560"/>
      </w:pPr>
      <w:r>
        <w:rPr>
          <w:rFonts w:hint="eastAsia"/>
        </w:rPr>
        <w:t>（</w:t>
      </w:r>
      <w:r>
        <w:t>16</w:t>
      </w:r>
      <w:r>
        <w:rPr>
          <w:rFonts w:hint="eastAsia"/>
        </w:rPr>
        <w:t>）《农村户厕卫生规范》（</w:t>
      </w:r>
      <w:r>
        <w:t>GB19379-2012</w:t>
      </w:r>
      <w:r>
        <w:rPr>
          <w:rFonts w:hint="eastAsia"/>
        </w:rPr>
        <w:t>）；</w:t>
      </w:r>
    </w:p>
    <w:p>
      <w:pPr>
        <w:ind w:firstLine="560"/>
      </w:pPr>
      <w:r>
        <w:rPr>
          <w:rFonts w:hint="eastAsia"/>
        </w:rPr>
        <w:t>（</w:t>
      </w:r>
      <w:r>
        <w:t>17</w:t>
      </w:r>
      <w:r>
        <w:rPr>
          <w:rFonts w:hint="eastAsia"/>
        </w:rPr>
        <w:t>）《云南省地表水水环境功能区划》（</w:t>
      </w:r>
      <w:r>
        <w:t>2010-2020</w:t>
      </w:r>
      <w:r>
        <w:rPr>
          <w:rFonts w:hint="eastAsia"/>
        </w:rPr>
        <w:t>年）；</w:t>
      </w:r>
    </w:p>
    <w:p>
      <w:pPr>
        <w:ind w:firstLine="560"/>
      </w:pPr>
      <w:r>
        <w:rPr>
          <w:rFonts w:hint="eastAsia"/>
        </w:rPr>
        <w:t>（</w:t>
      </w:r>
      <w:r>
        <w:t>18</w:t>
      </w:r>
      <w:r>
        <w:rPr>
          <w:rFonts w:hint="eastAsia"/>
        </w:rPr>
        <w:t>）《农村生活污水处理导则》</w:t>
      </w:r>
      <w:r>
        <w:t>GB/T37071-2018</w:t>
      </w:r>
      <w:r>
        <w:rPr>
          <w:rFonts w:hint="eastAsia"/>
        </w:rPr>
        <w:t>；</w:t>
      </w:r>
    </w:p>
    <w:p>
      <w:pPr>
        <w:ind w:firstLine="560"/>
      </w:pPr>
      <w:r>
        <w:rPr>
          <w:rFonts w:hint="eastAsia"/>
        </w:rPr>
        <w:t>（</w:t>
      </w:r>
      <w:r>
        <w:t>19</w:t>
      </w:r>
      <w:r>
        <w:rPr>
          <w:rFonts w:hint="eastAsia"/>
        </w:rPr>
        <w:t>）《给水排水设计手册（第</w:t>
      </w:r>
      <w:r>
        <w:t xml:space="preserve">05 </w:t>
      </w:r>
      <w:r>
        <w:rPr>
          <w:rFonts w:hint="eastAsia"/>
        </w:rPr>
        <w:t>册）城镇排水》（第二版）；</w:t>
      </w:r>
    </w:p>
    <w:p>
      <w:pPr>
        <w:ind w:firstLine="560"/>
      </w:pPr>
      <w:r>
        <w:rPr>
          <w:rFonts w:hint="eastAsia"/>
        </w:rPr>
        <w:t>（</w:t>
      </w:r>
      <w:r>
        <w:t>20</w:t>
      </w:r>
      <w:r>
        <w:rPr>
          <w:rFonts w:hint="eastAsia"/>
        </w:rPr>
        <w:t>）《户用生活污水处理装置》（</w:t>
      </w:r>
      <w:r>
        <w:t>CJ/T 441-2013</w:t>
      </w:r>
      <w:r>
        <w:rPr>
          <w:rFonts w:hint="eastAsia"/>
        </w:rPr>
        <w:t>）；</w:t>
      </w:r>
    </w:p>
    <w:p>
      <w:pPr>
        <w:ind w:firstLine="560"/>
      </w:pPr>
      <w:r>
        <w:rPr>
          <w:rFonts w:hint="eastAsia"/>
        </w:rPr>
        <w:t>（</w:t>
      </w:r>
      <w:r>
        <w:t>21</w:t>
      </w:r>
      <w:r>
        <w:rPr>
          <w:rFonts w:hint="eastAsia"/>
        </w:rPr>
        <w:t>）《村庄污水处理设施技术规程》（</w:t>
      </w:r>
      <w:r>
        <w:t>CJJT 163-2011</w:t>
      </w:r>
      <w:r>
        <w:rPr>
          <w:rFonts w:hint="eastAsia"/>
        </w:rPr>
        <w:t>）；</w:t>
      </w:r>
    </w:p>
    <w:p>
      <w:pPr>
        <w:ind w:firstLine="560"/>
      </w:pPr>
      <w:r>
        <w:rPr>
          <w:rFonts w:hint="eastAsia"/>
        </w:rPr>
        <w:t>（</w:t>
      </w:r>
      <w:r>
        <w:t>22</w:t>
      </w:r>
      <w:r>
        <w:rPr>
          <w:rFonts w:hint="eastAsia"/>
        </w:rPr>
        <w:t>）《农村生活污水处理项目建设与投资指南》（</w:t>
      </w:r>
      <w:r>
        <w:t xml:space="preserve">2013 </w:t>
      </w:r>
      <w:r>
        <w:rPr>
          <w:rFonts w:hint="eastAsia"/>
        </w:rPr>
        <w:t>年）。</w:t>
      </w:r>
    </w:p>
    <w:p>
      <w:pPr>
        <w:pStyle w:val="4"/>
      </w:pPr>
      <w:bookmarkStart w:id="18" w:name="_Toc43042502"/>
      <w:r>
        <w:rPr>
          <w:rFonts w:hint="eastAsia"/>
        </w:rPr>
        <w:t>1.6.3 相关规划等其他政策文件</w:t>
      </w:r>
      <w:bookmarkEnd w:id="18"/>
    </w:p>
    <w:p>
      <w:pPr>
        <w:ind w:firstLine="560"/>
      </w:pPr>
      <w:r>
        <w:rPr>
          <w:rFonts w:hint="eastAsia"/>
        </w:rPr>
        <w:t>（</w:t>
      </w:r>
      <w:r>
        <w:t>1</w:t>
      </w:r>
      <w:r>
        <w:rPr>
          <w:rFonts w:hint="eastAsia"/>
        </w:rPr>
        <w:t>）《中共中央国务院关于实施乡村振兴战略的意见》；</w:t>
      </w:r>
    </w:p>
    <w:p>
      <w:pPr>
        <w:ind w:firstLine="560"/>
      </w:pPr>
      <w:r>
        <w:rPr>
          <w:rFonts w:hint="eastAsia"/>
        </w:rPr>
        <w:t>（</w:t>
      </w:r>
      <w:r>
        <w:t>2</w:t>
      </w:r>
      <w:r>
        <w:rPr>
          <w:rFonts w:hint="eastAsia"/>
        </w:rPr>
        <w:t>）《云南省县级农村生活污水治理规划编制指南</w:t>
      </w:r>
      <w:r>
        <w:t>(</w:t>
      </w:r>
      <w:r>
        <w:rPr>
          <w:rFonts w:hint="eastAsia"/>
        </w:rPr>
        <w:t>试行</w:t>
      </w:r>
      <w:r>
        <w:t>)</w:t>
      </w:r>
      <w:r>
        <w:rPr>
          <w:rFonts w:hint="eastAsia"/>
        </w:rPr>
        <w:t>》；</w:t>
      </w:r>
    </w:p>
    <w:p>
      <w:pPr>
        <w:ind w:firstLine="560"/>
      </w:pPr>
      <w:r>
        <w:rPr>
          <w:rFonts w:hint="eastAsia"/>
        </w:rPr>
        <w:t>（</w:t>
      </w:r>
      <w:r>
        <w:t>3</w:t>
      </w:r>
      <w:r>
        <w:rPr>
          <w:rFonts w:hint="eastAsia"/>
        </w:rPr>
        <w:t>）《晋宁县城总体规划修编（</w:t>
      </w:r>
      <w:r>
        <w:t>2013-2030</w:t>
      </w:r>
      <w:r>
        <w:rPr>
          <w:rFonts w:hint="eastAsia"/>
        </w:rPr>
        <w:t>）》；</w:t>
      </w:r>
    </w:p>
    <w:p>
      <w:pPr>
        <w:ind w:firstLine="560"/>
      </w:pPr>
      <w:r>
        <w:rPr>
          <w:rFonts w:hint="eastAsia"/>
        </w:rPr>
        <w:t>（</w:t>
      </w:r>
      <w:r>
        <w:t>4</w:t>
      </w:r>
      <w:r>
        <w:rPr>
          <w:rFonts w:hint="eastAsia"/>
        </w:rPr>
        <w:t>）《昆明晋宁南城片区规划修编（</w:t>
      </w:r>
      <w:r>
        <w:t>2013-2030</w:t>
      </w:r>
      <w:r>
        <w:rPr>
          <w:rFonts w:hint="eastAsia"/>
        </w:rPr>
        <w:t>）》；</w:t>
      </w:r>
    </w:p>
    <w:p>
      <w:pPr>
        <w:ind w:firstLine="560"/>
      </w:pPr>
      <w:r>
        <w:rPr>
          <w:rFonts w:hint="eastAsia"/>
        </w:rPr>
        <w:t>（</w:t>
      </w:r>
      <w:r>
        <w:t>5</w:t>
      </w:r>
      <w:r>
        <w:rPr>
          <w:rFonts w:hint="eastAsia"/>
        </w:rPr>
        <w:t>）《昆明市晋宁区土地整治规划（</w:t>
      </w:r>
      <w:r>
        <w:t>2016-2020</w:t>
      </w:r>
      <w:r>
        <w:rPr>
          <w:rFonts w:hint="eastAsia"/>
        </w:rPr>
        <w:t>年）》；</w:t>
      </w:r>
    </w:p>
    <w:p>
      <w:pPr>
        <w:ind w:firstLine="560"/>
      </w:pPr>
      <w:r>
        <w:rPr>
          <w:rFonts w:hint="eastAsia"/>
        </w:rPr>
        <w:t>（</w:t>
      </w:r>
      <w:r>
        <w:t>6</w:t>
      </w:r>
      <w:r>
        <w:rPr>
          <w:rFonts w:hint="eastAsia"/>
        </w:rPr>
        <w:t>）《昆明市关于部分县政府驻地镇行政区划调整工作的实施意见》；</w:t>
      </w:r>
    </w:p>
    <w:p>
      <w:pPr>
        <w:ind w:firstLine="560"/>
      </w:pPr>
      <w:r>
        <w:rPr>
          <w:rFonts w:hint="eastAsia"/>
        </w:rPr>
        <w:t>（</w:t>
      </w:r>
      <w:r>
        <w:t>7</w:t>
      </w:r>
      <w:r>
        <w:rPr>
          <w:rFonts w:hint="eastAsia"/>
        </w:rPr>
        <w:t>）《晋宁区国民经济和社会发展第十三个五年规划纲要》；</w:t>
      </w:r>
    </w:p>
    <w:p>
      <w:pPr>
        <w:ind w:firstLine="560"/>
      </w:pPr>
      <w:r>
        <w:rPr>
          <w:rFonts w:hint="eastAsia"/>
        </w:rPr>
        <w:t>（</w:t>
      </w:r>
      <w:r>
        <w:t>8</w:t>
      </w:r>
      <w:r>
        <w:rPr>
          <w:rFonts w:hint="eastAsia"/>
        </w:rPr>
        <w:t>）《昆明市人民政府办公厅关于印发厕所革命三年行动计划实施方案（</w:t>
      </w:r>
      <w:r>
        <w:t>2018-2020</w:t>
      </w:r>
      <w:r>
        <w:rPr>
          <w:rFonts w:hint="eastAsia"/>
        </w:rPr>
        <w:t>）》</w:t>
      </w:r>
    </w:p>
    <w:p>
      <w:pPr>
        <w:ind w:firstLine="560"/>
      </w:pPr>
      <w:r>
        <w:rPr>
          <w:rFonts w:hint="eastAsia"/>
        </w:rPr>
        <w:t>（</w:t>
      </w:r>
      <w:r>
        <w:t>9</w:t>
      </w:r>
      <w:r>
        <w:rPr>
          <w:rFonts w:hint="eastAsia"/>
        </w:rPr>
        <w:t>）《昆明市晋宁区</w:t>
      </w:r>
      <w:r>
        <w:t>2020</w:t>
      </w:r>
      <w:r>
        <w:rPr>
          <w:rFonts w:hint="eastAsia"/>
        </w:rPr>
        <w:t>年农村“厕所革命”实施方案》；</w:t>
      </w:r>
    </w:p>
    <w:p>
      <w:pPr>
        <w:ind w:firstLine="560"/>
      </w:pPr>
      <w:r>
        <w:rPr>
          <w:rFonts w:hint="eastAsia"/>
        </w:rPr>
        <w:t>（</w:t>
      </w:r>
      <w:r>
        <w:t>10</w:t>
      </w:r>
      <w:r>
        <w:rPr>
          <w:rFonts w:hint="eastAsia"/>
        </w:rPr>
        <w:t>）《晋宁区农村人居环境全域提升三年行动实施细则（</w:t>
      </w:r>
      <w:r>
        <w:t>2018</w:t>
      </w:r>
      <w:r>
        <w:rPr>
          <w:rFonts w:hint="eastAsia"/>
        </w:rPr>
        <w:t>—</w:t>
      </w:r>
      <w:r>
        <w:t>2020</w:t>
      </w:r>
      <w:r>
        <w:rPr>
          <w:rFonts w:hint="eastAsia"/>
        </w:rPr>
        <w:t>年）》；</w:t>
      </w:r>
    </w:p>
    <w:p>
      <w:pPr>
        <w:ind w:firstLine="560"/>
      </w:pPr>
      <w:r>
        <w:rPr>
          <w:rFonts w:hint="eastAsia"/>
        </w:rPr>
        <w:t>（</w:t>
      </w:r>
      <w:r>
        <w:t>11</w:t>
      </w:r>
      <w:r>
        <w:rPr>
          <w:rFonts w:hint="eastAsia"/>
        </w:rPr>
        <w:t>）《晋宁区旅游发展规划修编（</w:t>
      </w:r>
      <w:r>
        <w:t>2005-2020</w:t>
      </w:r>
      <w:r>
        <w:rPr>
          <w:rFonts w:hint="eastAsia"/>
        </w:rPr>
        <w:t>年）》；</w:t>
      </w:r>
    </w:p>
    <w:p>
      <w:pPr>
        <w:ind w:firstLine="560"/>
      </w:pPr>
      <w:r>
        <w:rPr>
          <w:rFonts w:hint="eastAsia"/>
        </w:rPr>
        <w:t>（</w:t>
      </w:r>
      <w:r>
        <w:t>12</w:t>
      </w:r>
      <w:r>
        <w:rPr>
          <w:rFonts w:hint="eastAsia"/>
        </w:rPr>
        <w:t>）晋政发〔</w:t>
      </w:r>
      <w:r>
        <w:t>2019</w:t>
      </w:r>
      <w:r>
        <w:rPr>
          <w:rFonts w:hint="eastAsia"/>
        </w:rPr>
        <w:t>〕</w:t>
      </w:r>
      <w:r>
        <w:t>22</w:t>
      </w:r>
      <w:r>
        <w:rPr>
          <w:rFonts w:hint="eastAsia"/>
        </w:rPr>
        <w:t>号关于印发《昆明市晋宁区打赢碧水保卫战三年行动实施方案》的通知；</w:t>
      </w:r>
    </w:p>
    <w:p>
      <w:pPr>
        <w:ind w:firstLine="560"/>
      </w:pPr>
      <w:r>
        <w:rPr>
          <w:rFonts w:hint="eastAsia"/>
        </w:rPr>
        <w:t>（</w:t>
      </w:r>
      <w:r>
        <w:t>13</w:t>
      </w:r>
      <w:r>
        <w:rPr>
          <w:rFonts w:hint="eastAsia"/>
        </w:rPr>
        <w:t>）晋政发〔</w:t>
      </w:r>
      <w:r>
        <w:t>2019</w:t>
      </w:r>
      <w:r>
        <w:rPr>
          <w:rFonts w:hint="eastAsia"/>
        </w:rPr>
        <w:t>〕</w:t>
      </w:r>
      <w:r>
        <w:t>21</w:t>
      </w:r>
      <w:r>
        <w:rPr>
          <w:rFonts w:hint="eastAsia"/>
        </w:rPr>
        <w:t>号关于印发《昆明市晋宁区打赢蓝天保卫战三年行动实施方案》的通知；</w:t>
      </w:r>
    </w:p>
    <w:p>
      <w:pPr>
        <w:ind w:firstLine="560"/>
      </w:pPr>
      <w:r>
        <w:rPr>
          <w:rFonts w:hint="eastAsia"/>
        </w:rPr>
        <w:t>（</w:t>
      </w:r>
      <w:r>
        <w:t>14</w:t>
      </w:r>
      <w:r>
        <w:rPr>
          <w:rFonts w:hint="eastAsia"/>
        </w:rPr>
        <w:t>）晋政发〔</w:t>
      </w:r>
      <w:r>
        <w:t>2019</w:t>
      </w:r>
      <w:r>
        <w:rPr>
          <w:rFonts w:hint="eastAsia"/>
        </w:rPr>
        <w:t>〕</w:t>
      </w:r>
      <w:r>
        <w:t>23</w:t>
      </w:r>
      <w:r>
        <w:rPr>
          <w:rFonts w:hint="eastAsia"/>
        </w:rPr>
        <w:t>号关于印发《昆明市晋宁区打赢净土保卫战三年行动实施方案》的通知；</w:t>
      </w:r>
    </w:p>
    <w:p>
      <w:pPr>
        <w:ind w:firstLine="560"/>
      </w:pPr>
      <w:r>
        <w:rPr>
          <w:rFonts w:hint="eastAsia"/>
        </w:rPr>
        <w:t>（</w:t>
      </w:r>
      <w:r>
        <w:t>15</w:t>
      </w:r>
      <w:r>
        <w:rPr>
          <w:rFonts w:hint="eastAsia"/>
        </w:rPr>
        <w:t>）《晋宁统计年鉴（</w:t>
      </w:r>
      <w:r>
        <w:t>2018</w:t>
      </w:r>
      <w:r>
        <w:rPr>
          <w:rFonts w:hint="eastAsia"/>
        </w:rPr>
        <w:t>年）》；</w:t>
      </w:r>
    </w:p>
    <w:p>
      <w:pPr>
        <w:ind w:firstLine="560"/>
      </w:pPr>
      <w:r>
        <w:rPr>
          <w:rFonts w:hint="eastAsia"/>
        </w:rPr>
        <w:t>（</w:t>
      </w:r>
      <w:r>
        <w:t>16</w:t>
      </w:r>
      <w:r>
        <w:rPr>
          <w:rFonts w:hint="eastAsia"/>
        </w:rPr>
        <w:t>）《云南省农村人居三年行动实施方案》；</w:t>
      </w:r>
    </w:p>
    <w:p>
      <w:pPr>
        <w:ind w:firstLine="560"/>
      </w:pPr>
      <w:r>
        <w:rPr>
          <w:rFonts w:hint="eastAsia"/>
        </w:rPr>
        <w:t>（</w:t>
      </w:r>
      <w:r>
        <w:t>17</w:t>
      </w:r>
      <w:r>
        <w:rPr>
          <w:rFonts w:hint="eastAsia"/>
        </w:rPr>
        <w:t>）《关于推进农村生活污水治理的实施意见》；</w:t>
      </w:r>
    </w:p>
    <w:p>
      <w:pPr>
        <w:ind w:firstLine="560"/>
      </w:pPr>
      <w:r>
        <w:rPr>
          <w:rFonts w:hint="eastAsia"/>
        </w:rPr>
        <w:t>（</w:t>
      </w:r>
      <w:r>
        <w:t>18</w:t>
      </w:r>
      <w:r>
        <w:rPr>
          <w:rFonts w:hint="eastAsia"/>
        </w:rPr>
        <w:t>）《云南省农业农村污染治理攻坚战作战方案》。</w:t>
      </w:r>
    </w:p>
    <w:p>
      <w:pPr>
        <w:widowControl/>
        <w:spacing w:line="240" w:lineRule="auto"/>
        <w:ind w:firstLine="0" w:firstLineChars="0"/>
        <w:jc w:val="left"/>
        <w:rPr>
          <w:b/>
          <w:bCs/>
          <w:kern w:val="44"/>
          <w:sz w:val="44"/>
          <w:szCs w:val="44"/>
        </w:rPr>
      </w:pPr>
      <w:r>
        <w:br w:type="page"/>
      </w:r>
    </w:p>
    <w:p>
      <w:pPr>
        <w:pStyle w:val="2"/>
        <w:ind w:firstLine="199" w:firstLineChars="45"/>
        <w:jc w:val="both"/>
      </w:pPr>
      <w:bookmarkStart w:id="19" w:name="_Toc43042503"/>
      <w:r>
        <w:t>第二章</w:t>
      </w:r>
      <w:r>
        <w:rPr>
          <w:rFonts w:hint="eastAsia"/>
        </w:rPr>
        <w:t>《规划》期限和目标</w:t>
      </w:r>
      <w:bookmarkEnd w:id="19"/>
    </w:p>
    <w:p>
      <w:pPr>
        <w:pStyle w:val="3"/>
      </w:pPr>
      <w:bookmarkStart w:id="20" w:name="_Toc43042504"/>
      <w:r>
        <w:rPr>
          <w:rFonts w:hint="eastAsia"/>
        </w:rPr>
        <w:t>2.1《规划》期限</w:t>
      </w:r>
      <w:bookmarkEnd w:id="20"/>
    </w:p>
    <w:p>
      <w:pPr>
        <w:ind w:firstLine="560"/>
      </w:pPr>
      <w:r>
        <w:rPr>
          <w:rFonts w:hint="eastAsia"/>
        </w:rPr>
        <w:t>规划基期年为2018年，规划目标年为203</w:t>
      </w:r>
      <w:r>
        <w:t>0</w:t>
      </w:r>
      <w:r>
        <w:rPr>
          <w:rFonts w:hint="eastAsia"/>
        </w:rPr>
        <w:t>年，规划期限为2020年到2030年。</w:t>
      </w:r>
      <w:r>
        <w:rPr>
          <w:szCs w:val="28"/>
        </w:rPr>
        <w:t>其中近期到2020年，2021-2025年为中期，2026-203</w:t>
      </w:r>
      <w:r>
        <w:rPr>
          <w:rFonts w:hint="eastAsia"/>
          <w:szCs w:val="28"/>
        </w:rPr>
        <w:t>0</w:t>
      </w:r>
      <w:r>
        <w:rPr>
          <w:szCs w:val="28"/>
        </w:rPr>
        <w:t>年为远期。</w:t>
      </w:r>
    </w:p>
    <w:p>
      <w:pPr>
        <w:pStyle w:val="3"/>
      </w:pPr>
      <w:bookmarkStart w:id="21" w:name="_Toc43042505"/>
      <w:r>
        <w:rPr>
          <w:rFonts w:hint="eastAsia"/>
        </w:rPr>
        <w:t>2.2《规划》目标</w:t>
      </w:r>
      <w:bookmarkEnd w:id="21"/>
    </w:p>
    <w:p>
      <w:pPr>
        <w:pStyle w:val="4"/>
      </w:pPr>
      <w:bookmarkStart w:id="22" w:name="_Toc43042506"/>
      <w:r>
        <w:rPr>
          <w:rFonts w:hint="eastAsia"/>
        </w:rPr>
        <w:t>2.2.1近期目标</w:t>
      </w:r>
      <w:bookmarkEnd w:id="22"/>
    </w:p>
    <w:p>
      <w:pPr>
        <w:pStyle w:val="46"/>
        <w:adjustRightInd w:val="0"/>
        <w:snapToGrid w:val="0"/>
        <w:ind w:left="560" w:firstLine="560"/>
        <w:rPr>
          <w:szCs w:val="28"/>
        </w:rPr>
      </w:pPr>
      <w:bookmarkStart w:id="23" w:name="_Toc39930875"/>
      <w:r>
        <w:rPr>
          <w:rFonts w:hint="eastAsia"/>
          <w:szCs w:val="28"/>
        </w:rPr>
        <w:t>（1）农村生活污水治理率≥72.8%；</w:t>
      </w:r>
    </w:p>
    <w:p>
      <w:pPr>
        <w:pStyle w:val="46"/>
        <w:adjustRightInd w:val="0"/>
        <w:snapToGrid w:val="0"/>
        <w:ind w:left="560" w:firstLine="560"/>
        <w:rPr>
          <w:szCs w:val="28"/>
        </w:rPr>
      </w:pPr>
      <w:r>
        <w:rPr>
          <w:rFonts w:hint="eastAsia"/>
          <w:szCs w:val="28"/>
        </w:rPr>
        <w:t>（2）规划建设农村生活污水治理的村庄数</w:t>
      </w:r>
      <w:r>
        <w:rPr>
          <w:szCs w:val="28"/>
        </w:rPr>
        <w:t>8</w:t>
      </w:r>
      <w:r>
        <w:rPr>
          <w:rFonts w:hint="eastAsia"/>
          <w:szCs w:val="28"/>
        </w:rPr>
        <w:t>个自然村，结合现有并无需改造的自然村</w:t>
      </w:r>
      <w:r>
        <w:rPr>
          <w:szCs w:val="28"/>
        </w:rPr>
        <w:t>352</w:t>
      </w:r>
      <w:r>
        <w:rPr>
          <w:rFonts w:hint="eastAsia"/>
          <w:szCs w:val="28"/>
        </w:rPr>
        <w:t>个，共</w:t>
      </w:r>
      <w:r>
        <w:rPr>
          <w:szCs w:val="28"/>
        </w:rPr>
        <w:t>360</w:t>
      </w:r>
      <w:r>
        <w:rPr>
          <w:rFonts w:hint="eastAsia"/>
          <w:szCs w:val="28"/>
        </w:rPr>
        <w:t>个自然村，自然村覆盖率≥</w:t>
      </w:r>
      <w:r>
        <w:rPr>
          <w:szCs w:val="28"/>
        </w:rPr>
        <w:t>72.8</w:t>
      </w:r>
      <w:r>
        <w:rPr>
          <w:rFonts w:hint="eastAsia"/>
          <w:szCs w:val="28"/>
        </w:rPr>
        <w:t>%；</w:t>
      </w:r>
    </w:p>
    <w:p>
      <w:pPr>
        <w:pStyle w:val="46"/>
        <w:adjustRightInd w:val="0"/>
        <w:snapToGrid w:val="0"/>
        <w:ind w:left="560" w:firstLine="560"/>
        <w:rPr>
          <w:szCs w:val="28"/>
        </w:rPr>
      </w:pPr>
      <w:r>
        <w:rPr>
          <w:rFonts w:hint="eastAsia"/>
          <w:szCs w:val="28"/>
        </w:rPr>
        <w:t>（3）农村生活污水治理设施所覆盖区域内的农户应实现应接尽接，规划建设农村生活污水治理设施所覆盖区域内的农户共</w:t>
      </w:r>
      <w:r>
        <w:rPr>
          <w:szCs w:val="28"/>
        </w:rPr>
        <w:t>1333</w:t>
      </w:r>
      <w:r>
        <w:rPr>
          <w:rFonts w:hint="eastAsia"/>
          <w:szCs w:val="28"/>
        </w:rPr>
        <w:t>户，结合原有现有污水治理设施覆盖的农户</w:t>
      </w:r>
      <w:r>
        <w:rPr>
          <w:szCs w:val="28"/>
        </w:rPr>
        <w:t>61888</w:t>
      </w:r>
      <w:r>
        <w:rPr>
          <w:rFonts w:hint="eastAsia"/>
          <w:szCs w:val="28"/>
        </w:rPr>
        <w:t>户，农户数共</w:t>
      </w:r>
      <w:r>
        <w:rPr>
          <w:szCs w:val="28"/>
        </w:rPr>
        <w:t>63221</w:t>
      </w:r>
      <w:r>
        <w:rPr>
          <w:rFonts w:hint="eastAsia"/>
          <w:szCs w:val="28"/>
        </w:rPr>
        <w:t>户，农户受益率≥</w:t>
      </w:r>
      <w:r>
        <w:rPr>
          <w:szCs w:val="28"/>
        </w:rPr>
        <w:t>79.8%</w:t>
      </w:r>
      <w:r>
        <w:rPr>
          <w:rFonts w:hint="eastAsia"/>
          <w:szCs w:val="28"/>
        </w:rPr>
        <w:t>；</w:t>
      </w:r>
    </w:p>
    <w:p>
      <w:pPr>
        <w:pStyle w:val="46"/>
        <w:adjustRightInd w:val="0"/>
        <w:snapToGrid w:val="0"/>
        <w:ind w:left="560" w:firstLine="560"/>
        <w:rPr>
          <w:szCs w:val="28"/>
        </w:rPr>
      </w:pPr>
    </w:p>
    <w:p>
      <w:pPr>
        <w:pStyle w:val="4"/>
        <w:widowControl/>
        <w:tabs>
          <w:tab w:val="left" w:pos="425"/>
        </w:tabs>
        <w:adjustRightInd w:val="0"/>
        <w:snapToGrid w:val="0"/>
        <w:spacing w:before="0" w:after="0" w:line="600" w:lineRule="exact"/>
        <w:jc w:val="left"/>
        <w:rPr>
          <w:rFonts w:eastAsia="方正楷体_GBK"/>
          <w:kern w:val="0"/>
          <w:sz w:val="30"/>
        </w:rPr>
      </w:pPr>
      <w:bookmarkStart w:id="24" w:name="_Toc43042507"/>
      <w:bookmarkStart w:id="25" w:name="_Toc41852454"/>
      <w:r>
        <w:rPr>
          <w:rFonts w:hint="eastAsia" w:eastAsia="方正楷体_GBK"/>
          <w:kern w:val="0"/>
          <w:sz w:val="30"/>
        </w:rPr>
        <w:t>2.2.</w:t>
      </w:r>
      <w:r>
        <w:rPr>
          <w:rFonts w:eastAsia="方正楷体_GBK"/>
          <w:kern w:val="0"/>
          <w:sz w:val="30"/>
        </w:rPr>
        <w:t>2中期目标</w:t>
      </w:r>
      <w:bookmarkEnd w:id="23"/>
      <w:bookmarkEnd w:id="24"/>
      <w:bookmarkEnd w:id="25"/>
    </w:p>
    <w:p>
      <w:pPr>
        <w:pStyle w:val="46"/>
        <w:adjustRightInd w:val="0"/>
        <w:snapToGrid w:val="0"/>
        <w:ind w:left="560" w:firstLine="560"/>
        <w:rPr>
          <w:szCs w:val="28"/>
        </w:rPr>
      </w:pPr>
      <w:bookmarkStart w:id="26" w:name="_Toc39930876"/>
      <w:r>
        <w:rPr>
          <w:rFonts w:hint="eastAsia"/>
          <w:szCs w:val="28"/>
        </w:rPr>
        <w:t>（</w:t>
      </w:r>
      <w:r>
        <w:rPr>
          <w:szCs w:val="28"/>
        </w:rPr>
        <w:t>1</w:t>
      </w:r>
      <w:r>
        <w:rPr>
          <w:rFonts w:hint="eastAsia"/>
          <w:szCs w:val="28"/>
        </w:rPr>
        <w:t>）至规划中期末（</w:t>
      </w:r>
      <w:r>
        <w:rPr>
          <w:szCs w:val="28"/>
        </w:rPr>
        <w:t>2025</w:t>
      </w:r>
      <w:r>
        <w:rPr>
          <w:rFonts w:hint="eastAsia"/>
          <w:szCs w:val="28"/>
        </w:rPr>
        <w:t>年），全县农村生活污水治理率≥</w:t>
      </w:r>
      <w:r>
        <w:rPr>
          <w:szCs w:val="28"/>
        </w:rPr>
        <w:t>95.7%</w:t>
      </w:r>
      <w:r>
        <w:rPr>
          <w:rFonts w:hint="eastAsia"/>
          <w:szCs w:val="28"/>
        </w:rPr>
        <w:t>；</w:t>
      </w:r>
    </w:p>
    <w:p>
      <w:pPr>
        <w:pStyle w:val="46"/>
        <w:adjustRightInd w:val="0"/>
        <w:snapToGrid w:val="0"/>
        <w:ind w:left="560" w:firstLine="560"/>
        <w:rPr>
          <w:szCs w:val="28"/>
        </w:rPr>
      </w:pPr>
      <w:r>
        <w:rPr>
          <w:rFonts w:hint="eastAsia"/>
          <w:szCs w:val="28"/>
        </w:rPr>
        <w:t>（</w:t>
      </w:r>
      <w:r>
        <w:rPr>
          <w:szCs w:val="28"/>
        </w:rPr>
        <w:t>2</w:t>
      </w:r>
      <w:r>
        <w:rPr>
          <w:rFonts w:hint="eastAsia"/>
          <w:szCs w:val="28"/>
        </w:rPr>
        <w:t>）规划建设农村生活污水治理的村庄数新增</w:t>
      </w:r>
      <w:r>
        <w:rPr>
          <w:szCs w:val="28"/>
        </w:rPr>
        <w:t>113</w:t>
      </w:r>
      <w:r>
        <w:rPr>
          <w:rFonts w:hint="eastAsia"/>
          <w:szCs w:val="28"/>
        </w:rPr>
        <w:t>个自然村，至规划中期末（</w:t>
      </w:r>
      <w:r>
        <w:rPr>
          <w:szCs w:val="28"/>
        </w:rPr>
        <w:t>2025</w:t>
      </w:r>
      <w:r>
        <w:rPr>
          <w:rFonts w:hint="eastAsia"/>
          <w:szCs w:val="28"/>
        </w:rPr>
        <w:t>年）共</w:t>
      </w:r>
      <w:r>
        <w:rPr>
          <w:szCs w:val="28"/>
        </w:rPr>
        <w:t>473</w:t>
      </w:r>
      <w:r>
        <w:rPr>
          <w:rFonts w:hint="eastAsia"/>
          <w:szCs w:val="28"/>
        </w:rPr>
        <w:t>个自然村，自然村覆盖率≥</w:t>
      </w:r>
      <w:r>
        <w:rPr>
          <w:szCs w:val="28"/>
        </w:rPr>
        <w:t>95.7%</w:t>
      </w:r>
      <w:r>
        <w:rPr>
          <w:rFonts w:hint="eastAsia"/>
          <w:szCs w:val="28"/>
        </w:rPr>
        <w:t>；</w:t>
      </w:r>
    </w:p>
    <w:p>
      <w:pPr>
        <w:pStyle w:val="46"/>
        <w:adjustRightInd w:val="0"/>
        <w:snapToGrid w:val="0"/>
        <w:ind w:left="560" w:firstLine="560"/>
        <w:rPr>
          <w:szCs w:val="28"/>
        </w:rPr>
      </w:pPr>
      <w:r>
        <w:rPr>
          <w:rFonts w:hint="eastAsia"/>
          <w:szCs w:val="28"/>
        </w:rPr>
        <w:t>（</w:t>
      </w:r>
      <w:r>
        <w:rPr>
          <w:szCs w:val="28"/>
        </w:rPr>
        <w:t>3</w:t>
      </w:r>
      <w:r>
        <w:rPr>
          <w:rFonts w:hint="eastAsia"/>
          <w:szCs w:val="28"/>
        </w:rPr>
        <w:t>）规划建设农村生活污水治理设施所覆盖区域内的农户新增</w:t>
      </w:r>
      <w:r>
        <w:rPr>
          <w:szCs w:val="28"/>
        </w:rPr>
        <w:t>13504</w:t>
      </w:r>
      <w:r>
        <w:rPr>
          <w:rFonts w:hint="eastAsia"/>
          <w:szCs w:val="28"/>
        </w:rPr>
        <w:t>户，至规划中期末（</w:t>
      </w:r>
      <w:r>
        <w:rPr>
          <w:szCs w:val="28"/>
        </w:rPr>
        <w:t>2025</w:t>
      </w:r>
      <w:r>
        <w:rPr>
          <w:rFonts w:hint="eastAsia"/>
          <w:szCs w:val="28"/>
        </w:rPr>
        <w:t>年）共</w:t>
      </w:r>
      <w:r>
        <w:rPr>
          <w:szCs w:val="28"/>
        </w:rPr>
        <w:t>76725</w:t>
      </w:r>
      <w:r>
        <w:rPr>
          <w:rFonts w:hint="eastAsia"/>
          <w:szCs w:val="28"/>
        </w:rPr>
        <w:t>户，农户受益率≥</w:t>
      </w:r>
      <w:r>
        <w:rPr>
          <w:szCs w:val="28"/>
        </w:rPr>
        <w:t>96.6%</w:t>
      </w:r>
      <w:r>
        <w:rPr>
          <w:rFonts w:hint="eastAsia"/>
          <w:szCs w:val="28"/>
        </w:rPr>
        <w:t>；</w:t>
      </w:r>
    </w:p>
    <w:p>
      <w:pPr>
        <w:pStyle w:val="46"/>
        <w:adjustRightInd w:val="0"/>
        <w:snapToGrid w:val="0"/>
        <w:ind w:left="560" w:firstLine="560"/>
        <w:rPr>
          <w:szCs w:val="28"/>
        </w:rPr>
      </w:pPr>
      <w:r>
        <w:rPr>
          <w:rFonts w:hint="eastAsia"/>
          <w:szCs w:val="28"/>
        </w:rPr>
        <w:t>（</w:t>
      </w:r>
      <w:r>
        <w:rPr>
          <w:szCs w:val="28"/>
        </w:rPr>
        <w:t>4</w:t>
      </w:r>
      <w:r>
        <w:rPr>
          <w:rFonts w:hint="eastAsia"/>
          <w:szCs w:val="28"/>
        </w:rPr>
        <w:t>）结合全区农村农户改厕工程，至规划中期末（</w:t>
      </w:r>
      <w:r>
        <w:rPr>
          <w:szCs w:val="28"/>
        </w:rPr>
        <w:t>2025</w:t>
      </w:r>
      <w:r>
        <w:rPr>
          <w:rFonts w:hint="eastAsia"/>
          <w:szCs w:val="28"/>
        </w:rPr>
        <w:t>年）有效管控率达</w:t>
      </w:r>
      <w:r>
        <w:rPr>
          <w:szCs w:val="28"/>
        </w:rPr>
        <w:t>1.4%</w:t>
      </w:r>
      <w:r>
        <w:rPr>
          <w:rFonts w:hint="eastAsia"/>
          <w:szCs w:val="28"/>
        </w:rPr>
        <w:t>；</w:t>
      </w:r>
    </w:p>
    <w:p>
      <w:pPr>
        <w:pStyle w:val="4"/>
        <w:widowControl/>
        <w:tabs>
          <w:tab w:val="left" w:pos="425"/>
        </w:tabs>
        <w:adjustRightInd w:val="0"/>
        <w:snapToGrid w:val="0"/>
        <w:spacing w:before="0" w:after="0" w:line="600" w:lineRule="exact"/>
        <w:jc w:val="left"/>
        <w:rPr>
          <w:rFonts w:eastAsia="方正楷体_GBK"/>
          <w:kern w:val="0"/>
          <w:sz w:val="30"/>
        </w:rPr>
      </w:pPr>
      <w:bookmarkStart w:id="27" w:name="_Toc43042508"/>
      <w:bookmarkStart w:id="28" w:name="_Toc41852455"/>
      <w:r>
        <w:rPr>
          <w:rFonts w:hint="eastAsia" w:eastAsia="方正楷体_GBK"/>
          <w:kern w:val="0"/>
          <w:sz w:val="30"/>
        </w:rPr>
        <w:t>2.2.</w:t>
      </w:r>
      <w:r>
        <w:rPr>
          <w:rFonts w:eastAsia="方正楷体_GBK"/>
          <w:kern w:val="0"/>
          <w:sz w:val="30"/>
        </w:rPr>
        <w:t>3远期目标</w:t>
      </w:r>
      <w:bookmarkEnd w:id="26"/>
      <w:bookmarkEnd w:id="27"/>
      <w:bookmarkEnd w:id="28"/>
    </w:p>
    <w:p>
      <w:pPr>
        <w:pStyle w:val="46"/>
        <w:adjustRightInd w:val="0"/>
        <w:snapToGrid w:val="0"/>
        <w:ind w:left="560" w:firstLine="560"/>
        <w:rPr>
          <w:szCs w:val="28"/>
        </w:rPr>
      </w:pPr>
      <w:r>
        <w:rPr>
          <w:rFonts w:hint="eastAsia"/>
          <w:szCs w:val="28"/>
        </w:rPr>
        <w:t>（</w:t>
      </w:r>
      <w:r>
        <w:rPr>
          <w:szCs w:val="28"/>
        </w:rPr>
        <w:t>1</w:t>
      </w:r>
      <w:r>
        <w:rPr>
          <w:rFonts w:hint="eastAsia"/>
          <w:szCs w:val="28"/>
        </w:rPr>
        <w:t>）至规划中期末（</w:t>
      </w:r>
      <w:r>
        <w:rPr>
          <w:szCs w:val="28"/>
        </w:rPr>
        <w:t>2025</w:t>
      </w:r>
      <w:r>
        <w:rPr>
          <w:rFonts w:hint="eastAsia"/>
          <w:szCs w:val="28"/>
        </w:rPr>
        <w:t>年），全县农村生活污水治理率1</w:t>
      </w:r>
      <w:r>
        <w:rPr>
          <w:szCs w:val="28"/>
        </w:rPr>
        <w:t>00%</w:t>
      </w:r>
      <w:r>
        <w:rPr>
          <w:rFonts w:hint="eastAsia"/>
          <w:szCs w:val="28"/>
        </w:rPr>
        <w:t>；</w:t>
      </w:r>
    </w:p>
    <w:p>
      <w:pPr>
        <w:pStyle w:val="46"/>
        <w:adjustRightInd w:val="0"/>
        <w:snapToGrid w:val="0"/>
        <w:ind w:left="560" w:firstLine="560"/>
        <w:rPr>
          <w:szCs w:val="28"/>
        </w:rPr>
      </w:pPr>
      <w:r>
        <w:rPr>
          <w:rFonts w:hint="eastAsia"/>
          <w:szCs w:val="28"/>
        </w:rPr>
        <w:t>（</w:t>
      </w:r>
      <w:r>
        <w:rPr>
          <w:szCs w:val="28"/>
        </w:rPr>
        <w:t>2</w:t>
      </w:r>
      <w:r>
        <w:rPr>
          <w:rFonts w:hint="eastAsia"/>
          <w:szCs w:val="28"/>
        </w:rPr>
        <w:t>）规划建设农村生活污水治理的村庄数新增</w:t>
      </w:r>
      <w:r>
        <w:rPr>
          <w:szCs w:val="28"/>
        </w:rPr>
        <w:t>21</w:t>
      </w:r>
      <w:r>
        <w:rPr>
          <w:rFonts w:hint="eastAsia"/>
          <w:szCs w:val="28"/>
        </w:rPr>
        <w:t>个自然村，至规划远期末（</w:t>
      </w:r>
      <w:r>
        <w:rPr>
          <w:szCs w:val="28"/>
        </w:rPr>
        <w:t>2030</w:t>
      </w:r>
      <w:r>
        <w:rPr>
          <w:rFonts w:hint="eastAsia"/>
          <w:szCs w:val="28"/>
        </w:rPr>
        <w:t>年）共</w:t>
      </w:r>
      <w:r>
        <w:rPr>
          <w:szCs w:val="28"/>
        </w:rPr>
        <w:t>4</w:t>
      </w:r>
      <w:r>
        <w:rPr>
          <w:rFonts w:hint="eastAsia"/>
          <w:szCs w:val="28"/>
        </w:rPr>
        <w:t>94个自然村，自然村覆盖率1</w:t>
      </w:r>
      <w:r>
        <w:rPr>
          <w:szCs w:val="28"/>
        </w:rPr>
        <w:t>00%</w:t>
      </w:r>
      <w:r>
        <w:rPr>
          <w:rFonts w:hint="eastAsia"/>
          <w:szCs w:val="28"/>
        </w:rPr>
        <w:t>；</w:t>
      </w:r>
    </w:p>
    <w:p>
      <w:pPr>
        <w:pStyle w:val="46"/>
        <w:adjustRightInd w:val="0"/>
        <w:snapToGrid w:val="0"/>
        <w:ind w:left="560" w:firstLine="560"/>
        <w:rPr>
          <w:szCs w:val="28"/>
        </w:rPr>
      </w:pPr>
      <w:r>
        <w:rPr>
          <w:rFonts w:hint="eastAsia"/>
          <w:szCs w:val="28"/>
        </w:rPr>
        <w:t>（</w:t>
      </w:r>
      <w:r>
        <w:rPr>
          <w:szCs w:val="28"/>
        </w:rPr>
        <w:t>3</w:t>
      </w:r>
      <w:r>
        <w:rPr>
          <w:rFonts w:hint="eastAsia"/>
          <w:szCs w:val="28"/>
        </w:rPr>
        <w:t>）规划建设农村生活污水治理设施所覆盖区域内的农户新增</w:t>
      </w:r>
      <w:r>
        <w:rPr>
          <w:szCs w:val="28"/>
        </w:rPr>
        <w:t>969</w:t>
      </w:r>
      <w:r>
        <w:rPr>
          <w:rFonts w:hint="eastAsia"/>
          <w:szCs w:val="28"/>
        </w:rPr>
        <w:t>户，至规划远期末（</w:t>
      </w:r>
      <w:r>
        <w:rPr>
          <w:szCs w:val="28"/>
        </w:rPr>
        <w:t>2030</w:t>
      </w:r>
      <w:r>
        <w:rPr>
          <w:rFonts w:hint="eastAsia"/>
          <w:szCs w:val="28"/>
        </w:rPr>
        <w:t>年）农户数共</w:t>
      </w:r>
      <w:r>
        <w:rPr>
          <w:szCs w:val="28"/>
        </w:rPr>
        <w:t>77694</w:t>
      </w:r>
      <w:r>
        <w:rPr>
          <w:rFonts w:hint="eastAsia"/>
          <w:szCs w:val="28"/>
        </w:rPr>
        <w:t>户，农户受益率≥</w:t>
      </w:r>
      <w:r>
        <w:rPr>
          <w:szCs w:val="28"/>
        </w:rPr>
        <w:t>98.1%</w:t>
      </w:r>
      <w:r>
        <w:rPr>
          <w:rFonts w:hint="eastAsia"/>
          <w:szCs w:val="28"/>
        </w:rPr>
        <w:t>；</w:t>
      </w:r>
    </w:p>
    <w:p>
      <w:pPr>
        <w:pStyle w:val="46"/>
        <w:adjustRightInd w:val="0"/>
        <w:snapToGrid w:val="0"/>
        <w:ind w:left="560" w:firstLine="560"/>
        <w:rPr>
          <w:szCs w:val="28"/>
        </w:rPr>
      </w:pPr>
      <w:r>
        <w:rPr>
          <w:rFonts w:hint="eastAsia"/>
          <w:szCs w:val="28"/>
        </w:rPr>
        <w:t>（</w:t>
      </w:r>
      <w:r>
        <w:rPr>
          <w:szCs w:val="28"/>
        </w:rPr>
        <w:t>4</w:t>
      </w:r>
      <w:r>
        <w:rPr>
          <w:rFonts w:hint="eastAsia"/>
          <w:szCs w:val="28"/>
        </w:rPr>
        <w:t>）结合全区农村农户改厕工程，生活污水有效管控率新增</w:t>
      </w:r>
      <w:r>
        <w:rPr>
          <w:szCs w:val="28"/>
        </w:rPr>
        <w:t>1.4%</w:t>
      </w:r>
      <w:r>
        <w:rPr>
          <w:rFonts w:hint="eastAsia"/>
          <w:szCs w:val="28"/>
        </w:rPr>
        <w:t>，至规划远期末（</w:t>
      </w:r>
      <w:r>
        <w:rPr>
          <w:szCs w:val="28"/>
        </w:rPr>
        <w:t>203</w:t>
      </w:r>
      <w:r>
        <w:rPr>
          <w:rFonts w:hint="eastAsia"/>
          <w:szCs w:val="28"/>
        </w:rPr>
        <w:t>0年）≥</w:t>
      </w:r>
      <w:r>
        <w:rPr>
          <w:szCs w:val="28"/>
        </w:rPr>
        <w:t>2.8%</w:t>
      </w:r>
      <w:r>
        <w:rPr>
          <w:rFonts w:hint="eastAsia"/>
          <w:szCs w:val="28"/>
        </w:rPr>
        <w:t>；</w:t>
      </w:r>
    </w:p>
    <w:p>
      <w:pPr>
        <w:pStyle w:val="46"/>
        <w:adjustRightInd w:val="0"/>
        <w:snapToGrid w:val="0"/>
        <w:ind w:left="560" w:firstLine="560"/>
        <w:rPr>
          <w:szCs w:val="28"/>
        </w:rPr>
      </w:pPr>
      <w:r>
        <w:rPr>
          <w:rFonts w:hint="eastAsia"/>
          <w:szCs w:val="28"/>
        </w:rPr>
        <w:t>（5）农村已建生活污水处理设施（20m</w:t>
      </w:r>
      <w:r>
        <w:rPr>
          <w:rFonts w:hint="eastAsia"/>
          <w:szCs w:val="28"/>
          <w:vertAlign w:val="superscript"/>
        </w:rPr>
        <w:t>3</w:t>
      </w:r>
      <w:r>
        <w:rPr>
          <w:rFonts w:hint="eastAsia"/>
          <w:szCs w:val="28"/>
        </w:rPr>
        <w:t>/d以上</w:t>
      </w:r>
      <w:r>
        <w:rPr>
          <w:szCs w:val="28"/>
        </w:rPr>
        <w:t>处理规模</w:t>
      </w:r>
      <w:r>
        <w:rPr>
          <w:rFonts w:hint="eastAsia"/>
          <w:szCs w:val="28"/>
        </w:rPr>
        <w:t>）实现100%专业、专职、专人运维，污水收集设施实现100%定期定时运维。</w:t>
      </w:r>
    </w:p>
    <w:p>
      <w:pPr>
        <w:widowControl/>
        <w:spacing w:line="240" w:lineRule="auto"/>
        <w:ind w:firstLine="0" w:firstLineChars="0"/>
        <w:jc w:val="left"/>
        <w:rPr>
          <w:b/>
          <w:bCs/>
          <w:kern w:val="44"/>
          <w:sz w:val="44"/>
          <w:szCs w:val="44"/>
        </w:rPr>
      </w:pPr>
      <w:r>
        <w:br w:type="page"/>
      </w:r>
    </w:p>
    <w:p>
      <w:pPr>
        <w:pStyle w:val="2"/>
        <w:ind w:firstLine="199" w:firstLineChars="45"/>
        <w:jc w:val="both"/>
      </w:pPr>
      <w:bookmarkStart w:id="29" w:name="_Toc43042509"/>
      <w:r>
        <w:rPr>
          <w:rFonts w:hint="eastAsia"/>
        </w:rPr>
        <w:t>第三章污染源分析</w:t>
      </w:r>
      <w:bookmarkEnd w:id="29"/>
    </w:p>
    <w:p>
      <w:pPr>
        <w:pStyle w:val="3"/>
      </w:pPr>
      <w:bookmarkStart w:id="30" w:name="_Toc43042510"/>
      <w:r>
        <w:rPr>
          <w:rFonts w:hint="eastAsia"/>
        </w:rPr>
        <w:t>3.1生活污水治理规划</w:t>
      </w:r>
      <w:bookmarkEnd w:id="30"/>
    </w:p>
    <w:p>
      <w:pPr>
        <w:pStyle w:val="4"/>
      </w:pPr>
      <w:bookmarkStart w:id="31" w:name="_Toc43042511"/>
      <w:r>
        <w:rPr>
          <w:rFonts w:hint="eastAsia"/>
        </w:rPr>
        <w:t>3.1.1 区域总体情况</w:t>
      </w:r>
      <w:bookmarkEnd w:id="31"/>
    </w:p>
    <w:p>
      <w:pPr>
        <w:adjustRightInd w:val="0"/>
        <w:snapToGrid w:val="0"/>
        <w:ind w:firstLine="560"/>
        <w:rPr>
          <w:szCs w:val="28"/>
        </w:rPr>
      </w:pPr>
      <w:r>
        <w:rPr>
          <w:rFonts w:hint="eastAsia"/>
          <w:szCs w:val="28"/>
        </w:rPr>
        <w:t>晋宁区下辖</w:t>
      </w:r>
      <w:r>
        <w:rPr>
          <w:szCs w:val="28"/>
        </w:rPr>
        <w:t>2</w:t>
      </w:r>
      <w:r>
        <w:rPr>
          <w:rFonts w:hint="eastAsia"/>
          <w:szCs w:val="28"/>
        </w:rPr>
        <w:t>乡</w:t>
      </w:r>
      <w:r>
        <w:rPr>
          <w:szCs w:val="28"/>
        </w:rPr>
        <w:t>4</w:t>
      </w:r>
      <w:r>
        <w:rPr>
          <w:rFonts w:hint="eastAsia"/>
          <w:szCs w:val="28"/>
        </w:rPr>
        <w:t>镇</w:t>
      </w:r>
      <w:r>
        <w:rPr>
          <w:szCs w:val="28"/>
        </w:rPr>
        <w:t>2</w:t>
      </w:r>
      <w:r>
        <w:rPr>
          <w:rFonts w:hint="eastAsia"/>
          <w:szCs w:val="28"/>
        </w:rPr>
        <w:t>个街道办事处，共有</w:t>
      </w:r>
      <w:r>
        <w:rPr>
          <w:szCs w:val="28"/>
        </w:rPr>
        <w:t>494</w:t>
      </w:r>
      <w:r>
        <w:rPr>
          <w:rFonts w:hint="eastAsia"/>
          <w:szCs w:val="28"/>
        </w:rPr>
        <w:t>个自然村，乡村农户</w:t>
      </w:r>
      <w:r>
        <w:rPr>
          <w:szCs w:val="28"/>
        </w:rPr>
        <w:t>79161</w:t>
      </w:r>
      <w:r>
        <w:rPr>
          <w:rFonts w:hint="eastAsia"/>
          <w:szCs w:val="28"/>
        </w:rPr>
        <w:t>户、</w:t>
      </w:r>
      <w:r>
        <w:rPr>
          <w:szCs w:val="28"/>
        </w:rPr>
        <w:t>225801</w:t>
      </w:r>
      <w:r>
        <w:rPr>
          <w:rFonts w:hint="eastAsia"/>
          <w:szCs w:val="28"/>
        </w:rPr>
        <w:t>人，已建有污水治理设施自然村数量</w:t>
      </w:r>
      <w:r>
        <w:rPr>
          <w:szCs w:val="28"/>
        </w:rPr>
        <w:t>395</w:t>
      </w:r>
      <w:r>
        <w:rPr>
          <w:rFonts w:hint="eastAsia"/>
          <w:szCs w:val="28"/>
        </w:rPr>
        <w:t>个，污水收集处理率</w:t>
      </w:r>
      <w:r>
        <w:rPr>
          <w:szCs w:val="28"/>
        </w:rPr>
        <w:t>80.87%</w:t>
      </w:r>
      <w:r>
        <w:rPr>
          <w:rFonts w:hint="eastAsia"/>
          <w:szCs w:val="28"/>
        </w:rPr>
        <w:t>，受益户数</w:t>
      </w:r>
      <w:r>
        <w:rPr>
          <w:szCs w:val="28"/>
        </w:rPr>
        <w:t>55178</w:t>
      </w:r>
      <w:r>
        <w:rPr>
          <w:rFonts w:hint="eastAsia"/>
          <w:szCs w:val="28"/>
        </w:rPr>
        <w:t>户，受益人口</w:t>
      </w:r>
      <w:r>
        <w:rPr>
          <w:szCs w:val="28"/>
        </w:rPr>
        <w:t>182600</w:t>
      </w:r>
      <w:r>
        <w:rPr>
          <w:rFonts w:hint="eastAsia"/>
          <w:szCs w:val="28"/>
        </w:rPr>
        <w:t>人。</w:t>
      </w:r>
    </w:p>
    <w:p>
      <w:pPr>
        <w:pStyle w:val="4"/>
      </w:pPr>
      <w:bookmarkStart w:id="32" w:name="_Toc43042512"/>
      <w:r>
        <w:rPr>
          <w:rFonts w:hint="eastAsia"/>
        </w:rPr>
        <w:t>3.1.2 各乡镇及街道情况</w:t>
      </w:r>
      <w:bookmarkEnd w:id="32"/>
    </w:p>
    <w:p>
      <w:pPr>
        <w:adjustRightInd w:val="0"/>
        <w:snapToGrid w:val="0"/>
        <w:ind w:firstLine="560"/>
        <w:rPr>
          <w:bCs/>
          <w:szCs w:val="28"/>
        </w:rPr>
      </w:pPr>
      <w:r>
        <w:rPr>
          <w:rFonts w:hint="eastAsia"/>
          <w:bCs/>
          <w:szCs w:val="28"/>
        </w:rPr>
        <w:t>（</w:t>
      </w:r>
      <w:r>
        <w:rPr>
          <w:bCs/>
          <w:szCs w:val="28"/>
        </w:rPr>
        <w:t>1</w:t>
      </w:r>
      <w:r>
        <w:rPr>
          <w:rFonts w:hint="eastAsia"/>
          <w:bCs/>
          <w:szCs w:val="28"/>
        </w:rPr>
        <w:t>）</w:t>
      </w:r>
      <w:r>
        <w:rPr>
          <w:rFonts w:hint="eastAsia"/>
        </w:rPr>
        <w:t>昆阳街道</w:t>
      </w:r>
    </w:p>
    <w:p>
      <w:pPr>
        <w:adjustRightInd w:val="0"/>
        <w:snapToGrid w:val="0"/>
        <w:ind w:firstLine="560"/>
        <w:rPr>
          <w:szCs w:val="28"/>
        </w:rPr>
      </w:pPr>
      <w:r>
        <w:rPr>
          <w:rFonts w:hint="eastAsia"/>
          <w:szCs w:val="28"/>
        </w:rPr>
        <w:t>凤翔街道共有</w:t>
      </w:r>
      <w:r>
        <w:rPr>
          <w:szCs w:val="28"/>
        </w:rPr>
        <w:t>75</w:t>
      </w:r>
      <w:r>
        <w:rPr>
          <w:rFonts w:hint="eastAsia"/>
          <w:szCs w:val="28"/>
        </w:rPr>
        <w:t>个自然村，乡村农户</w:t>
      </w:r>
      <w:r>
        <w:rPr>
          <w:szCs w:val="28"/>
        </w:rPr>
        <w:t>13500</w:t>
      </w:r>
      <w:r>
        <w:rPr>
          <w:rFonts w:hint="eastAsia"/>
          <w:szCs w:val="28"/>
        </w:rPr>
        <w:t>户、</w:t>
      </w:r>
      <w:r>
        <w:rPr>
          <w:szCs w:val="28"/>
        </w:rPr>
        <w:t>43441</w:t>
      </w:r>
      <w:r>
        <w:rPr>
          <w:rFonts w:hint="eastAsia"/>
          <w:szCs w:val="28"/>
        </w:rPr>
        <w:t>人，已建有污水治理设施自然村数量</w:t>
      </w:r>
      <w:r>
        <w:rPr>
          <w:szCs w:val="28"/>
        </w:rPr>
        <w:t>71</w:t>
      </w:r>
      <w:r>
        <w:rPr>
          <w:rFonts w:hint="eastAsia"/>
          <w:szCs w:val="28"/>
        </w:rPr>
        <w:t>个，污水收集处理率</w:t>
      </w:r>
      <w:r>
        <w:rPr>
          <w:szCs w:val="28"/>
        </w:rPr>
        <w:t>97.26%</w:t>
      </w:r>
      <w:r>
        <w:rPr>
          <w:rFonts w:hint="eastAsia"/>
          <w:szCs w:val="28"/>
        </w:rPr>
        <w:t>，受益户数</w:t>
      </w:r>
      <w:r>
        <w:rPr>
          <w:szCs w:val="28"/>
        </w:rPr>
        <w:t>13064</w:t>
      </w:r>
      <w:r>
        <w:rPr>
          <w:rFonts w:hint="eastAsia"/>
          <w:szCs w:val="28"/>
        </w:rPr>
        <w:t>户，受益人口</w:t>
      </w:r>
      <w:r>
        <w:rPr>
          <w:szCs w:val="28"/>
        </w:rPr>
        <w:t>42251</w:t>
      </w:r>
      <w:r>
        <w:rPr>
          <w:rFonts w:hint="eastAsia"/>
          <w:szCs w:val="28"/>
        </w:rPr>
        <w:t>人。</w:t>
      </w:r>
    </w:p>
    <w:p>
      <w:pPr>
        <w:adjustRightInd w:val="0"/>
        <w:snapToGrid w:val="0"/>
        <w:ind w:firstLine="560"/>
        <w:rPr>
          <w:bCs/>
          <w:szCs w:val="28"/>
        </w:rPr>
      </w:pPr>
      <w:r>
        <w:rPr>
          <w:rFonts w:hint="eastAsia"/>
          <w:bCs/>
          <w:szCs w:val="28"/>
        </w:rPr>
        <w:t>（</w:t>
      </w:r>
      <w:r>
        <w:rPr>
          <w:bCs/>
          <w:szCs w:val="28"/>
        </w:rPr>
        <w:t>2</w:t>
      </w:r>
      <w:r>
        <w:rPr>
          <w:rFonts w:hint="eastAsia"/>
          <w:bCs/>
          <w:szCs w:val="28"/>
        </w:rPr>
        <w:t>）</w:t>
      </w:r>
      <w:r>
        <w:rPr>
          <w:rFonts w:hint="eastAsia"/>
        </w:rPr>
        <w:t>宝峰街道</w:t>
      </w:r>
    </w:p>
    <w:p>
      <w:pPr>
        <w:adjustRightInd w:val="0"/>
        <w:snapToGrid w:val="0"/>
        <w:ind w:firstLine="560"/>
        <w:rPr>
          <w:szCs w:val="28"/>
        </w:rPr>
      </w:pPr>
      <w:r>
        <w:rPr>
          <w:rFonts w:hint="eastAsia"/>
          <w:szCs w:val="28"/>
        </w:rPr>
        <w:t>宝峰街道共有</w:t>
      </w:r>
      <w:r>
        <w:rPr>
          <w:szCs w:val="28"/>
        </w:rPr>
        <w:t>36</w:t>
      </w:r>
      <w:r>
        <w:rPr>
          <w:rFonts w:hint="eastAsia"/>
          <w:szCs w:val="28"/>
        </w:rPr>
        <w:t>个自然村，乡村农户</w:t>
      </w:r>
      <w:r>
        <w:rPr>
          <w:szCs w:val="28"/>
        </w:rPr>
        <w:t>5200</w:t>
      </w:r>
      <w:r>
        <w:rPr>
          <w:rFonts w:hint="eastAsia"/>
          <w:szCs w:val="28"/>
        </w:rPr>
        <w:t>户、</w:t>
      </w:r>
      <w:r>
        <w:rPr>
          <w:szCs w:val="28"/>
        </w:rPr>
        <w:t>16733</w:t>
      </w:r>
      <w:r>
        <w:rPr>
          <w:rFonts w:hint="eastAsia"/>
          <w:szCs w:val="28"/>
        </w:rPr>
        <w:t>人，已建有污水治理设施自然村数量</w:t>
      </w:r>
      <w:r>
        <w:rPr>
          <w:szCs w:val="28"/>
        </w:rPr>
        <w:t>33</w:t>
      </w:r>
      <w:r>
        <w:rPr>
          <w:rFonts w:hint="eastAsia"/>
          <w:szCs w:val="28"/>
        </w:rPr>
        <w:t>个，污水收集处理率</w:t>
      </w:r>
      <w:r>
        <w:rPr>
          <w:szCs w:val="28"/>
        </w:rPr>
        <w:t>93.21%</w:t>
      </w:r>
      <w:r>
        <w:rPr>
          <w:rFonts w:hint="eastAsia"/>
          <w:szCs w:val="28"/>
        </w:rPr>
        <w:t>，受益户数</w:t>
      </w:r>
      <w:r>
        <w:rPr>
          <w:szCs w:val="28"/>
        </w:rPr>
        <w:t>4821</w:t>
      </w:r>
      <w:r>
        <w:rPr>
          <w:rFonts w:hint="eastAsia"/>
          <w:szCs w:val="28"/>
        </w:rPr>
        <w:t>户，受益人口</w:t>
      </w:r>
      <w:r>
        <w:rPr>
          <w:szCs w:val="28"/>
        </w:rPr>
        <w:t>15596</w:t>
      </w:r>
      <w:r>
        <w:rPr>
          <w:rFonts w:hint="eastAsia"/>
          <w:szCs w:val="28"/>
        </w:rPr>
        <w:t>人。</w:t>
      </w:r>
    </w:p>
    <w:p>
      <w:pPr>
        <w:adjustRightInd w:val="0"/>
        <w:snapToGrid w:val="0"/>
        <w:ind w:firstLine="560"/>
        <w:rPr>
          <w:bCs/>
          <w:szCs w:val="28"/>
        </w:rPr>
      </w:pPr>
      <w:r>
        <w:rPr>
          <w:rFonts w:hint="eastAsia"/>
          <w:bCs/>
          <w:szCs w:val="28"/>
        </w:rPr>
        <w:t>（</w:t>
      </w:r>
      <w:r>
        <w:rPr>
          <w:bCs/>
          <w:szCs w:val="28"/>
        </w:rPr>
        <w:t>3</w:t>
      </w:r>
      <w:r>
        <w:rPr>
          <w:rFonts w:hint="eastAsia"/>
          <w:bCs/>
          <w:szCs w:val="28"/>
        </w:rPr>
        <w:t>）</w:t>
      </w:r>
      <w:r>
        <w:rPr>
          <w:rFonts w:hint="eastAsia"/>
        </w:rPr>
        <w:t>晋城镇</w:t>
      </w:r>
    </w:p>
    <w:p>
      <w:pPr>
        <w:adjustRightInd w:val="0"/>
        <w:snapToGrid w:val="0"/>
        <w:ind w:firstLine="560"/>
        <w:rPr>
          <w:szCs w:val="28"/>
        </w:rPr>
      </w:pPr>
      <w:r>
        <w:rPr>
          <w:rFonts w:hint="eastAsia"/>
          <w:szCs w:val="28"/>
        </w:rPr>
        <w:t>晋城镇共有</w:t>
      </w:r>
      <w:r>
        <w:rPr>
          <w:szCs w:val="28"/>
        </w:rPr>
        <w:t>207</w:t>
      </w:r>
      <w:r>
        <w:rPr>
          <w:rFonts w:hint="eastAsia"/>
          <w:szCs w:val="28"/>
        </w:rPr>
        <w:t>个自然村，乡村农户</w:t>
      </w:r>
      <w:r>
        <w:rPr>
          <w:szCs w:val="28"/>
        </w:rPr>
        <w:t>28520</w:t>
      </w:r>
      <w:r>
        <w:rPr>
          <w:rFonts w:hint="eastAsia"/>
          <w:szCs w:val="28"/>
        </w:rPr>
        <w:t>户、</w:t>
      </w:r>
      <w:r>
        <w:rPr>
          <w:szCs w:val="28"/>
        </w:rPr>
        <w:t>89464</w:t>
      </w:r>
      <w:r>
        <w:rPr>
          <w:rFonts w:hint="eastAsia"/>
          <w:szCs w:val="28"/>
        </w:rPr>
        <w:t>人，已建有污水治理设施自然村数量</w:t>
      </w:r>
      <w:r>
        <w:rPr>
          <w:szCs w:val="28"/>
        </w:rPr>
        <w:t>145</w:t>
      </w:r>
      <w:r>
        <w:rPr>
          <w:rFonts w:hint="eastAsia"/>
          <w:szCs w:val="28"/>
        </w:rPr>
        <w:t>个，污水收集处理率</w:t>
      </w:r>
      <w:r>
        <w:rPr>
          <w:szCs w:val="28"/>
        </w:rPr>
        <w:t>67.34%</w:t>
      </w:r>
      <w:r>
        <w:rPr>
          <w:rFonts w:hint="eastAsia"/>
          <w:szCs w:val="28"/>
        </w:rPr>
        <w:t>，受益户数</w:t>
      </w:r>
      <w:r>
        <w:rPr>
          <w:szCs w:val="28"/>
        </w:rPr>
        <w:t>19273</w:t>
      </w:r>
      <w:r>
        <w:rPr>
          <w:rFonts w:hint="eastAsia"/>
          <w:szCs w:val="28"/>
        </w:rPr>
        <w:t>户，受益人口</w:t>
      </w:r>
      <w:r>
        <w:rPr>
          <w:szCs w:val="28"/>
        </w:rPr>
        <w:t>60243</w:t>
      </w:r>
      <w:r>
        <w:rPr>
          <w:rFonts w:hint="eastAsia"/>
          <w:szCs w:val="28"/>
        </w:rPr>
        <w:t>人。</w:t>
      </w:r>
    </w:p>
    <w:p>
      <w:pPr>
        <w:adjustRightInd w:val="0"/>
        <w:snapToGrid w:val="0"/>
        <w:ind w:firstLine="560"/>
        <w:rPr>
          <w:bCs/>
          <w:szCs w:val="28"/>
        </w:rPr>
      </w:pPr>
      <w:r>
        <w:rPr>
          <w:rFonts w:hint="eastAsia"/>
          <w:bCs/>
          <w:szCs w:val="28"/>
        </w:rPr>
        <w:t>（</w:t>
      </w:r>
      <w:r>
        <w:rPr>
          <w:bCs/>
          <w:szCs w:val="28"/>
        </w:rPr>
        <w:t>4</w:t>
      </w:r>
      <w:r>
        <w:rPr>
          <w:rFonts w:hint="eastAsia"/>
          <w:bCs/>
          <w:szCs w:val="28"/>
        </w:rPr>
        <w:t>）</w:t>
      </w:r>
      <w:r>
        <w:rPr>
          <w:rFonts w:hint="eastAsia"/>
        </w:rPr>
        <w:t>二街镇</w:t>
      </w:r>
    </w:p>
    <w:p>
      <w:pPr>
        <w:adjustRightInd w:val="0"/>
        <w:snapToGrid w:val="0"/>
        <w:ind w:firstLine="560"/>
        <w:rPr>
          <w:szCs w:val="28"/>
        </w:rPr>
      </w:pPr>
      <w:r>
        <w:rPr>
          <w:rFonts w:hint="eastAsia"/>
        </w:rPr>
        <w:t>二街镇</w:t>
      </w:r>
      <w:r>
        <w:rPr>
          <w:rFonts w:hint="eastAsia"/>
          <w:szCs w:val="28"/>
        </w:rPr>
        <w:t>共有</w:t>
      </w:r>
      <w:r>
        <w:rPr>
          <w:szCs w:val="28"/>
        </w:rPr>
        <w:t>28</w:t>
      </w:r>
      <w:r>
        <w:rPr>
          <w:rFonts w:hint="eastAsia"/>
          <w:szCs w:val="28"/>
        </w:rPr>
        <w:t>个自然村，乡村农户</w:t>
      </w:r>
      <w:r>
        <w:rPr>
          <w:szCs w:val="28"/>
        </w:rPr>
        <w:t>4567</w:t>
      </w:r>
      <w:r>
        <w:rPr>
          <w:rFonts w:hint="eastAsia"/>
          <w:szCs w:val="28"/>
        </w:rPr>
        <w:t>户、</w:t>
      </w:r>
      <w:r>
        <w:rPr>
          <w:szCs w:val="28"/>
        </w:rPr>
        <w:t>15985</w:t>
      </w:r>
      <w:r>
        <w:rPr>
          <w:rFonts w:hint="eastAsia"/>
          <w:szCs w:val="28"/>
        </w:rPr>
        <w:t>人，已建有污水治理设施自然村数量</w:t>
      </w:r>
      <w:r>
        <w:rPr>
          <w:szCs w:val="28"/>
        </w:rPr>
        <w:t>26</w:t>
      </w:r>
      <w:r>
        <w:rPr>
          <w:rFonts w:hint="eastAsia"/>
          <w:szCs w:val="28"/>
        </w:rPr>
        <w:t>个，污水收集处理率</w:t>
      </w:r>
      <w:r>
        <w:rPr>
          <w:szCs w:val="28"/>
        </w:rPr>
        <w:t>90.22%</w:t>
      </w:r>
      <w:r>
        <w:rPr>
          <w:rFonts w:hint="eastAsia"/>
          <w:szCs w:val="28"/>
        </w:rPr>
        <w:t>，受益户数</w:t>
      </w:r>
      <w:r>
        <w:rPr>
          <w:szCs w:val="28"/>
        </w:rPr>
        <w:t>4145</w:t>
      </w:r>
      <w:r>
        <w:rPr>
          <w:rFonts w:hint="eastAsia"/>
          <w:szCs w:val="28"/>
        </w:rPr>
        <w:t>户，受益人口</w:t>
      </w:r>
      <w:r>
        <w:rPr>
          <w:szCs w:val="28"/>
        </w:rPr>
        <w:t>14422</w:t>
      </w:r>
      <w:r>
        <w:rPr>
          <w:rFonts w:hint="eastAsia"/>
          <w:szCs w:val="28"/>
        </w:rPr>
        <w:t>人。</w:t>
      </w:r>
    </w:p>
    <w:p>
      <w:pPr>
        <w:adjustRightInd w:val="0"/>
        <w:snapToGrid w:val="0"/>
        <w:ind w:firstLine="560"/>
        <w:rPr>
          <w:bCs/>
          <w:szCs w:val="28"/>
        </w:rPr>
      </w:pPr>
      <w:r>
        <w:rPr>
          <w:rFonts w:hint="eastAsia"/>
          <w:bCs/>
          <w:szCs w:val="28"/>
        </w:rPr>
        <w:t>（</w:t>
      </w:r>
      <w:r>
        <w:rPr>
          <w:bCs/>
          <w:szCs w:val="28"/>
        </w:rPr>
        <w:t>5</w:t>
      </w:r>
      <w:r>
        <w:rPr>
          <w:rFonts w:hint="eastAsia"/>
          <w:bCs/>
          <w:szCs w:val="28"/>
        </w:rPr>
        <w:t>）</w:t>
      </w:r>
      <w:r>
        <w:rPr>
          <w:rFonts w:hint="eastAsia"/>
        </w:rPr>
        <w:t>上蒜镇</w:t>
      </w:r>
    </w:p>
    <w:p>
      <w:pPr>
        <w:adjustRightInd w:val="0"/>
        <w:snapToGrid w:val="0"/>
        <w:ind w:firstLine="560"/>
        <w:rPr>
          <w:szCs w:val="28"/>
        </w:rPr>
      </w:pPr>
      <w:r>
        <w:rPr>
          <w:rFonts w:hint="eastAsia"/>
        </w:rPr>
        <w:t>上蒜镇</w:t>
      </w:r>
      <w:r>
        <w:rPr>
          <w:rFonts w:hint="eastAsia"/>
          <w:szCs w:val="28"/>
        </w:rPr>
        <w:t>共有</w:t>
      </w:r>
      <w:r>
        <w:rPr>
          <w:szCs w:val="28"/>
        </w:rPr>
        <w:t>53</w:t>
      </w:r>
      <w:r>
        <w:rPr>
          <w:rFonts w:hint="eastAsia"/>
          <w:szCs w:val="28"/>
        </w:rPr>
        <w:t>个自然村，乡村农户</w:t>
      </w:r>
      <w:r>
        <w:rPr>
          <w:szCs w:val="28"/>
        </w:rPr>
        <w:t>9390</w:t>
      </w:r>
      <w:r>
        <w:rPr>
          <w:rFonts w:hint="eastAsia"/>
          <w:szCs w:val="28"/>
        </w:rPr>
        <w:t>户、</w:t>
      </w:r>
      <w:r>
        <w:rPr>
          <w:szCs w:val="28"/>
        </w:rPr>
        <w:t>33796</w:t>
      </w:r>
      <w:r>
        <w:rPr>
          <w:rFonts w:hint="eastAsia"/>
          <w:szCs w:val="28"/>
        </w:rPr>
        <w:t>人，已建有污水治理设施自然村数量</w:t>
      </w:r>
      <w:r>
        <w:rPr>
          <w:szCs w:val="28"/>
        </w:rPr>
        <w:t>48</w:t>
      </w:r>
      <w:r>
        <w:rPr>
          <w:rFonts w:hint="eastAsia"/>
          <w:szCs w:val="28"/>
        </w:rPr>
        <w:t>个，污水收集处理率</w:t>
      </w:r>
      <w:r>
        <w:rPr>
          <w:szCs w:val="28"/>
        </w:rPr>
        <w:t>92.11%</w:t>
      </w:r>
      <w:r>
        <w:rPr>
          <w:rFonts w:hint="eastAsia"/>
          <w:szCs w:val="28"/>
        </w:rPr>
        <w:t>，受益户数</w:t>
      </w:r>
      <w:r>
        <w:rPr>
          <w:szCs w:val="28"/>
        </w:rPr>
        <w:t>8663</w:t>
      </w:r>
      <w:r>
        <w:rPr>
          <w:rFonts w:hint="eastAsia"/>
          <w:szCs w:val="28"/>
        </w:rPr>
        <w:t>户，受益人口</w:t>
      </w:r>
      <w:r>
        <w:rPr>
          <w:szCs w:val="28"/>
        </w:rPr>
        <w:t>31130</w:t>
      </w:r>
      <w:r>
        <w:rPr>
          <w:rFonts w:hint="eastAsia"/>
          <w:szCs w:val="28"/>
        </w:rPr>
        <w:t>人。</w:t>
      </w:r>
    </w:p>
    <w:p>
      <w:pPr>
        <w:adjustRightInd w:val="0"/>
        <w:snapToGrid w:val="0"/>
        <w:ind w:firstLine="560"/>
        <w:rPr>
          <w:bCs/>
          <w:szCs w:val="28"/>
        </w:rPr>
      </w:pPr>
      <w:r>
        <w:rPr>
          <w:rFonts w:hint="eastAsia"/>
          <w:bCs/>
          <w:szCs w:val="28"/>
        </w:rPr>
        <w:t>（</w:t>
      </w:r>
      <w:r>
        <w:rPr>
          <w:bCs/>
          <w:szCs w:val="28"/>
        </w:rPr>
        <w:t>6</w:t>
      </w:r>
      <w:r>
        <w:rPr>
          <w:rFonts w:hint="eastAsia"/>
          <w:bCs/>
          <w:szCs w:val="28"/>
        </w:rPr>
        <w:t>）</w:t>
      </w:r>
      <w:r>
        <w:rPr>
          <w:rFonts w:hint="eastAsia"/>
        </w:rPr>
        <w:t>六街镇</w:t>
      </w:r>
    </w:p>
    <w:p>
      <w:pPr>
        <w:adjustRightInd w:val="0"/>
        <w:snapToGrid w:val="0"/>
        <w:ind w:firstLine="560"/>
        <w:rPr>
          <w:szCs w:val="28"/>
        </w:rPr>
      </w:pPr>
      <w:r>
        <w:rPr>
          <w:rFonts w:hint="eastAsia"/>
        </w:rPr>
        <w:t>六街镇</w:t>
      </w:r>
      <w:r>
        <w:rPr>
          <w:rFonts w:hint="eastAsia"/>
          <w:szCs w:val="28"/>
        </w:rPr>
        <w:t>共有</w:t>
      </w:r>
      <w:r>
        <w:rPr>
          <w:szCs w:val="28"/>
        </w:rPr>
        <w:t>30</w:t>
      </w:r>
      <w:r>
        <w:rPr>
          <w:rFonts w:hint="eastAsia"/>
          <w:szCs w:val="28"/>
        </w:rPr>
        <w:t>个自然村，乡村农户</w:t>
      </w:r>
      <w:r>
        <w:rPr>
          <w:szCs w:val="28"/>
        </w:rPr>
        <w:t>3221</w:t>
      </w:r>
      <w:r>
        <w:rPr>
          <w:rFonts w:hint="eastAsia"/>
          <w:szCs w:val="28"/>
        </w:rPr>
        <w:t>户、</w:t>
      </w:r>
      <w:r>
        <w:rPr>
          <w:szCs w:val="28"/>
        </w:rPr>
        <w:t>11757</w:t>
      </w:r>
      <w:r>
        <w:rPr>
          <w:rFonts w:hint="eastAsia"/>
          <w:szCs w:val="28"/>
        </w:rPr>
        <w:t>人，已建有污水治理设施自然村数量</w:t>
      </w:r>
      <w:r>
        <w:rPr>
          <w:szCs w:val="28"/>
        </w:rPr>
        <w:t>28</w:t>
      </w:r>
      <w:r>
        <w:rPr>
          <w:rFonts w:hint="eastAsia"/>
          <w:szCs w:val="28"/>
        </w:rPr>
        <w:t>个，污水收集处理率</w:t>
      </w:r>
      <w:r>
        <w:rPr>
          <w:szCs w:val="28"/>
        </w:rPr>
        <w:t>96.46%</w:t>
      </w:r>
      <w:r>
        <w:rPr>
          <w:rFonts w:hint="eastAsia"/>
          <w:szCs w:val="28"/>
        </w:rPr>
        <w:t>，受益户数</w:t>
      </w:r>
      <w:r>
        <w:rPr>
          <w:szCs w:val="28"/>
        </w:rPr>
        <w:t>3109</w:t>
      </w:r>
      <w:r>
        <w:rPr>
          <w:rFonts w:hint="eastAsia"/>
          <w:szCs w:val="28"/>
        </w:rPr>
        <w:t>户，受益人口</w:t>
      </w:r>
      <w:r>
        <w:rPr>
          <w:szCs w:val="28"/>
        </w:rPr>
        <w:t>11341</w:t>
      </w:r>
      <w:r>
        <w:rPr>
          <w:rFonts w:hint="eastAsia"/>
          <w:szCs w:val="28"/>
        </w:rPr>
        <w:t>人。</w:t>
      </w:r>
    </w:p>
    <w:p>
      <w:pPr>
        <w:adjustRightInd w:val="0"/>
        <w:snapToGrid w:val="0"/>
        <w:ind w:firstLine="560"/>
        <w:rPr>
          <w:bCs/>
          <w:szCs w:val="28"/>
        </w:rPr>
      </w:pPr>
      <w:r>
        <w:rPr>
          <w:rFonts w:hint="eastAsia"/>
          <w:bCs/>
          <w:szCs w:val="28"/>
        </w:rPr>
        <w:t>（</w:t>
      </w:r>
      <w:r>
        <w:rPr>
          <w:bCs/>
          <w:szCs w:val="28"/>
        </w:rPr>
        <w:t>7</w:t>
      </w:r>
      <w:r>
        <w:rPr>
          <w:rFonts w:hint="eastAsia"/>
          <w:bCs/>
          <w:szCs w:val="28"/>
        </w:rPr>
        <w:t>）</w:t>
      </w:r>
      <w:r>
        <w:rPr>
          <w:rFonts w:hint="eastAsia"/>
        </w:rPr>
        <w:t>双河彝族乡</w:t>
      </w:r>
    </w:p>
    <w:p>
      <w:pPr>
        <w:adjustRightInd w:val="0"/>
        <w:snapToGrid w:val="0"/>
        <w:ind w:firstLine="560"/>
        <w:rPr>
          <w:szCs w:val="28"/>
        </w:rPr>
      </w:pPr>
      <w:r>
        <w:rPr>
          <w:rFonts w:hint="eastAsia"/>
        </w:rPr>
        <w:t>双河彝族乡</w:t>
      </w:r>
      <w:r>
        <w:rPr>
          <w:rFonts w:hint="eastAsia"/>
          <w:szCs w:val="28"/>
        </w:rPr>
        <w:t>共有</w:t>
      </w:r>
      <w:r>
        <w:rPr>
          <w:szCs w:val="28"/>
        </w:rPr>
        <w:t>27</w:t>
      </w:r>
      <w:r>
        <w:rPr>
          <w:rFonts w:hint="eastAsia"/>
          <w:szCs w:val="28"/>
        </w:rPr>
        <w:t>个自然村，乡村农户</w:t>
      </w:r>
      <w:r>
        <w:rPr>
          <w:szCs w:val="28"/>
        </w:rPr>
        <w:t>2115</w:t>
      </w:r>
      <w:r>
        <w:rPr>
          <w:rFonts w:hint="eastAsia"/>
          <w:szCs w:val="28"/>
        </w:rPr>
        <w:t>户、</w:t>
      </w:r>
      <w:r>
        <w:rPr>
          <w:szCs w:val="28"/>
        </w:rPr>
        <w:t>8720</w:t>
      </w:r>
      <w:r>
        <w:rPr>
          <w:rFonts w:hint="eastAsia"/>
          <w:szCs w:val="28"/>
        </w:rPr>
        <w:t>人，已建有污水治理设施自然村数量</w:t>
      </w:r>
      <w:r>
        <w:rPr>
          <w:szCs w:val="28"/>
        </w:rPr>
        <w:t>12</w:t>
      </w:r>
      <w:r>
        <w:rPr>
          <w:rFonts w:hint="eastAsia"/>
          <w:szCs w:val="28"/>
        </w:rPr>
        <w:t>个，污水收集处理率</w:t>
      </w:r>
      <w:r>
        <w:rPr>
          <w:szCs w:val="28"/>
        </w:rPr>
        <w:t>60.84%</w:t>
      </w:r>
      <w:r>
        <w:rPr>
          <w:rFonts w:hint="eastAsia"/>
          <w:szCs w:val="28"/>
        </w:rPr>
        <w:t>，受益户数</w:t>
      </w:r>
      <w:r>
        <w:rPr>
          <w:szCs w:val="28"/>
        </w:rPr>
        <w:t>1408</w:t>
      </w:r>
      <w:r>
        <w:rPr>
          <w:rFonts w:hint="eastAsia"/>
          <w:szCs w:val="28"/>
        </w:rPr>
        <w:t>户，受益人口</w:t>
      </w:r>
      <w:r>
        <w:rPr>
          <w:szCs w:val="28"/>
        </w:rPr>
        <w:t>5305</w:t>
      </w:r>
      <w:r>
        <w:rPr>
          <w:rFonts w:hint="eastAsia"/>
          <w:szCs w:val="28"/>
        </w:rPr>
        <w:t>人。</w:t>
      </w:r>
    </w:p>
    <w:p>
      <w:pPr>
        <w:adjustRightInd w:val="0"/>
        <w:snapToGrid w:val="0"/>
        <w:ind w:firstLine="560"/>
        <w:rPr>
          <w:bCs/>
          <w:szCs w:val="28"/>
        </w:rPr>
      </w:pPr>
      <w:r>
        <w:rPr>
          <w:rFonts w:hint="eastAsia"/>
          <w:bCs/>
          <w:szCs w:val="28"/>
        </w:rPr>
        <w:t>（</w:t>
      </w:r>
      <w:r>
        <w:rPr>
          <w:bCs/>
          <w:szCs w:val="28"/>
        </w:rPr>
        <w:t>8</w:t>
      </w:r>
      <w:r>
        <w:rPr>
          <w:rFonts w:hint="eastAsia"/>
          <w:bCs/>
          <w:szCs w:val="28"/>
        </w:rPr>
        <w:t>）</w:t>
      </w:r>
      <w:r>
        <w:rPr>
          <w:rFonts w:hint="eastAsia"/>
        </w:rPr>
        <w:t>夕阳彝族乡</w:t>
      </w:r>
    </w:p>
    <w:p>
      <w:pPr>
        <w:adjustRightInd w:val="0"/>
        <w:snapToGrid w:val="0"/>
        <w:ind w:firstLine="560"/>
        <w:rPr>
          <w:szCs w:val="28"/>
        </w:rPr>
      </w:pPr>
      <w:r>
        <w:rPr>
          <w:rFonts w:hint="eastAsia"/>
        </w:rPr>
        <w:t>夕阳彝族乡</w:t>
      </w:r>
      <w:r>
        <w:rPr>
          <w:rFonts w:hint="eastAsia"/>
          <w:szCs w:val="28"/>
        </w:rPr>
        <w:t>共有</w:t>
      </w:r>
      <w:r>
        <w:rPr>
          <w:szCs w:val="28"/>
        </w:rPr>
        <w:t>38</w:t>
      </w:r>
      <w:r>
        <w:rPr>
          <w:rFonts w:hint="eastAsia"/>
          <w:szCs w:val="28"/>
        </w:rPr>
        <w:t>个自然村，乡村农户</w:t>
      </w:r>
      <w:r>
        <w:rPr>
          <w:szCs w:val="28"/>
        </w:rPr>
        <w:t>1914</w:t>
      </w:r>
      <w:r>
        <w:rPr>
          <w:rFonts w:hint="eastAsia"/>
          <w:szCs w:val="28"/>
        </w:rPr>
        <w:t>户、</w:t>
      </w:r>
      <w:r>
        <w:rPr>
          <w:szCs w:val="28"/>
        </w:rPr>
        <w:t>5905</w:t>
      </w:r>
      <w:r>
        <w:rPr>
          <w:rFonts w:hint="eastAsia"/>
          <w:szCs w:val="28"/>
        </w:rPr>
        <w:t>人，已建有污水治理设施自然村数量</w:t>
      </w:r>
      <w:r>
        <w:rPr>
          <w:szCs w:val="28"/>
        </w:rPr>
        <w:t>12</w:t>
      </w:r>
      <w:r>
        <w:rPr>
          <w:rFonts w:hint="eastAsia"/>
          <w:szCs w:val="28"/>
        </w:rPr>
        <w:t>个，污水收集处理率</w:t>
      </w:r>
      <w:r>
        <w:rPr>
          <w:szCs w:val="28"/>
        </w:rPr>
        <w:t>39.15%</w:t>
      </w:r>
      <w:r>
        <w:rPr>
          <w:rFonts w:hint="eastAsia"/>
          <w:szCs w:val="28"/>
        </w:rPr>
        <w:t>，受益户数</w:t>
      </w:r>
      <w:r>
        <w:rPr>
          <w:szCs w:val="28"/>
        </w:rPr>
        <w:t>695</w:t>
      </w:r>
      <w:r>
        <w:rPr>
          <w:rFonts w:hint="eastAsia"/>
          <w:szCs w:val="28"/>
        </w:rPr>
        <w:t>户，受益人口</w:t>
      </w:r>
      <w:r>
        <w:rPr>
          <w:szCs w:val="28"/>
        </w:rPr>
        <w:t>2312</w:t>
      </w:r>
      <w:r>
        <w:rPr>
          <w:rFonts w:hint="eastAsia"/>
          <w:szCs w:val="28"/>
        </w:rPr>
        <w:t>人。</w:t>
      </w:r>
    </w:p>
    <w:p>
      <w:pPr>
        <w:pStyle w:val="4"/>
      </w:pPr>
      <w:bookmarkStart w:id="33" w:name="_Toc43042513"/>
      <w:r>
        <w:rPr>
          <w:rFonts w:hint="eastAsia"/>
        </w:rPr>
        <w:t>3.1.3 排水资源化利用现状</w:t>
      </w:r>
      <w:bookmarkEnd w:id="33"/>
    </w:p>
    <w:p>
      <w:pPr>
        <w:adjustRightInd w:val="0"/>
        <w:snapToGrid w:val="0"/>
        <w:ind w:firstLine="560"/>
        <w:rPr>
          <w:szCs w:val="28"/>
        </w:rPr>
      </w:pPr>
      <w:r>
        <w:rPr>
          <w:rFonts w:hint="eastAsia"/>
          <w:szCs w:val="28"/>
        </w:rPr>
        <w:t>全区的村庄生活排水，</w:t>
      </w:r>
      <w:r>
        <w:rPr>
          <w:szCs w:val="28"/>
        </w:rPr>
        <w:t>9.31%</w:t>
      </w:r>
      <w:r>
        <w:rPr>
          <w:rFonts w:hint="eastAsia"/>
          <w:szCs w:val="28"/>
        </w:rPr>
        <w:t>的村庄直接将生活污水排入附近水库、湿地或河流；</w:t>
      </w:r>
      <w:r>
        <w:rPr>
          <w:szCs w:val="28"/>
        </w:rPr>
        <w:t>24.09%</w:t>
      </w:r>
      <w:r>
        <w:rPr>
          <w:rFonts w:hint="eastAsia"/>
          <w:szCs w:val="28"/>
        </w:rPr>
        <w:t>的村庄排水去向为村镇周边的污水处理厂或水质净化厂；而近</w:t>
      </w:r>
      <w:r>
        <w:rPr>
          <w:szCs w:val="28"/>
        </w:rPr>
        <w:t>61.13%</w:t>
      </w:r>
      <w:r>
        <w:rPr>
          <w:rFonts w:hint="eastAsia"/>
          <w:szCs w:val="28"/>
        </w:rPr>
        <w:t>的村庄排水则是首先进入农灌系统，再进入沟箐，最后汇入主河流或支系河流，入河流程较长。</w:t>
      </w:r>
    </w:p>
    <w:p>
      <w:pPr>
        <w:pStyle w:val="3"/>
      </w:pPr>
      <w:bookmarkStart w:id="34" w:name="_Toc43042514"/>
      <w:r>
        <w:rPr>
          <w:rFonts w:hint="eastAsia"/>
        </w:rPr>
        <w:t>3.2运维管理现状</w:t>
      </w:r>
      <w:bookmarkEnd w:id="34"/>
    </w:p>
    <w:p>
      <w:pPr>
        <w:adjustRightInd w:val="0"/>
        <w:snapToGrid w:val="0"/>
        <w:ind w:firstLine="560"/>
        <w:rPr>
          <w:szCs w:val="28"/>
        </w:rPr>
      </w:pPr>
      <w:r>
        <w:rPr>
          <w:szCs w:val="28"/>
        </w:rPr>
        <w:t>已建的生活污水治理设施运行状况不佳</w:t>
      </w:r>
      <w:r>
        <w:rPr>
          <w:rFonts w:hint="eastAsia"/>
          <w:szCs w:val="28"/>
        </w:rPr>
        <w:t>，多数设施处于被占用、废弃、改造或需修缮状态，</w:t>
      </w:r>
      <w:r>
        <w:rPr>
          <w:szCs w:val="28"/>
        </w:rPr>
        <w:t>仅有</w:t>
      </w:r>
      <w:r>
        <w:rPr>
          <w:rFonts w:hint="eastAsia"/>
          <w:szCs w:val="28"/>
        </w:rPr>
        <w:t>58.48%的设施正常运行。</w:t>
      </w:r>
    </w:p>
    <w:p>
      <w:pPr>
        <w:adjustRightInd w:val="0"/>
        <w:snapToGrid w:val="0"/>
        <w:ind w:firstLine="560"/>
        <w:rPr>
          <w:szCs w:val="28"/>
        </w:rPr>
      </w:pPr>
      <w:r>
        <w:rPr>
          <w:szCs w:val="28"/>
        </w:rPr>
        <w:t>已建生活污水治理设施的村庄，现状缺少有效的运行管理，仅有少部分</w:t>
      </w:r>
      <w:r>
        <w:rPr>
          <w:rFonts w:hint="eastAsia"/>
          <w:szCs w:val="28"/>
        </w:rPr>
        <w:t>委托</w:t>
      </w:r>
      <w:r>
        <w:rPr>
          <w:szCs w:val="28"/>
        </w:rPr>
        <w:t>昆明滇池水务股份有限公司进行管理</w:t>
      </w:r>
      <w:r>
        <w:rPr>
          <w:rFonts w:hint="eastAsia"/>
          <w:szCs w:val="28"/>
        </w:rPr>
        <w:t>，</w:t>
      </w:r>
      <w:r>
        <w:rPr>
          <w:szCs w:val="28"/>
        </w:rPr>
        <w:t>多数污水治理设施是由所属村庄委托村内村民兼职管理，管理内也多以梳理、清理漂浮垃圾为主，荒草丛生的状况较为普遍。</w:t>
      </w:r>
    </w:p>
    <w:p>
      <w:pPr>
        <w:pStyle w:val="3"/>
      </w:pPr>
      <w:bookmarkStart w:id="35" w:name="_Toc43042515"/>
      <w:r>
        <w:rPr>
          <w:rFonts w:hint="eastAsia"/>
        </w:rPr>
        <w:t>3.3给排水现状</w:t>
      </w:r>
      <w:bookmarkEnd w:id="35"/>
    </w:p>
    <w:p>
      <w:pPr>
        <w:pStyle w:val="4"/>
      </w:pPr>
      <w:bookmarkStart w:id="36" w:name="_Toc43042516"/>
      <w:r>
        <w:rPr>
          <w:rFonts w:hint="eastAsia"/>
        </w:rPr>
        <w:t>3.3.1 县城及乡镇污水处理厂概况</w:t>
      </w:r>
      <w:bookmarkEnd w:id="36"/>
    </w:p>
    <w:p>
      <w:pPr>
        <w:adjustRightInd w:val="0"/>
        <w:snapToGrid w:val="0"/>
        <w:ind w:firstLine="560"/>
        <w:rPr>
          <w:szCs w:val="28"/>
        </w:rPr>
      </w:pPr>
      <w:r>
        <w:rPr>
          <w:szCs w:val="28"/>
        </w:rPr>
        <w:t>（1）</w:t>
      </w:r>
      <w:r>
        <w:rPr>
          <w:rFonts w:hint="eastAsia"/>
          <w:szCs w:val="28"/>
        </w:rPr>
        <w:t>宝峰</w:t>
      </w:r>
      <w:r>
        <w:rPr>
          <w:szCs w:val="28"/>
        </w:rPr>
        <w:t>街道污水处理设施概况</w:t>
      </w:r>
    </w:p>
    <w:p>
      <w:pPr>
        <w:adjustRightInd w:val="0"/>
        <w:snapToGrid w:val="0"/>
        <w:ind w:firstLine="560"/>
        <w:rPr>
          <w:szCs w:val="28"/>
        </w:rPr>
      </w:pPr>
      <w:r>
        <w:rPr>
          <w:szCs w:val="28"/>
        </w:rPr>
        <w:t>宝峰集镇污水处理站位于宝峰集镇以北约</w:t>
      </w:r>
      <w:r>
        <w:rPr>
          <w:rFonts w:hint="eastAsia"/>
          <w:szCs w:val="28"/>
        </w:rPr>
        <w:t>2公里处，占地面积60亩，</w:t>
      </w:r>
      <w:r>
        <w:rPr>
          <w:szCs w:val="28"/>
        </w:rPr>
        <w:t>处理规模</w:t>
      </w:r>
      <w:r>
        <w:rPr>
          <w:rFonts w:hint="eastAsia"/>
          <w:szCs w:val="28"/>
        </w:rPr>
        <w:t>3</w:t>
      </w:r>
      <w:r>
        <w:rPr>
          <w:szCs w:val="28"/>
        </w:rPr>
        <w:t>万m</w:t>
      </w:r>
      <w:r>
        <w:rPr>
          <w:szCs w:val="28"/>
          <w:vertAlign w:val="superscript"/>
        </w:rPr>
        <w:t>3</w:t>
      </w:r>
      <w:r>
        <w:rPr>
          <w:szCs w:val="28"/>
        </w:rPr>
        <w:t>/d，处理工艺为</w:t>
      </w:r>
      <w:r>
        <w:rPr>
          <w:rFonts w:hint="eastAsia"/>
          <w:szCs w:val="28"/>
        </w:rPr>
        <w:t>ICEAS</w:t>
      </w:r>
      <w:r>
        <w:rPr>
          <w:szCs w:val="28"/>
        </w:rPr>
        <w:t>工艺，出水达到《城镇污水处理厂污染物排放标准》一级</w:t>
      </w:r>
      <w:r>
        <w:rPr>
          <w:rFonts w:hint="eastAsia"/>
          <w:szCs w:val="28"/>
        </w:rPr>
        <w:t>A</w:t>
      </w:r>
      <w:r>
        <w:rPr>
          <w:szCs w:val="28"/>
        </w:rPr>
        <w:t>标。</w:t>
      </w:r>
    </w:p>
    <w:p>
      <w:pPr>
        <w:adjustRightInd w:val="0"/>
        <w:snapToGrid w:val="0"/>
        <w:ind w:firstLine="560"/>
        <w:rPr>
          <w:szCs w:val="28"/>
        </w:rPr>
      </w:pPr>
      <w:r>
        <w:rPr>
          <w:szCs w:val="28"/>
        </w:rPr>
        <w:t>工程投资</w:t>
      </w:r>
      <w:r>
        <w:rPr>
          <w:rFonts w:hint="eastAsia"/>
          <w:szCs w:val="28"/>
        </w:rPr>
        <w:t>1.8亿元人民币。工程服务范围为宝峰街道办上方新街、挖矿坡、上方古城、清水河行政村的部分片区。</w:t>
      </w:r>
    </w:p>
    <w:p>
      <w:pPr>
        <w:adjustRightInd w:val="0"/>
        <w:snapToGrid w:val="0"/>
        <w:ind w:firstLine="560"/>
        <w:rPr>
          <w:szCs w:val="28"/>
        </w:rPr>
      </w:pPr>
      <w:r>
        <w:rPr>
          <w:szCs w:val="28"/>
        </w:rPr>
        <w:t>（2）</w:t>
      </w:r>
      <w:r>
        <w:rPr>
          <w:rFonts w:hint="eastAsia"/>
          <w:szCs w:val="28"/>
        </w:rPr>
        <w:t>昆阳</w:t>
      </w:r>
      <w:r>
        <w:rPr>
          <w:szCs w:val="28"/>
        </w:rPr>
        <w:t>街道污水处理设施概况</w:t>
      </w:r>
    </w:p>
    <w:p>
      <w:pPr>
        <w:adjustRightInd w:val="0"/>
        <w:snapToGrid w:val="0"/>
        <w:ind w:firstLine="560"/>
        <w:rPr>
          <w:szCs w:val="28"/>
        </w:rPr>
      </w:pPr>
      <w:r>
        <w:rPr>
          <w:rFonts w:hint="eastAsia" w:ascii="宋体" w:hAnsi="宋体"/>
          <w:szCs w:val="28"/>
        </w:rPr>
        <w:t>①</w:t>
      </w:r>
      <w:r>
        <w:rPr>
          <w:szCs w:val="28"/>
        </w:rPr>
        <w:t>晋宁县污水处理厂位于昆阳街道永乐大街北段</w:t>
      </w:r>
      <w:r>
        <w:rPr>
          <w:rFonts w:hint="eastAsia"/>
          <w:szCs w:val="28"/>
        </w:rPr>
        <w:t>，</w:t>
      </w:r>
      <w:r>
        <w:rPr>
          <w:szCs w:val="28"/>
        </w:rPr>
        <w:t>中河以东</w:t>
      </w:r>
      <w:r>
        <w:rPr>
          <w:rFonts w:hint="eastAsia"/>
          <w:szCs w:val="28"/>
        </w:rPr>
        <w:t>，</w:t>
      </w:r>
      <w:r>
        <w:rPr>
          <w:szCs w:val="28"/>
        </w:rPr>
        <w:t>处理规模</w:t>
      </w:r>
      <w:r>
        <w:rPr>
          <w:rFonts w:hint="eastAsia"/>
          <w:szCs w:val="28"/>
        </w:rPr>
        <w:t>1.5</w:t>
      </w:r>
      <w:r>
        <w:rPr>
          <w:szCs w:val="28"/>
        </w:rPr>
        <w:t>万m</w:t>
      </w:r>
      <w:r>
        <w:rPr>
          <w:szCs w:val="28"/>
          <w:vertAlign w:val="superscript"/>
        </w:rPr>
        <w:t>3</w:t>
      </w:r>
      <w:r>
        <w:rPr>
          <w:szCs w:val="28"/>
        </w:rPr>
        <w:t>/d，处理工艺为</w:t>
      </w:r>
      <w:r>
        <w:rPr>
          <w:rFonts w:hint="eastAsia"/>
          <w:szCs w:val="28"/>
        </w:rPr>
        <w:t>CASS 工艺+絮凝、沉淀、过滤</w:t>
      </w:r>
      <w:r>
        <w:rPr>
          <w:szCs w:val="28"/>
        </w:rPr>
        <w:t>，出水达到《城镇污水处理厂污染物排放标准》一级</w:t>
      </w:r>
      <w:r>
        <w:rPr>
          <w:rFonts w:hint="eastAsia"/>
          <w:szCs w:val="28"/>
        </w:rPr>
        <w:t>A</w:t>
      </w:r>
      <w:r>
        <w:rPr>
          <w:szCs w:val="28"/>
        </w:rPr>
        <w:t>标。</w:t>
      </w:r>
    </w:p>
    <w:p>
      <w:pPr>
        <w:adjustRightInd w:val="0"/>
        <w:snapToGrid w:val="0"/>
        <w:ind w:firstLine="560"/>
        <w:rPr>
          <w:szCs w:val="28"/>
        </w:rPr>
      </w:pPr>
      <w:r>
        <w:rPr>
          <w:szCs w:val="28"/>
        </w:rPr>
        <w:t>工程投资</w:t>
      </w:r>
      <w:r>
        <w:rPr>
          <w:rFonts w:hint="eastAsia"/>
          <w:szCs w:val="28"/>
        </w:rPr>
        <w:t>4475万元人民币，配套管网4.4km，污水处理率大97%，纳污面积8.9平方公里。工程服务范围为昆阳街道办田心、兴隆、大新、南村、安企、回龙、墩子、瓦窑、乌龙行政村部分片区，服务人口3万人。</w:t>
      </w:r>
    </w:p>
    <w:p>
      <w:pPr>
        <w:adjustRightInd w:val="0"/>
        <w:snapToGrid w:val="0"/>
        <w:ind w:firstLine="560"/>
        <w:rPr>
          <w:szCs w:val="28"/>
        </w:rPr>
      </w:pPr>
      <w:r>
        <w:rPr>
          <w:rFonts w:hint="eastAsia" w:ascii="宋体" w:hAnsi="宋体"/>
          <w:szCs w:val="28"/>
        </w:rPr>
        <w:t>②</w:t>
      </w:r>
      <w:r>
        <w:rPr>
          <w:szCs w:val="28"/>
        </w:rPr>
        <w:t>昆阳水质净化厂位于晋宁区昆阳东北部</w:t>
      </w:r>
      <w:r>
        <w:rPr>
          <w:rFonts w:hint="eastAsia"/>
          <w:szCs w:val="28"/>
        </w:rPr>
        <w:t>，</w:t>
      </w:r>
      <w:r>
        <w:rPr>
          <w:szCs w:val="28"/>
        </w:rPr>
        <w:t>环湖南路以北</w:t>
      </w:r>
      <w:r>
        <w:rPr>
          <w:rFonts w:hint="eastAsia"/>
          <w:szCs w:val="28"/>
        </w:rPr>
        <w:t>，</w:t>
      </w:r>
      <w:r>
        <w:rPr>
          <w:szCs w:val="28"/>
        </w:rPr>
        <w:t>海埂村附近</w:t>
      </w:r>
      <w:r>
        <w:rPr>
          <w:rFonts w:hint="eastAsia"/>
          <w:szCs w:val="28"/>
        </w:rPr>
        <w:t>。</w:t>
      </w:r>
      <w:r>
        <w:rPr>
          <w:szCs w:val="28"/>
        </w:rPr>
        <w:t>占地</w:t>
      </w:r>
      <w:r>
        <w:rPr>
          <w:rFonts w:hint="eastAsia"/>
          <w:szCs w:val="28"/>
        </w:rPr>
        <w:t>122.93亩，污水处理规模2.5</w:t>
      </w:r>
      <w:r>
        <w:rPr>
          <w:szCs w:val="28"/>
        </w:rPr>
        <w:t>万m</w:t>
      </w:r>
      <w:r>
        <w:rPr>
          <w:szCs w:val="28"/>
          <w:vertAlign w:val="superscript"/>
        </w:rPr>
        <w:t>3</w:t>
      </w:r>
      <w:r>
        <w:rPr>
          <w:szCs w:val="28"/>
        </w:rPr>
        <w:t>/d</w:t>
      </w:r>
      <w:r>
        <w:rPr>
          <w:rFonts w:hint="eastAsia"/>
          <w:szCs w:val="28"/>
        </w:rPr>
        <w:t>，</w:t>
      </w:r>
      <w:r>
        <w:rPr>
          <w:szCs w:val="28"/>
        </w:rPr>
        <w:t>污水处理工艺采用曝气</w:t>
      </w:r>
      <w:r>
        <w:rPr>
          <w:rFonts w:hint="eastAsia"/>
          <w:szCs w:val="28"/>
        </w:rPr>
        <w:t>A</w:t>
      </w:r>
      <w:r>
        <w:rPr>
          <w:rFonts w:hint="eastAsia"/>
          <w:szCs w:val="28"/>
          <w:vertAlign w:val="superscript"/>
        </w:rPr>
        <w:t>2</w:t>
      </w:r>
      <w:r>
        <w:rPr>
          <w:rFonts w:hint="eastAsia"/>
          <w:szCs w:val="28"/>
        </w:rPr>
        <w:t>/O</w:t>
      </w:r>
      <w:r>
        <w:rPr>
          <w:szCs w:val="28"/>
        </w:rPr>
        <w:t>氧化沟</w:t>
      </w:r>
      <w:r>
        <w:rPr>
          <w:rFonts w:hint="eastAsia"/>
          <w:szCs w:val="28"/>
        </w:rPr>
        <w:t>+</w:t>
      </w:r>
      <w:r>
        <w:rPr>
          <w:szCs w:val="28"/>
        </w:rPr>
        <w:t>深度处理</w:t>
      </w:r>
      <w:r>
        <w:rPr>
          <w:rFonts w:hint="eastAsia"/>
          <w:szCs w:val="28"/>
        </w:rPr>
        <w:t>+</w:t>
      </w:r>
      <w:r>
        <w:rPr>
          <w:szCs w:val="28"/>
        </w:rPr>
        <w:t>紫外线消毒工艺</w:t>
      </w:r>
      <w:r>
        <w:rPr>
          <w:rFonts w:hint="eastAsia"/>
          <w:szCs w:val="28"/>
        </w:rPr>
        <w:t>。出水达到</w:t>
      </w:r>
      <w:r>
        <w:rPr>
          <w:szCs w:val="28"/>
        </w:rPr>
        <w:t>《城镇污水处理厂污染物排放标准》一级</w:t>
      </w:r>
      <w:r>
        <w:rPr>
          <w:rFonts w:hint="eastAsia"/>
          <w:szCs w:val="28"/>
        </w:rPr>
        <w:t>A</w:t>
      </w:r>
      <w:r>
        <w:rPr>
          <w:szCs w:val="28"/>
        </w:rPr>
        <w:t>标</w:t>
      </w:r>
      <w:r>
        <w:rPr>
          <w:rFonts w:hint="eastAsia"/>
          <w:szCs w:val="28"/>
        </w:rPr>
        <w:t>。</w:t>
      </w:r>
    </w:p>
    <w:p>
      <w:pPr>
        <w:adjustRightInd w:val="0"/>
        <w:snapToGrid w:val="0"/>
        <w:ind w:firstLine="560"/>
        <w:rPr>
          <w:szCs w:val="28"/>
        </w:rPr>
      </w:pPr>
      <w:r>
        <w:rPr>
          <w:szCs w:val="28"/>
        </w:rPr>
        <w:t>工程服务面积</w:t>
      </w:r>
      <w:r>
        <w:rPr>
          <w:rFonts w:hint="eastAsia"/>
          <w:szCs w:val="28"/>
        </w:rPr>
        <w:t>24.8平方公里，服务人口21.5万人。服务范围覆盖整个昆阳片区规划范围，北至滇池、西南至安晋高速、东南至昆玉、中宝铁路合围区域。</w:t>
      </w:r>
    </w:p>
    <w:p>
      <w:pPr>
        <w:adjustRightInd w:val="0"/>
        <w:snapToGrid w:val="0"/>
        <w:ind w:firstLine="560"/>
        <w:rPr>
          <w:szCs w:val="28"/>
        </w:rPr>
      </w:pPr>
      <w:r>
        <w:rPr>
          <w:rFonts w:hint="eastAsia" w:ascii="宋体" w:hAnsi="宋体"/>
          <w:szCs w:val="28"/>
        </w:rPr>
        <w:t>③古城水质净化厂</w:t>
      </w:r>
      <w:r>
        <w:rPr>
          <w:szCs w:val="28"/>
        </w:rPr>
        <w:t>位于晋宁区昆阳办事处古城坝埂村旁</w:t>
      </w:r>
      <w:r>
        <w:rPr>
          <w:rFonts w:hint="eastAsia"/>
          <w:szCs w:val="28"/>
        </w:rPr>
        <w:t>，</w:t>
      </w:r>
      <w:r>
        <w:rPr>
          <w:szCs w:val="28"/>
        </w:rPr>
        <w:t>一期占地</w:t>
      </w:r>
      <w:r>
        <w:rPr>
          <w:rFonts w:hint="eastAsia"/>
          <w:szCs w:val="28"/>
        </w:rPr>
        <w:t>86.62亩，污水处理规模3</w:t>
      </w:r>
      <w:r>
        <w:rPr>
          <w:szCs w:val="28"/>
        </w:rPr>
        <w:t>万m</w:t>
      </w:r>
      <w:r>
        <w:rPr>
          <w:szCs w:val="28"/>
          <w:vertAlign w:val="superscript"/>
        </w:rPr>
        <w:t>3</w:t>
      </w:r>
      <w:r>
        <w:rPr>
          <w:szCs w:val="28"/>
        </w:rPr>
        <w:t>/d</w:t>
      </w:r>
      <w:r>
        <w:rPr>
          <w:rFonts w:hint="eastAsia"/>
          <w:szCs w:val="28"/>
        </w:rPr>
        <w:t>，一期建设规模为1.5</w:t>
      </w:r>
      <w:r>
        <w:rPr>
          <w:szCs w:val="28"/>
        </w:rPr>
        <w:t>万m</w:t>
      </w:r>
      <w:r>
        <w:rPr>
          <w:szCs w:val="28"/>
          <w:vertAlign w:val="superscript"/>
        </w:rPr>
        <w:t>3</w:t>
      </w:r>
      <w:r>
        <w:rPr>
          <w:szCs w:val="28"/>
        </w:rPr>
        <w:t>/d</w:t>
      </w:r>
      <w:r>
        <w:rPr>
          <w:rFonts w:hint="eastAsia"/>
          <w:szCs w:val="28"/>
        </w:rPr>
        <w:t>，</w:t>
      </w:r>
      <w:r>
        <w:rPr>
          <w:szCs w:val="28"/>
        </w:rPr>
        <w:t>污水处理工艺采用</w:t>
      </w:r>
      <w:r>
        <w:rPr>
          <w:rFonts w:hint="eastAsia"/>
          <w:szCs w:val="28"/>
        </w:rPr>
        <w:t>改良型A</w:t>
      </w:r>
      <w:r>
        <w:rPr>
          <w:rFonts w:hint="eastAsia"/>
          <w:szCs w:val="28"/>
          <w:vertAlign w:val="superscript"/>
        </w:rPr>
        <w:t>2</w:t>
      </w:r>
      <w:r>
        <w:rPr>
          <w:rFonts w:hint="eastAsia"/>
          <w:szCs w:val="28"/>
        </w:rPr>
        <w:t>O活性污泥法+</w:t>
      </w:r>
      <w:r>
        <w:rPr>
          <w:szCs w:val="28"/>
        </w:rPr>
        <w:t>深度处理</w:t>
      </w:r>
      <w:r>
        <w:rPr>
          <w:rFonts w:hint="eastAsia"/>
          <w:szCs w:val="28"/>
        </w:rPr>
        <w:t>+</w:t>
      </w:r>
      <w:r>
        <w:rPr>
          <w:szCs w:val="28"/>
        </w:rPr>
        <w:t>紫外线消毒工艺</w:t>
      </w:r>
      <w:r>
        <w:rPr>
          <w:rFonts w:hint="eastAsia"/>
          <w:szCs w:val="28"/>
        </w:rPr>
        <w:t>。出水达到</w:t>
      </w:r>
      <w:r>
        <w:rPr>
          <w:szCs w:val="28"/>
        </w:rPr>
        <w:t>《城镇污水处理厂污染物排放标准》一级</w:t>
      </w:r>
      <w:r>
        <w:rPr>
          <w:rFonts w:hint="eastAsia"/>
          <w:szCs w:val="28"/>
        </w:rPr>
        <w:t>A</w:t>
      </w:r>
      <w:r>
        <w:rPr>
          <w:szCs w:val="28"/>
        </w:rPr>
        <w:t>标</w:t>
      </w:r>
      <w:r>
        <w:rPr>
          <w:rFonts w:hint="eastAsia"/>
          <w:szCs w:val="28"/>
        </w:rPr>
        <w:t>。</w:t>
      </w:r>
    </w:p>
    <w:p>
      <w:pPr>
        <w:adjustRightInd w:val="0"/>
        <w:snapToGrid w:val="0"/>
        <w:ind w:firstLine="560"/>
        <w:rPr>
          <w:szCs w:val="28"/>
        </w:rPr>
      </w:pPr>
      <w:r>
        <w:rPr>
          <w:szCs w:val="28"/>
        </w:rPr>
        <w:t>工程污水服务面积</w:t>
      </w:r>
      <w:r>
        <w:rPr>
          <w:rFonts w:hint="eastAsia"/>
          <w:szCs w:val="28"/>
        </w:rPr>
        <w:t>9.9平方公里，服务人口8.4万人。服务范围甸心、下方古城、恢厂、汉营、旧寨、中谊行政村部分片区。</w:t>
      </w:r>
    </w:p>
    <w:p>
      <w:pPr>
        <w:adjustRightInd w:val="0"/>
        <w:snapToGrid w:val="0"/>
        <w:ind w:firstLine="560"/>
        <w:rPr>
          <w:szCs w:val="28"/>
        </w:rPr>
      </w:pPr>
      <w:r>
        <w:rPr>
          <w:rFonts w:hint="eastAsia"/>
          <w:szCs w:val="28"/>
        </w:rPr>
        <w:t>（3）晋城镇</w:t>
      </w:r>
      <w:r>
        <w:rPr>
          <w:szCs w:val="28"/>
        </w:rPr>
        <w:t>污水处理设施概况</w:t>
      </w:r>
    </w:p>
    <w:p>
      <w:pPr>
        <w:adjustRightInd w:val="0"/>
        <w:snapToGrid w:val="0"/>
        <w:ind w:firstLine="560"/>
        <w:rPr>
          <w:szCs w:val="28"/>
        </w:rPr>
      </w:pPr>
      <w:r>
        <w:rPr>
          <w:rFonts w:hint="eastAsia" w:ascii="宋体" w:hAnsi="宋体"/>
          <w:szCs w:val="28"/>
        </w:rPr>
        <w:t>①</w:t>
      </w:r>
      <w:r>
        <w:rPr>
          <w:rFonts w:hint="eastAsia"/>
          <w:szCs w:val="28"/>
        </w:rPr>
        <w:t>白鱼河水质净化厂位于环湖南路东侧，白鱼河南侧。</w:t>
      </w:r>
      <w:r>
        <w:rPr>
          <w:szCs w:val="28"/>
        </w:rPr>
        <w:t>占地</w:t>
      </w:r>
      <w:r>
        <w:rPr>
          <w:rFonts w:hint="eastAsia"/>
          <w:szCs w:val="28"/>
        </w:rPr>
        <w:t>128.69亩，旱季污水处理规模5</w:t>
      </w:r>
      <w:r>
        <w:rPr>
          <w:szCs w:val="28"/>
        </w:rPr>
        <w:t>万m</w:t>
      </w:r>
      <w:r>
        <w:rPr>
          <w:szCs w:val="28"/>
          <w:vertAlign w:val="superscript"/>
        </w:rPr>
        <w:t>3</w:t>
      </w:r>
      <w:r>
        <w:rPr>
          <w:szCs w:val="28"/>
        </w:rPr>
        <w:t>/d</w:t>
      </w:r>
      <w:r>
        <w:rPr>
          <w:rFonts w:hint="eastAsia"/>
          <w:szCs w:val="28"/>
        </w:rPr>
        <w:t>，雨季污水处理规模10</w:t>
      </w:r>
      <w:r>
        <w:rPr>
          <w:szCs w:val="28"/>
        </w:rPr>
        <w:t>万m</w:t>
      </w:r>
      <w:r>
        <w:rPr>
          <w:szCs w:val="28"/>
          <w:vertAlign w:val="superscript"/>
        </w:rPr>
        <w:t>3</w:t>
      </w:r>
      <w:r>
        <w:rPr>
          <w:szCs w:val="28"/>
        </w:rPr>
        <w:t>/d</w:t>
      </w:r>
      <w:r>
        <w:rPr>
          <w:rFonts w:hint="eastAsia"/>
          <w:szCs w:val="28"/>
        </w:rPr>
        <w:t>，</w:t>
      </w:r>
      <w:r>
        <w:rPr>
          <w:szCs w:val="28"/>
        </w:rPr>
        <w:t>污水处理工艺采用</w:t>
      </w:r>
      <w:r>
        <w:rPr>
          <w:rFonts w:hint="eastAsia"/>
          <w:szCs w:val="28"/>
        </w:rPr>
        <w:t>A</w:t>
      </w:r>
      <w:r>
        <w:rPr>
          <w:rFonts w:hint="eastAsia"/>
          <w:szCs w:val="28"/>
          <w:vertAlign w:val="superscript"/>
        </w:rPr>
        <w:t>2</w:t>
      </w:r>
      <w:r>
        <w:rPr>
          <w:rFonts w:hint="eastAsia"/>
          <w:szCs w:val="28"/>
        </w:rPr>
        <w:t>/O</w:t>
      </w:r>
      <w:r>
        <w:rPr>
          <w:szCs w:val="28"/>
        </w:rPr>
        <w:t>氧化沟</w:t>
      </w:r>
      <w:r>
        <w:rPr>
          <w:rFonts w:hint="eastAsia"/>
          <w:szCs w:val="28"/>
        </w:rPr>
        <w:t>+</w:t>
      </w:r>
      <w:r>
        <w:rPr>
          <w:szCs w:val="28"/>
        </w:rPr>
        <w:t>深度处理</w:t>
      </w:r>
      <w:r>
        <w:rPr>
          <w:rFonts w:hint="eastAsia"/>
          <w:szCs w:val="28"/>
        </w:rPr>
        <w:t>+</w:t>
      </w:r>
      <w:r>
        <w:rPr>
          <w:szCs w:val="28"/>
        </w:rPr>
        <w:t>紫外线消毒工艺</w:t>
      </w:r>
      <w:r>
        <w:rPr>
          <w:rFonts w:hint="eastAsia"/>
          <w:szCs w:val="28"/>
        </w:rPr>
        <w:t>。出水达到</w:t>
      </w:r>
      <w:r>
        <w:rPr>
          <w:szCs w:val="28"/>
        </w:rPr>
        <w:t>《城镇污水处理厂污染物排放标准》一级</w:t>
      </w:r>
      <w:r>
        <w:rPr>
          <w:rFonts w:hint="eastAsia"/>
          <w:szCs w:val="28"/>
        </w:rPr>
        <w:t>A</w:t>
      </w:r>
      <w:r>
        <w:rPr>
          <w:szCs w:val="28"/>
        </w:rPr>
        <w:t>标</w:t>
      </w:r>
      <w:r>
        <w:rPr>
          <w:rFonts w:hint="eastAsia"/>
          <w:szCs w:val="28"/>
        </w:rPr>
        <w:t>。</w:t>
      </w:r>
    </w:p>
    <w:p>
      <w:pPr>
        <w:adjustRightInd w:val="0"/>
        <w:snapToGrid w:val="0"/>
        <w:ind w:firstLine="560"/>
        <w:rPr>
          <w:szCs w:val="28"/>
        </w:rPr>
      </w:pPr>
      <w:r>
        <w:rPr>
          <w:szCs w:val="28"/>
        </w:rPr>
        <w:t>工程服务面积</w:t>
      </w:r>
      <w:r>
        <w:rPr>
          <w:rFonts w:hint="eastAsia"/>
          <w:szCs w:val="28"/>
        </w:rPr>
        <w:t>31.3平方公里，服务人口31.3万人。服务范围为晋城段马金铺和新街片区。</w:t>
      </w:r>
    </w:p>
    <w:p>
      <w:pPr>
        <w:adjustRightInd w:val="0"/>
        <w:snapToGrid w:val="0"/>
        <w:ind w:firstLine="560"/>
        <w:rPr>
          <w:szCs w:val="28"/>
        </w:rPr>
      </w:pPr>
      <w:r>
        <w:rPr>
          <w:rFonts w:hint="eastAsia"/>
          <w:szCs w:val="28"/>
        </w:rPr>
        <w:t>②淤泥河水质净化厂位于环湖南路南侧，淤泥河与环湖道路交口的西南角、安乐村的西侧。</w:t>
      </w:r>
      <w:r>
        <w:rPr>
          <w:szCs w:val="28"/>
        </w:rPr>
        <w:t>占地</w:t>
      </w:r>
      <w:r>
        <w:rPr>
          <w:rFonts w:hint="eastAsia"/>
          <w:szCs w:val="28"/>
        </w:rPr>
        <w:t>130亩，旱季污水处理规模5</w:t>
      </w:r>
      <w:r>
        <w:rPr>
          <w:szCs w:val="28"/>
        </w:rPr>
        <w:t>万m</w:t>
      </w:r>
      <w:r>
        <w:rPr>
          <w:szCs w:val="28"/>
          <w:vertAlign w:val="superscript"/>
        </w:rPr>
        <w:t>3</w:t>
      </w:r>
      <w:r>
        <w:rPr>
          <w:szCs w:val="28"/>
        </w:rPr>
        <w:t>/d</w:t>
      </w:r>
      <w:r>
        <w:rPr>
          <w:rFonts w:hint="eastAsia"/>
          <w:szCs w:val="28"/>
        </w:rPr>
        <w:t>，雨季污水处理规模5</w:t>
      </w:r>
      <w:r>
        <w:rPr>
          <w:szCs w:val="28"/>
        </w:rPr>
        <w:t>万m</w:t>
      </w:r>
      <w:r>
        <w:rPr>
          <w:szCs w:val="28"/>
          <w:vertAlign w:val="superscript"/>
        </w:rPr>
        <w:t>3</w:t>
      </w:r>
      <w:r>
        <w:rPr>
          <w:szCs w:val="28"/>
        </w:rPr>
        <w:t>/d</w:t>
      </w:r>
      <w:r>
        <w:rPr>
          <w:rFonts w:hint="eastAsia"/>
          <w:szCs w:val="28"/>
        </w:rPr>
        <w:t>，</w:t>
      </w:r>
      <w:r>
        <w:rPr>
          <w:szCs w:val="28"/>
        </w:rPr>
        <w:t>污水处理工艺采用</w:t>
      </w:r>
      <w:r>
        <w:rPr>
          <w:rFonts w:hint="eastAsia"/>
          <w:szCs w:val="28"/>
        </w:rPr>
        <w:t>A2/O</w:t>
      </w:r>
      <w:r>
        <w:rPr>
          <w:szCs w:val="28"/>
        </w:rPr>
        <w:t>氧化沟</w:t>
      </w:r>
      <w:r>
        <w:rPr>
          <w:rFonts w:hint="eastAsia"/>
          <w:szCs w:val="28"/>
        </w:rPr>
        <w:t>+</w:t>
      </w:r>
      <w:r>
        <w:rPr>
          <w:szCs w:val="28"/>
        </w:rPr>
        <w:t>深度处理</w:t>
      </w:r>
      <w:r>
        <w:rPr>
          <w:rFonts w:hint="eastAsia"/>
          <w:szCs w:val="28"/>
        </w:rPr>
        <w:t>+</w:t>
      </w:r>
      <w:r>
        <w:rPr>
          <w:szCs w:val="28"/>
        </w:rPr>
        <w:t>紫外线消毒工艺</w:t>
      </w:r>
      <w:r>
        <w:rPr>
          <w:rFonts w:hint="eastAsia"/>
          <w:szCs w:val="28"/>
        </w:rPr>
        <w:t>。设计出水达到</w:t>
      </w:r>
      <w:r>
        <w:rPr>
          <w:szCs w:val="28"/>
        </w:rPr>
        <w:t>《城镇污水处理厂污染物排放标准》一级</w:t>
      </w:r>
      <w:r>
        <w:rPr>
          <w:rFonts w:hint="eastAsia"/>
          <w:szCs w:val="28"/>
        </w:rPr>
        <w:t>A</w:t>
      </w:r>
      <w:r>
        <w:rPr>
          <w:szCs w:val="28"/>
        </w:rPr>
        <w:t>标</w:t>
      </w:r>
      <w:r>
        <w:rPr>
          <w:rFonts w:hint="eastAsia"/>
          <w:szCs w:val="28"/>
        </w:rPr>
        <w:t>，</w:t>
      </w:r>
      <w:r>
        <w:rPr>
          <w:szCs w:val="28"/>
        </w:rPr>
        <w:t>目前由于</w:t>
      </w:r>
      <w:r>
        <w:rPr>
          <w:rFonts w:hint="eastAsia"/>
          <w:szCs w:val="28"/>
        </w:rPr>
        <w:t>V型滤池未建</w:t>
      </w:r>
      <w:r>
        <w:rPr>
          <w:szCs w:val="28"/>
        </w:rPr>
        <w:t>仅能达到一级</w:t>
      </w:r>
      <w:r>
        <w:rPr>
          <w:rFonts w:hint="eastAsia"/>
          <w:szCs w:val="28"/>
        </w:rPr>
        <w:t>B标。</w:t>
      </w:r>
    </w:p>
    <w:p>
      <w:pPr>
        <w:adjustRightInd w:val="0"/>
        <w:snapToGrid w:val="0"/>
        <w:ind w:firstLine="560"/>
        <w:rPr>
          <w:szCs w:val="28"/>
        </w:rPr>
      </w:pPr>
      <w:r>
        <w:rPr>
          <w:szCs w:val="28"/>
        </w:rPr>
        <w:t>工程服务面积</w:t>
      </w:r>
      <w:r>
        <w:rPr>
          <w:rFonts w:hint="eastAsia"/>
          <w:szCs w:val="28"/>
        </w:rPr>
        <w:t>40.2平方公里，服务人口35.9万人。服务范围为晋城段马金铺和新街片区。</w:t>
      </w:r>
    </w:p>
    <w:p>
      <w:pPr>
        <w:adjustRightInd w:val="0"/>
        <w:snapToGrid w:val="0"/>
        <w:ind w:firstLine="560"/>
        <w:rPr>
          <w:szCs w:val="28"/>
        </w:rPr>
      </w:pPr>
      <w:r>
        <w:rPr>
          <w:rFonts w:hint="eastAsia"/>
          <w:szCs w:val="28"/>
        </w:rPr>
        <w:t>（4）二街镇</w:t>
      </w:r>
      <w:r>
        <w:rPr>
          <w:szCs w:val="28"/>
        </w:rPr>
        <w:t>污水处理设施概况</w:t>
      </w:r>
    </w:p>
    <w:p>
      <w:pPr>
        <w:adjustRightInd w:val="0"/>
        <w:snapToGrid w:val="0"/>
        <w:ind w:firstLine="560"/>
        <w:rPr>
          <w:szCs w:val="28"/>
        </w:rPr>
      </w:pPr>
      <w:r>
        <w:rPr>
          <w:szCs w:val="28"/>
        </w:rPr>
        <w:t>二街工业片区生活污水处理厂位于晋宁区二街镇老高村以北</w:t>
      </w:r>
      <w:r>
        <w:rPr>
          <w:rFonts w:hint="eastAsia"/>
          <w:szCs w:val="28"/>
        </w:rPr>
        <w:t>，</w:t>
      </w:r>
      <w:r>
        <w:rPr>
          <w:szCs w:val="28"/>
        </w:rPr>
        <w:t>占地面积</w:t>
      </w:r>
      <w:r>
        <w:rPr>
          <w:rFonts w:hint="eastAsia"/>
          <w:szCs w:val="28"/>
        </w:rPr>
        <w:t>12亩，近期处理规模0.35万</w:t>
      </w:r>
      <w:r>
        <w:rPr>
          <w:szCs w:val="28"/>
        </w:rPr>
        <w:t>m</w:t>
      </w:r>
      <w:r>
        <w:rPr>
          <w:szCs w:val="28"/>
          <w:vertAlign w:val="superscript"/>
        </w:rPr>
        <w:t>3</w:t>
      </w:r>
      <w:r>
        <w:rPr>
          <w:szCs w:val="28"/>
        </w:rPr>
        <w:t>/d</w:t>
      </w:r>
      <w:r>
        <w:rPr>
          <w:rFonts w:hint="eastAsia"/>
          <w:szCs w:val="28"/>
        </w:rPr>
        <w:t>，</w:t>
      </w:r>
      <w:r>
        <w:rPr>
          <w:szCs w:val="28"/>
        </w:rPr>
        <w:t>远期达到</w:t>
      </w:r>
      <w:r>
        <w:rPr>
          <w:rFonts w:hint="eastAsia"/>
          <w:szCs w:val="28"/>
        </w:rPr>
        <w:t>0.7万</w:t>
      </w:r>
      <w:r>
        <w:rPr>
          <w:szCs w:val="28"/>
        </w:rPr>
        <w:t>m</w:t>
      </w:r>
      <w:r>
        <w:rPr>
          <w:szCs w:val="28"/>
          <w:vertAlign w:val="superscript"/>
        </w:rPr>
        <w:t>3</w:t>
      </w:r>
      <w:r>
        <w:rPr>
          <w:szCs w:val="28"/>
        </w:rPr>
        <w:t>/d</w:t>
      </w:r>
      <w:r>
        <w:rPr>
          <w:rFonts w:hint="eastAsia"/>
          <w:szCs w:val="28"/>
        </w:rPr>
        <w:t>，</w:t>
      </w:r>
      <w:r>
        <w:rPr>
          <w:szCs w:val="28"/>
        </w:rPr>
        <w:t>污水处理工艺为</w:t>
      </w:r>
      <w:r>
        <w:rPr>
          <w:rFonts w:hint="eastAsia"/>
          <w:szCs w:val="28"/>
        </w:rPr>
        <w:t>CASS 工艺+絮凝、沉淀、过滤</w:t>
      </w:r>
      <w:r>
        <w:rPr>
          <w:szCs w:val="28"/>
        </w:rPr>
        <w:t>工艺</w:t>
      </w:r>
      <w:r>
        <w:rPr>
          <w:rFonts w:hint="eastAsia"/>
          <w:szCs w:val="28"/>
        </w:rPr>
        <w:t>。出水达到</w:t>
      </w:r>
      <w:r>
        <w:rPr>
          <w:szCs w:val="28"/>
        </w:rPr>
        <w:t>《城镇污水处理厂污染物排放标准》一级</w:t>
      </w:r>
      <w:r>
        <w:rPr>
          <w:rFonts w:hint="eastAsia"/>
          <w:szCs w:val="28"/>
        </w:rPr>
        <w:t>A</w:t>
      </w:r>
      <w:r>
        <w:rPr>
          <w:szCs w:val="28"/>
        </w:rPr>
        <w:t>标</w:t>
      </w:r>
      <w:r>
        <w:rPr>
          <w:rFonts w:hint="eastAsia"/>
          <w:szCs w:val="28"/>
        </w:rPr>
        <w:t>。</w:t>
      </w:r>
    </w:p>
    <w:p>
      <w:pPr>
        <w:adjustRightInd w:val="0"/>
        <w:snapToGrid w:val="0"/>
        <w:ind w:firstLine="560"/>
        <w:rPr>
          <w:szCs w:val="28"/>
        </w:rPr>
      </w:pPr>
      <w:r>
        <w:rPr>
          <w:szCs w:val="28"/>
        </w:rPr>
        <w:t>工程</w:t>
      </w:r>
      <w:r>
        <w:rPr>
          <w:rFonts w:hint="eastAsia"/>
          <w:szCs w:val="28"/>
        </w:rPr>
        <w:t>服务范围为二街镇肖家、栗庙、甸头行政村部分片区。</w:t>
      </w:r>
    </w:p>
    <w:p>
      <w:pPr>
        <w:pStyle w:val="4"/>
      </w:pPr>
      <w:bookmarkStart w:id="37" w:name="_Toc43042517"/>
      <w:r>
        <w:rPr>
          <w:rFonts w:hint="eastAsia"/>
        </w:rPr>
        <w:t>3.3.2 农村生活污水治理现状</w:t>
      </w:r>
      <w:bookmarkEnd w:id="37"/>
    </w:p>
    <w:p>
      <w:pPr>
        <w:adjustRightInd w:val="0"/>
        <w:snapToGrid w:val="0"/>
        <w:ind w:firstLine="560"/>
        <w:rPr>
          <w:szCs w:val="28"/>
        </w:rPr>
      </w:pPr>
      <w:r>
        <w:rPr>
          <w:szCs w:val="28"/>
        </w:rPr>
        <w:t>目前，晋宁区农村污水存在以下几个特点：</w:t>
      </w:r>
    </w:p>
    <w:p>
      <w:pPr>
        <w:adjustRightInd w:val="0"/>
        <w:snapToGrid w:val="0"/>
        <w:ind w:firstLine="560"/>
        <w:rPr>
          <w:szCs w:val="28"/>
        </w:rPr>
      </w:pPr>
      <w:r>
        <w:rPr>
          <w:szCs w:val="28"/>
        </w:rPr>
        <w:t>点散、点少、面广、规模小：晋宁区地域面积大，山地地形居多，坝区村庄极少，且分散，集中统一供水的成本和难度较高，单村供水工程是主要供水设施。</w:t>
      </w:r>
    </w:p>
    <w:p>
      <w:pPr>
        <w:adjustRightInd w:val="0"/>
        <w:snapToGrid w:val="0"/>
        <w:ind w:firstLine="560"/>
        <w:rPr>
          <w:szCs w:val="28"/>
        </w:rPr>
      </w:pPr>
      <w:r>
        <w:rPr>
          <w:szCs w:val="28"/>
        </w:rPr>
        <w:t>污水来源构成复杂：近城村庄以城镇统一供应自来水，离城较远的村庄，以多村或单村利用山泉水供应为主。农村地区的餐饮、漱洗、冲厕普遍使用自来水，产生的污水直接排放较多，由于村庄普遍远离河道，因此，村庄排水与山地农田排水沟混合后，再经沟箐汇入主河流或其支流。除日常生活污水外，村内少量养殖废水是污水的重要组成部分。</w:t>
      </w:r>
    </w:p>
    <w:p>
      <w:pPr>
        <w:adjustRightInd w:val="0"/>
        <w:snapToGrid w:val="0"/>
        <w:ind w:firstLine="560"/>
        <w:rPr>
          <w:szCs w:val="28"/>
        </w:rPr>
      </w:pPr>
      <w:r>
        <w:rPr>
          <w:szCs w:val="28"/>
        </w:rPr>
        <w:t>用水地域差异性较强：城郊的村庄用水量与污水产生量较山区高，很多离城较远或山地的村庄，由于人口居住分散，常住人口少，水量很少，产生的生活污水量也较小。</w:t>
      </w:r>
    </w:p>
    <w:p>
      <w:pPr>
        <w:adjustRightInd w:val="0"/>
        <w:snapToGrid w:val="0"/>
        <w:ind w:firstLine="560"/>
        <w:rPr>
          <w:szCs w:val="28"/>
        </w:rPr>
      </w:pPr>
      <w:r>
        <w:rPr>
          <w:szCs w:val="28"/>
        </w:rPr>
        <w:t>水量波动大、水质变化大：居民生活规律相近，导致农村生活污水排放量早晚比白天大，夜间排水量小，规模稍小的村庄在旱季几乎处于断流状态，水量变化非常明显。</w:t>
      </w:r>
    </w:p>
    <w:p>
      <w:pPr>
        <w:adjustRightInd w:val="0"/>
        <w:snapToGrid w:val="0"/>
        <w:ind w:firstLine="560"/>
        <w:rPr>
          <w:szCs w:val="28"/>
        </w:rPr>
      </w:pPr>
      <w:r>
        <w:rPr>
          <w:szCs w:val="28"/>
        </w:rPr>
        <w:t>雨污混流情况比较普遍：没有建设污水治理设施的村庄，其排水完全处于合流状态；即使已建设污水治理设施的村庄，基本上也采用合流制。</w:t>
      </w:r>
    </w:p>
    <w:p>
      <w:pPr>
        <w:pStyle w:val="3"/>
      </w:pPr>
      <w:bookmarkStart w:id="38" w:name="_Toc43042518"/>
      <w:r>
        <w:rPr>
          <w:rFonts w:hint="eastAsia"/>
        </w:rPr>
        <w:t>3.4农户改厕普及情况</w:t>
      </w:r>
      <w:bookmarkEnd w:id="38"/>
    </w:p>
    <w:p>
      <w:pPr>
        <w:adjustRightInd w:val="0"/>
        <w:snapToGrid w:val="0"/>
        <w:ind w:firstLine="560"/>
        <w:rPr>
          <w:bCs/>
          <w:szCs w:val="28"/>
        </w:rPr>
      </w:pPr>
      <w:r>
        <w:rPr>
          <w:bCs/>
          <w:szCs w:val="28"/>
        </w:rPr>
        <w:t>（</w:t>
      </w:r>
      <w:r>
        <w:rPr>
          <w:rFonts w:hint="eastAsia"/>
          <w:bCs/>
          <w:szCs w:val="28"/>
        </w:rPr>
        <w:t>1</w:t>
      </w:r>
      <w:r>
        <w:rPr>
          <w:bCs/>
          <w:szCs w:val="28"/>
        </w:rPr>
        <w:t>）改厕规划目标</w:t>
      </w:r>
    </w:p>
    <w:p>
      <w:pPr>
        <w:adjustRightInd w:val="0"/>
        <w:snapToGrid w:val="0"/>
        <w:ind w:firstLine="560"/>
        <w:rPr>
          <w:szCs w:val="28"/>
        </w:rPr>
      </w:pPr>
      <w:r>
        <w:rPr>
          <w:szCs w:val="28"/>
        </w:rPr>
        <w:t>2019年度按照省、市公厕建设目标任务，</w:t>
      </w:r>
      <w:r>
        <w:rPr>
          <w:rFonts w:hint="eastAsia"/>
          <w:szCs w:val="28"/>
        </w:rPr>
        <w:t>晋宁区</w:t>
      </w:r>
      <w:r>
        <w:rPr>
          <w:szCs w:val="28"/>
        </w:rPr>
        <w:t>2019 年改造提升乡镇镇区公厕任务数为</w:t>
      </w:r>
      <w:r>
        <w:rPr>
          <w:rFonts w:hint="eastAsia"/>
          <w:szCs w:val="28"/>
        </w:rPr>
        <w:t>42</w:t>
      </w:r>
      <w:r>
        <w:rPr>
          <w:szCs w:val="28"/>
        </w:rPr>
        <w:t>座</w:t>
      </w:r>
      <w:r>
        <w:rPr>
          <w:rFonts w:hint="eastAsia"/>
          <w:szCs w:val="28"/>
        </w:rPr>
        <w:t>。</w:t>
      </w:r>
      <w:r>
        <w:rPr>
          <w:szCs w:val="28"/>
        </w:rPr>
        <w:t>2020年，计划完成行政村村委会所在地公厕提升改造</w:t>
      </w:r>
      <w:r>
        <w:rPr>
          <w:rFonts w:hint="eastAsia"/>
          <w:szCs w:val="28"/>
        </w:rPr>
        <w:t>38</w:t>
      </w:r>
      <w:r>
        <w:rPr>
          <w:szCs w:val="28"/>
        </w:rPr>
        <w:t>座，力争行政村无害化公厕全覆盖</w:t>
      </w:r>
      <w:r>
        <w:rPr>
          <w:rFonts w:hint="eastAsia"/>
          <w:szCs w:val="28"/>
        </w:rPr>
        <w:t>，</w:t>
      </w:r>
      <w:r>
        <w:rPr>
          <w:szCs w:val="28"/>
        </w:rPr>
        <w:t>全区农村无害化卫生户厕普及率达85%。</w:t>
      </w:r>
    </w:p>
    <w:p>
      <w:pPr>
        <w:adjustRightInd w:val="0"/>
        <w:snapToGrid w:val="0"/>
        <w:ind w:firstLine="560"/>
        <w:rPr>
          <w:bCs/>
          <w:szCs w:val="28"/>
        </w:rPr>
      </w:pPr>
      <w:r>
        <w:rPr>
          <w:bCs/>
          <w:szCs w:val="28"/>
        </w:rPr>
        <w:t>（</w:t>
      </w:r>
      <w:r>
        <w:rPr>
          <w:rFonts w:hint="eastAsia"/>
          <w:bCs/>
          <w:szCs w:val="28"/>
        </w:rPr>
        <w:t>2</w:t>
      </w:r>
      <w:r>
        <w:rPr>
          <w:bCs/>
          <w:szCs w:val="28"/>
        </w:rPr>
        <w:t>）改厕标准和模式</w:t>
      </w:r>
    </w:p>
    <w:p>
      <w:pPr>
        <w:adjustRightInd w:val="0"/>
        <w:snapToGrid w:val="0"/>
        <w:ind w:firstLine="560"/>
        <w:rPr>
          <w:szCs w:val="28"/>
        </w:rPr>
      </w:pPr>
      <w:r>
        <w:rPr>
          <w:szCs w:val="28"/>
        </w:rPr>
        <w:t>拆除重建的农村危房、易地扶贫搬迁以及农户新建的住房，按照“人畜分离、厨卫入户”的要求，配套建设无害化卫生户厕。其余农户住房按照《云南省农村厕所改造建设技术指南（试行）》，因地制宜选择无害化卫生厕所建设改造标准和模式，推广简单实用、成本适中、农民群众能够接受的无害化卫生改厕技术和产品，原则上以“水冲厕+装配式三格化粪池+资源化利用”方式为主，不具备建设水冲厕所的供水困难村、组可结合实际，按照《农村户厕卫生规范》</w:t>
      </w:r>
      <w:r>
        <w:rPr>
          <w:rFonts w:hint="eastAsia"/>
          <w:szCs w:val="28"/>
        </w:rPr>
        <w:t>GB19379</w:t>
      </w:r>
      <w:r>
        <w:rPr>
          <w:szCs w:val="28"/>
        </w:rPr>
        <w:t>规定的有关要求，改造建设其他类型的无害化卫生户厕，如粪尿分集式或双坑交替式。有条件的村组无害化卫生户厕要入户进院，并结合实际，提倡入室。化粪池所选位置应避免粪液直接排入水体。有条件的村庄应采取生态处理等方式对化粪池的出水进行自然消纳处理，引导农户对粪渣资源化利用，成肥还田，提倡将农村厕所粪污、畜禽养殖废弃物一并处理并进行资源化利用。</w:t>
      </w:r>
      <w:r>
        <w:rPr>
          <w:rFonts w:hint="eastAsia"/>
          <w:szCs w:val="28"/>
        </w:rPr>
        <w:t>鼓励农户以投工投劳或自备砖、砂石、水泥建筑材料等形式参与建设。</w:t>
      </w:r>
    </w:p>
    <w:p>
      <w:pPr>
        <w:ind w:firstLine="560"/>
      </w:pPr>
      <w:r>
        <w:rPr>
          <w:szCs w:val="28"/>
        </w:rPr>
        <w:t>按照“清洁卫生、经济适用、运维方便、不污染公共水体”的原则，改造提升行政村村委会所在地公厕，改造后的农村公厕要有墙、有顶、有冲水及粪污无害化处理设施，厕内</w:t>
      </w:r>
      <w:r>
        <w:rPr>
          <w:rFonts w:hint="eastAsia"/>
          <w:szCs w:val="28"/>
        </w:rPr>
        <w:t>粪便</w:t>
      </w:r>
      <w:r>
        <w:rPr>
          <w:szCs w:val="28"/>
        </w:rPr>
        <w:t>不裸露，清洁无苍蝇，基本无臭味。</w:t>
      </w:r>
      <w:r>
        <w:rPr>
          <w:rFonts w:hint="eastAsia"/>
          <w:szCs w:val="28"/>
        </w:rPr>
        <w:t>公厕外墙有明确的标识，管理制度上墙。公厕应与村内各类生产生活服务设施紧密结合，可配建经营性用房，便于管理维护，纳入村庄保洁管理主要内容，设专人对公厕进行保洁和管护，避免区域内形成孤立公厕无人管护或加大养护成本。</w:t>
      </w:r>
    </w:p>
    <w:p>
      <w:pPr>
        <w:pStyle w:val="3"/>
      </w:pPr>
      <w:bookmarkStart w:id="39" w:name="_Toc43042519"/>
      <w:r>
        <w:rPr>
          <w:rFonts w:hint="eastAsia"/>
        </w:rPr>
        <w:t>3.5污染负荷量测算</w:t>
      </w:r>
      <w:bookmarkEnd w:id="39"/>
    </w:p>
    <w:p>
      <w:pPr>
        <w:pStyle w:val="4"/>
      </w:pPr>
      <w:bookmarkStart w:id="40" w:name="_Toc43042520"/>
      <w:r>
        <w:rPr>
          <w:rFonts w:hint="eastAsia"/>
        </w:rPr>
        <w:t>3.5.1</w:t>
      </w:r>
      <w:r>
        <w:t>生活污水产生量和污染负荷核算</w:t>
      </w:r>
      <w:bookmarkEnd w:id="40"/>
    </w:p>
    <w:p>
      <w:pPr>
        <w:adjustRightInd w:val="0"/>
        <w:snapToGrid w:val="0"/>
        <w:ind w:firstLine="560"/>
      </w:pPr>
      <w:r>
        <w:t>参考《农村生活污水处理技术规范 DB33/T868-2012》和《农村生活污水处理指南》（GB/T37071-2018）西南片区，并结合</w:t>
      </w:r>
      <w:r>
        <w:rPr>
          <w:rFonts w:hint="eastAsia"/>
        </w:rPr>
        <w:t>晋宁区</w:t>
      </w:r>
      <w:r>
        <w:t>农村用水现状，将</w:t>
      </w:r>
      <w:r>
        <w:rPr>
          <w:rFonts w:hint="eastAsia"/>
        </w:rPr>
        <w:t>晋宁</w:t>
      </w:r>
      <w:r>
        <w:t>区用水定额分成三类。其中县城郊区自来水供水与县城是统一供水来源，根据现状</w:t>
      </w:r>
      <w:r>
        <w:rPr>
          <w:rFonts w:hint="eastAsia"/>
        </w:rPr>
        <w:t>晋宁区</w:t>
      </w:r>
      <w:r>
        <w:t>供水量，城区人均用水量在120L/人.日，因此，晋宁区县城郊区近期按照110L/人.日；其次是重点建设村，包括移民搬迁村庄、</w:t>
      </w:r>
      <w:r>
        <w:rPr>
          <w:rFonts w:hint="eastAsia"/>
        </w:rPr>
        <w:t>饮用水</w:t>
      </w:r>
      <w:r>
        <w:t>水源地村庄、乡镇所在地周边村庄</w:t>
      </w:r>
      <w:r>
        <w:rPr>
          <w:rFonts w:hint="eastAsia"/>
        </w:rPr>
        <w:t>、</w:t>
      </w:r>
      <w:r>
        <w:t>滇池流域内村庄等，该类型村庄地势较为平缓，人口较为集中，未来为晋宁区重点旅游规划区域，用水量按照60L/人.日；其他村庄大部分位于山区半山区，按照40L/人.日。</w:t>
      </w:r>
    </w:p>
    <w:p>
      <w:pPr>
        <w:adjustRightInd w:val="0"/>
        <w:snapToGrid w:val="0"/>
        <w:ind w:firstLine="560"/>
      </w:pPr>
      <w:r>
        <w:t>农村生活污水水质参照《云南省农村生活污水治理模式及技术指南》农村生活污水进水水质，参考同类地区的调查数据，取本规划平均污水水质为：COD 210mg/L，NH</w:t>
      </w:r>
      <w:r>
        <w:rPr>
          <w:vertAlign w:val="subscript"/>
        </w:rPr>
        <w:t>3</w:t>
      </w:r>
      <w:r>
        <w:rPr>
          <w:vertAlign w:val="superscript"/>
        </w:rPr>
        <w:t>+</w:t>
      </w:r>
      <w:r>
        <w:t>-N 15mg/L，TN 25mg/L，TP 2mg/L，SS 150mg/L。</w:t>
      </w:r>
    </w:p>
    <w:p>
      <w:pPr>
        <w:adjustRightInd w:val="0"/>
        <w:snapToGrid w:val="0"/>
        <w:ind w:firstLine="560"/>
      </w:pPr>
      <w:r>
        <w:rPr>
          <w:rFonts w:hint="eastAsia"/>
        </w:rPr>
        <w:t>依据项目组调研情况，目前晋宁区急需规划的自然村有142个，依据规划需求，对急需规划的142个自然村的污染负荷进行测算。</w:t>
      </w:r>
    </w:p>
    <w:p>
      <w:pPr>
        <w:ind w:firstLine="562"/>
        <w:jc w:val="center"/>
        <w:rPr>
          <w:b/>
          <w:szCs w:val="24"/>
        </w:rPr>
      </w:pPr>
      <w:r>
        <w:rPr>
          <w:b/>
          <w:szCs w:val="24"/>
        </w:rPr>
        <w:t>表3</w:t>
      </w:r>
      <w:r>
        <w:rPr>
          <w:rFonts w:hint="eastAsia"/>
          <w:b/>
          <w:szCs w:val="24"/>
        </w:rPr>
        <w:t>-</w:t>
      </w:r>
      <w:r>
        <w:rPr>
          <w:b/>
          <w:szCs w:val="24"/>
        </w:rPr>
        <w:t>1   重点规划区生活污水污染物产生量</w:t>
      </w:r>
    </w:p>
    <w:tbl>
      <w:tblPr>
        <w:tblStyle w:val="26"/>
        <w:tblW w:w="5000" w:type="pct"/>
        <w:tblInd w:w="0" w:type="dxa"/>
        <w:tblLayout w:type="fixed"/>
        <w:tblCellMar>
          <w:top w:w="0" w:type="dxa"/>
          <w:left w:w="108" w:type="dxa"/>
          <w:bottom w:w="0" w:type="dxa"/>
          <w:right w:w="108" w:type="dxa"/>
        </w:tblCellMar>
      </w:tblPr>
      <w:tblGrid>
        <w:gridCol w:w="759"/>
        <w:gridCol w:w="1853"/>
        <w:gridCol w:w="1235"/>
        <w:gridCol w:w="1223"/>
        <w:gridCol w:w="1223"/>
        <w:gridCol w:w="1223"/>
        <w:gridCol w:w="1223"/>
        <w:gridCol w:w="1221"/>
      </w:tblGrid>
      <w:tr>
        <w:tblPrEx>
          <w:tblCellMar>
            <w:top w:w="0" w:type="dxa"/>
            <w:left w:w="108" w:type="dxa"/>
            <w:bottom w:w="0" w:type="dxa"/>
            <w:right w:w="108" w:type="dxa"/>
          </w:tblCellMar>
        </w:tblPrEx>
        <w:trPr>
          <w:trHeight w:val="555" w:hRule="atLeast"/>
        </w:trPr>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b/>
                <w:bCs/>
                <w:kern w:val="0"/>
              </w:rPr>
            </w:pPr>
            <w:r>
              <w:rPr>
                <w:b/>
                <w:bCs/>
                <w:kern w:val="0"/>
              </w:rPr>
              <w:t>序号</w:t>
            </w:r>
          </w:p>
        </w:tc>
        <w:tc>
          <w:tcPr>
            <w:tcW w:w="93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b/>
                <w:bCs/>
                <w:kern w:val="0"/>
              </w:rPr>
            </w:pPr>
            <w:r>
              <w:rPr>
                <w:b/>
                <w:bCs/>
                <w:kern w:val="0"/>
              </w:rPr>
              <w:t>乡镇</w:t>
            </w:r>
          </w:p>
        </w:tc>
        <w:tc>
          <w:tcPr>
            <w:tcW w:w="620"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b/>
                <w:bCs/>
                <w:kern w:val="0"/>
              </w:rPr>
            </w:pPr>
            <w:r>
              <w:rPr>
                <w:b/>
                <w:bCs/>
                <w:kern w:val="0"/>
              </w:rPr>
              <w:t>用水量（t/a）</w:t>
            </w:r>
          </w:p>
        </w:tc>
        <w:tc>
          <w:tcPr>
            <w:tcW w:w="614"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b/>
                <w:bCs/>
                <w:kern w:val="0"/>
              </w:rPr>
            </w:pPr>
            <w:r>
              <w:rPr>
                <w:b/>
                <w:bCs/>
                <w:kern w:val="0"/>
              </w:rPr>
              <w:t>COD（</w:t>
            </w:r>
            <w:r>
              <w:rPr>
                <w:rFonts w:hint="eastAsia"/>
                <w:b/>
                <w:bCs/>
                <w:kern w:val="0"/>
              </w:rPr>
              <w:t>kg</w:t>
            </w:r>
            <w:r>
              <w:rPr>
                <w:b/>
                <w:bCs/>
                <w:kern w:val="0"/>
              </w:rPr>
              <w:t>/a）</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
                <w:bCs/>
                <w:kern w:val="0"/>
              </w:rPr>
            </w:pPr>
            <w:r>
              <w:rPr>
                <w:b/>
                <w:bCs/>
                <w:kern w:val="0"/>
              </w:rPr>
              <w:t>NH</w:t>
            </w:r>
            <w:r>
              <w:rPr>
                <w:b/>
                <w:bCs/>
                <w:kern w:val="0"/>
                <w:vertAlign w:val="subscript"/>
              </w:rPr>
              <w:t>3</w:t>
            </w:r>
            <w:r>
              <w:rPr>
                <w:b/>
                <w:bCs/>
                <w:kern w:val="0"/>
                <w:vertAlign w:val="superscript"/>
              </w:rPr>
              <w:t>+</w:t>
            </w:r>
            <w:r>
              <w:rPr>
                <w:b/>
                <w:bCs/>
                <w:kern w:val="0"/>
              </w:rPr>
              <w:t>-N（</w:t>
            </w:r>
            <w:r>
              <w:rPr>
                <w:rFonts w:hint="eastAsia"/>
                <w:b/>
                <w:bCs/>
                <w:kern w:val="0"/>
              </w:rPr>
              <w:t>kg</w:t>
            </w:r>
            <w:r>
              <w:rPr>
                <w:b/>
                <w:bCs/>
                <w:kern w:val="0"/>
              </w:rPr>
              <w:t>/a）</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
                <w:bCs/>
                <w:kern w:val="0"/>
              </w:rPr>
            </w:pPr>
            <w:r>
              <w:rPr>
                <w:b/>
                <w:bCs/>
                <w:kern w:val="0"/>
              </w:rPr>
              <w:t>TN（</w:t>
            </w:r>
            <w:r>
              <w:rPr>
                <w:rFonts w:hint="eastAsia"/>
                <w:b/>
                <w:bCs/>
                <w:kern w:val="0"/>
              </w:rPr>
              <w:t>kg</w:t>
            </w:r>
            <w:r>
              <w:rPr>
                <w:b/>
                <w:bCs/>
                <w:kern w:val="0"/>
              </w:rPr>
              <w:t>/a）</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
                <w:bCs/>
                <w:kern w:val="0"/>
              </w:rPr>
            </w:pPr>
            <w:r>
              <w:rPr>
                <w:b/>
                <w:bCs/>
                <w:kern w:val="0"/>
              </w:rPr>
              <w:t>TP（</w:t>
            </w:r>
            <w:r>
              <w:rPr>
                <w:rFonts w:hint="eastAsia"/>
                <w:b/>
                <w:bCs/>
                <w:kern w:val="0"/>
              </w:rPr>
              <w:t>kg</w:t>
            </w:r>
            <w:r>
              <w:rPr>
                <w:b/>
                <w:bCs/>
                <w:kern w:val="0"/>
              </w:rPr>
              <w:t>/a）</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
                <w:bCs/>
                <w:kern w:val="0"/>
              </w:rPr>
            </w:pPr>
            <w:r>
              <w:rPr>
                <w:b/>
                <w:bCs/>
                <w:kern w:val="0"/>
              </w:rPr>
              <w:t>SS（</w:t>
            </w:r>
            <w:r>
              <w:rPr>
                <w:rFonts w:hint="eastAsia"/>
                <w:b/>
                <w:bCs/>
                <w:kern w:val="0"/>
              </w:rPr>
              <w:t>kg</w:t>
            </w:r>
            <w:r>
              <w:rPr>
                <w:b/>
                <w:bCs/>
                <w:kern w:val="0"/>
              </w:rPr>
              <w:t>/a）</w:t>
            </w:r>
          </w:p>
        </w:tc>
      </w:tr>
      <w:tr>
        <w:tblPrEx>
          <w:tblCellMar>
            <w:top w:w="0" w:type="dxa"/>
            <w:left w:w="108" w:type="dxa"/>
            <w:bottom w:w="0" w:type="dxa"/>
            <w:right w:w="108" w:type="dxa"/>
          </w:tblCellMar>
        </w:tblPrEx>
        <w:trPr>
          <w:trHeight w:val="30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1</w:t>
            </w:r>
          </w:p>
        </w:tc>
        <w:tc>
          <w:tcPr>
            <w:tcW w:w="93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rFonts w:hint="eastAsia"/>
                <w:kern w:val="0"/>
              </w:rPr>
              <w:t>昆阳</w:t>
            </w:r>
            <w:r>
              <w:rPr>
                <w:kern w:val="0"/>
              </w:rPr>
              <w:t>街道办事处</w:t>
            </w:r>
          </w:p>
        </w:tc>
        <w:tc>
          <w:tcPr>
            <w:tcW w:w="620"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287.38</w:t>
            </w:r>
          </w:p>
        </w:tc>
        <w:tc>
          <w:tcPr>
            <w:tcW w:w="614"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60.35</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4.31</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7.18</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0.57</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43.11</w:t>
            </w:r>
          </w:p>
        </w:tc>
      </w:tr>
      <w:tr>
        <w:tblPrEx>
          <w:tblCellMar>
            <w:top w:w="0" w:type="dxa"/>
            <w:left w:w="108" w:type="dxa"/>
            <w:bottom w:w="0" w:type="dxa"/>
            <w:right w:w="108" w:type="dxa"/>
          </w:tblCellMar>
        </w:tblPrEx>
        <w:trPr>
          <w:trHeight w:val="30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2</w:t>
            </w:r>
          </w:p>
        </w:tc>
        <w:tc>
          <w:tcPr>
            <w:tcW w:w="93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rFonts w:hint="eastAsia"/>
                <w:kern w:val="0"/>
              </w:rPr>
              <w:t>宝峰</w:t>
            </w:r>
            <w:r>
              <w:rPr>
                <w:kern w:val="0"/>
              </w:rPr>
              <w:t>街道办事处</w:t>
            </w:r>
          </w:p>
        </w:tc>
        <w:tc>
          <w:tcPr>
            <w:tcW w:w="620"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398.38</w:t>
            </w:r>
          </w:p>
        </w:tc>
        <w:tc>
          <w:tcPr>
            <w:tcW w:w="614"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83.66</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5.98</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9.96</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0.80</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59.76</w:t>
            </w:r>
          </w:p>
        </w:tc>
      </w:tr>
      <w:tr>
        <w:tblPrEx>
          <w:tblCellMar>
            <w:top w:w="0" w:type="dxa"/>
            <w:left w:w="108" w:type="dxa"/>
            <w:bottom w:w="0" w:type="dxa"/>
            <w:right w:w="108" w:type="dxa"/>
          </w:tblCellMar>
        </w:tblPrEx>
        <w:trPr>
          <w:trHeight w:val="30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3</w:t>
            </w:r>
          </w:p>
        </w:tc>
        <w:tc>
          <w:tcPr>
            <w:tcW w:w="93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rFonts w:hint="eastAsia"/>
                <w:kern w:val="0"/>
              </w:rPr>
              <w:t>晋城</w:t>
            </w:r>
            <w:r>
              <w:rPr>
                <w:kern w:val="0"/>
              </w:rPr>
              <w:t>镇</w:t>
            </w:r>
          </w:p>
        </w:tc>
        <w:tc>
          <w:tcPr>
            <w:tcW w:w="620"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826.70</w:t>
            </w:r>
          </w:p>
        </w:tc>
        <w:tc>
          <w:tcPr>
            <w:tcW w:w="614"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173.61</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12.40</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20.67</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1.65</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124.01</w:t>
            </w:r>
          </w:p>
        </w:tc>
      </w:tr>
      <w:tr>
        <w:tblPrEx>
          <w:tblCellMar>
            <w:top w:w="0" w:type="dxa"/>
            <w:left w:w="108" w:type="dxa"/>
            <w:bottom w:w="0" w:type="dxa"/>
            <w:right w:w="108" w:type="dxa"/>
          </w:tblCellMar>
        </w:tblPrEx>
        <w:trPr>
          <w:trHeight w:val="30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4</w:t>
            </w:r>
          </w:p>
        </w:tc>
        <w:tc>
          <w:tcPr>
            <w:tcW w:w="93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二街镇</w:t>
            </w:r>
          </w:p>
        </w:tc>
        <w:tc>
          <w:tcPr>
            <w:tcW w:w="620"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53.04</w:t>
            </w:r>
          </w:p>
        </w:tc>
        <w:tc>
          <w:tcPr>
            <w:tcW w:w="614"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11.14</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0.80</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1.33</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0.11</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7.96</w:t>
            </w:r>
          </w:p>
        </w:tc>
      </w:tr>
      <w:tr>
        <w:tblPrEx>
          <w:tblCellMar>
            <w:top w:w="0" w:type="dxa"/>
            <w:left w:w="108" w:type="dxa"/>
            <w:bottom w:w="0" w:type="dxa"/>
            <w:right w:w="108" w:type="dxa"/>
          </w:tblCellMar>
        </w:tblPrEx>
        <w:trPr>
          <w:trHeight w:val="17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5</w:t>
            </w:r>
          </w:p>
        </w:tc>
        <w:tc>
          <w:tcPr>
            <w:tcW w:w="93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上蒜镇</w:t>
            </w:r>
          </w:p>
        </w:tc>
        <w:tc>
          <w:tcPr>
            <w:tcW w:w="620"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115.92</w:t>
            </w:r>
          </w:p>
        </w:tc>
        <w:tc>
          <w:tcPr>
            <w:tcW w:w="614"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24.34</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1.74</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2.90</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0.23</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17.39</w:t>
            </w:r>
          </w:p>
        </w:tc>
      </w:tr>
      <w:tr>
        <w:tblPrEx>
          <w:tblCellMar>
            <w:top w:w="0" w:type="dxa"/>
            <w:left w:w="108" w:type="dxa"/>
            <w:bottom w:w="0" w:type="dxa"/>
            <w:right w:w="108" w:type="dxa"/>
          </w:tblCellMar>
        </w:tblPrEx>
        <w:trPr>
          <w:trHeight w:val="295"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6</w:t>
            </w:r>
          </w:p>
        </w:tc>
        <w:tc>
          <w:tcPr>
            <w:tcW w:w="93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六街镇</w:t>
            </w:r>
          </w:p>
        </w:tc>
        <w:tc>
          <w:tcPr>
            <w:tcW w:w="620"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177.52</w:t>
            </w:r>
          </w:p>
        </w:tc>
        <w:tc>
          <w:tcPr>
            <w:tcW w:w="614"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37.28</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2.66</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4.44</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0.36</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26.63</w:t>
            </w:r>
          </w:p>
        </w:tc>
      </w:tr>
      <w:tr>
        <w:tblPrEx>
          <w:tblCellMar>
            <w:top w:w="0" w:type="dxa"/>
            <w:left w:w="108" w:type="dxa"/>
            <w:bottom w:w="0" w:type="dxa"/>
            <w:right w:w="108" w:type="dxa"/>
          </w:tblCellMar>
        </w:tblPrEx>
        <w:trPr>
          <w:trHeight w:val="45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7</w:t>
            </w:r>
          </w:p>
        </w:tc>
        <w:tc>
          <w:tcPr>
            <w:tcW w:w="93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rFonts w:hint="eastAsia"/>
              </w:rPr>
              <w:t>双河彝族乡</w:t>
            </w:r>
          </w:p>
        </w:tc>
        <w:tc>
          <w:tcPr>
            <w:tcW w:w="620"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217.72</w:t>
            </w:r>
          </w:p>
        </w:tc>
        <w:tc>
          <w:tcPr>
            <w:tcW w:w="614"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45.72</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3.27</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5.44</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0.44</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32.66</w:t>
            </w:r>
          </w:p>
        </w:tc>
      </w:tr>
      <w:tr>
        <w:tblPrEx>
          <w:tblCellMar>
            <w:top w:w="0" w:type="dxa"/>
            <w:left w:w="108" w:type="dxa"/>
            <w:bottom w:w="0" w:type="dxa"/>
            <w:right w:w="108" w:type="dxa"/>
          </w:tblCellMar>
        </w:tblPrEx>
        <w:trPr>
          <w:trHeight w:val="223"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8</w:t>
            </w:r>
          </w:p>
        </w:tc>
        <w:tc>
          <w:tcPr>
            <w:tcW w:w="93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rFonts w:hint="eastAsia"/>
              </w:rPr>
              <w:t>夕阳彝族乡</w:t>
            </w:r>
          </w:p>
        </w:tc>
        <w:tc>
          <w:tcPr>
            <w:tcW w:w="620"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326.70</w:t>
            </w:r>
          </w:p>
        </w:tc>
        <w:tc>
          <w:tcPr>
            <w:tcW w:w="614"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68.61</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4.90</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8.17</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0.65</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49.01</w:t>
            </w:r>
          </w:p>
        </w:tc>
      </w:tr>
      <w:tr>
        <w:tblPrEx>
          <w:tblCellMar>
            <w:top w:w="0" w:type="dxa"/>
            <w:left w:w="108" w:type="dxa"/>
            <w:bottom w:w="0" w:type="dxa"/>
            <w:right w:w="108" w:type="dxa"/>
          </w:tblCellMar>
        </w:tblPrEx>
        <w:trPr>
          <w:trHeight w:val="279"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b/>
                <w:bCs/>
                <w:kern w:val="0"/>
              </w:rPr>
            </w:pPr>
            <w:r>
              <w:rPr>
                <w:b/>
                <w:bCs/>
                <w:kern w:val="0"/>
              </w:rPr>
              <w:t>11</w:t>
            </w:r>
          </w:p>
        </w:tc>
        <w:tc>
          <w:tcPr>
            <w:tcW w:w="93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b/>
                <w:bCs/>
                <w:kern w:val="0"/>
              </w:rPr>
            </w:pPr>
            <w:r>
              <w:rPr>
                <w:b/>
                <w:bCs/>
                <w:kern w:val="0"/>
              </w:rPr>
              <w:t>合计</w:t>
            </w:r>
          </w:p>
        </w:tc>
        <w:tc>
          <w:tcPr>
            <w:tcW w:w="620" w:type="pct"/>
            <w:tcBorders>
              <w:top w:val="nil"/>
              <w:left w:val="nil"/>
              <w:bottom w:val="single" w:color="auto" w:sz="4" w:space="0"/>
              <w:right w:val="single" w:color="auto" w:sz="4" w:space="0"/>
            </w:tcBorders>
          </w:tcPr>
          <w:p>
            <w:pPr>
              <w:widowControl/>
              <w:spacing w:line="240" w:lineRule="auto"/>
              <w:ind w:firstLine="0" w:firstLineChars="0"/>
              <w:jc w:val="center"/>
              <w:rPr>
                <w:b/>
                <w:bCs/>
                <w:kern w:val="0"/>
              </w:rPr>
            </w:pPr>
            <w:r>
              <w:rPr>
                <w:rFonts w:hint="eastAsia"/>
                <w:b/>
                <w:bCs/>
                <w:kern w:val="0"/>
              </w:rPr>
              <w:t>2403.36</w:t>
            </w:r>
          </w:p>
        </w:tc>
        <w:tc>
          <w:tcPr>
            <w:tcW w:w="614"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b/>
                <w:bCs/>
                <w:kern w:val="0"/>
              </w:rPr>
            </w:pPr>
            <w:r>
              <w:rPr>
                <w:rFonts w:hint="eastAsia"/>
                <w:b/>
                <w:bCs/>
                <w:kern w:val="0"/>
              </w:rPr>
              <w:t>504.71</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b/>
                <w:bCs/>
                <w:kern w:val="0"/>
              </w:rPr>
            </w:pPr>
            <w:r>
              <w:rPr>
                <w:rFonts w:hint="eastAsia"/>
                <w:b/>
                <w:bCs/>
                <w:kern w:val="0"/>
              </w:rPr>
              <w:t>36.05</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b/>
                <w:bCs/>
                <w:kern w:val="0"/>
              </w:rPr>
            </w:pPr>
            <w:r>
              <w:rPr>
                <w:rFonts w:hint="eastAsia"/>
                <w:b/>
                <w:bCs/>
                <w:kern w:val="0"/>
              </w:rPr>
              <w:t>60.08</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b/>
                <w:bCs/>
                <w:kern w:val="0"/>
              </w:rPr>
            </w:pPr>
            <w:r>
              <w:rPr>
                <w:rFonts w:hint="eastAsia"/>
                <w:b/>
                <w:bCs/>
                <w:kern w:val="0"/>
              </w:rPr>
              <w:t>4.81</w:t>
            </w:r>
          </w:p>
        </w:tc>
        <w:tc>
          <w:tcPr>
            <w:tcW w:w="614"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b/>
                <w:bCs/>
                <w:kern w:val="0"/>
              </w:rPr>
            </w:pPr>
            <w:r>
              <w:rPr>
                <w:rFonts w:hint="eastAsia"/>
                <w:b/>
                <w:bCs/>
                <w:kern w:val="0"/>
              </w:rPr>
              <w:t>360.50</w:t>
            </w:r>
          </w:p>
        </w:tc>
      </w:tr>
    </w:tbl>
    <w:p>
      <w:pPr>
        <w:ind w:firstLine="560"/>
      </w:pPr>
      <w:r>
        <w:t>由于污染物产生后不是全都进入外环境，更不是全部进入水体内，因此，产生量仅说明其污染源的强度，不能说明对外环境尤其对水体污染负荷的增加。所以，污染负荷的分析主要以排放量为主，更能说明污染源对水体的污染程度。</w:t>
      </w:r>
    </w:p>
    <w:p>
      <w:pPr>
        <w:pStyle w:val="4"/>
      </w:pPr>
      <w:bookmarkStart w:id="41" w:name="_Toc40605127"/>
      <w:bookmarkStart w:id="42" w:name="_Toc43042521"/>
      <w:r>
        <w:t>3.</w:t>
      </w:r>
      <w:r>
        <w:rPr>
          <w:rFonts w:hint="eastAsia"/>
        </w:rPr>
        <w:t>5</w:t>
      </w:r>
      <w:r>
        <w:t>.2生活污水排放量和污染负荷核算</w:t>
      </w:r>
      <w:bookmarkEnd w:id="41"/>
      <w:bookmarkEnd w:id="42"/>
    </w:p>
    <w:p>
      <w:pPr>
        <w:adjustRightInd w:val="0"/>
        <w:snapToGrid w:val="0"/>
        <w:ind w:firstLine="560"/>
        <w:jc w:val="left"/>
      </w:pPr>
      <w:r>
        <w:t>目前</w:t>
      </w:r>
      <w:r>
        <w:rPr>
          <w:rFonts w:hint="eastAsia"/>
        </w:rPr>
        <w:t>急需规划的142个自然村</w:t>
      </w:r>
      <w:r>
        <w:t>村内生活污水与村内地表径流汇合后进入农灌沟渠或直接排放入河道，旱季时蒸发量大，仅部分被农灌回用；而雨季时由于农灌需求较小，污水则通过沟渠直接排放入河。规划根据各村庄特点和类型，晋宁区郊区排放系数为0.8，重点建设村庄排放系数取0.7，其他村庄排放系数取0.6。</w:t>
      </w:r>
    </w:p>
    <w:p>
      <w:pPr>
        <w:adjustRightInd w:val="0"/>
        <w:snapToGrid w:val="0"/>
        <w:ind w:firstLine="560"/>
        <w:jc w:val="left"/>
      </w:pPr>
    </w:p>
    <w:p>
      <w:pPr>
        <w:adjustRightInd w:val="0"/>
        <w:snapToGrid w:val="0"/>
        <w:ind w:firstLine="560"/>
        <w:jc w:val="left"/>
      </w:pPr>
    </w:p>
    <w:p>
      <w:pPr>
        <w:adjustRightInd w:val="0"/>
        <w:snapToGrid w:val="0"/>
        <w:ind w:firstLine="560"/>
        <w:jc w:val="left"/>
      </w:pPr>
    </w:p>
    <w:p>
      <w:pPr>
        <w:adjustRightInd w:val="0"/>
        <w:snapToGrid w:val="0"/>
        <w:ind w:firstLine="643"/>
        <w:jc w:val="left"/>
        <w:rPr>
          <w:b/>
          <w:sz w:val="32"/>
          <w:szCs w:val="28"/>
        </w:rPr>
      </w:pPr>
    </w:p>
    <w:p>
      <w:pPr>
        <w:adjustRightInd w:val="0"/>
        <w:snapToGrid w:val="0"/>
        <w:ind w:firstLine="562"/>
        <w:jc w:val="center"/>
        <w:rPr>
          <w:szCs w:val="24"/>
        </w:rPr>
      </w:pPr>
      <w:r>
        <w:rPr>
          <w:b/>
          <w:szCs w:val="24"/>
        </w:rPr>
        <w:t>表3</w:t>
      </w:r>
      <w:r>
        <w:rPr>
          <w:rFonts w:hint="eastAsia"/>
          <w:b/>
          <w:szCs w:val="24"/>
        </w:rPr>
        <w:t>-2重点</w:t>
      </w:r>
      <w:r>
        <w:rPr>
          <w:b/>
          <w:szCs w:val="24"/>
        </w:rPr>
        <w:t>规划区生活污水污染物排放量</w:t>
      </w:r>
    </w:p>
    <w:tbl>
      <w:tblPr>
        <w:tblStyle w:val="26"/>
        <w:tblW w:w="5000" w:type="pct"/>
        <w:tblInd w:w="0" w:type="dxa"/>
        <w:tblLayout w:type="autofit"/>
        <w:tblCellMar>
          <w:top w:w="0" w:type="dxa"/>
          <w:left w:w="108" w:type="dxa"/>
          <w:bottom w:w="0" w:type="dxa"/>
          <w:right w:w="108" w:type="dxa"/>
        </w:tblCellMar>
      </w:tblPr>
      <w:tblGrid>
        <w:gridCol w:w="742"/>
        <w:gridCol w:w="2047"/>
        <w:gridCol w:w="1066"/>
        <w:gridCol w:w="1221"/>
        <w:gridCol w:w="1221"/>
        <w:gridCol w:w="1221"/>
        <w:gridCol w:w="1221"/>
        <w:gridCol w:w="1221"/>
      </w:tblGrid>
      <w:tr>
        <w:tblPrEx>
          <w:tblCellMar>
            <w:top w:w="0" w:type="dxa"/>
            <w:left w:w="108" w:type="dxa"/>
            <w:bottom w:w="0" w:type="dxa"/>
            <w:right w:w="108" w:type="dxa"/>
          </w:tblCellMar>
        </w:tblPrEx>
        <w:trPr>
          <w:trHeight w:val="555" w:hRule="atLeast"/>
        </w:trPr>
        <w:tc>
          <w:tcPr>
            <w:tcW w:w="3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b/>
                <w:bCs/>
                <w:kern w:val="0"/>
              </w:rPr>
            </w:pPr>
            <w:r>
              <w:rPr>
                <w:b/>
                <w:bCs/>
                <w:kern w:val="0"/>
              </w:rPr>
              <w:t>序号</w:t>
            </w:r>
          </w:p>
        </w:tc>
        <w:tc>
          <w:tcPr>
            <w:tcW w:w="109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b/>
                <w:bCs/>
                <w:kern w:val="0"/>
              </w:rPr>
            </w:pPr>
            <w:r>
              <w:rPr>
                <w:b/>
                <w:bCs/>
                <w:kern w:val="0"/>
              </w:rPr>
              <w:t>乡镇</w:t>
            </w:r>
          </w:p>
        </w:tc>
        <w:tc>
          <w:tcPr>
            <w:tcW w:w="659"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b/>
                <w:bCs/>
                <w:kern w:val="0"/>
              </w:rPr>
            </w:pPr>
            <w:r>
              <w:rPr>
                <w:rFonts w:hint="eastAsia"/>
                <w:b/>
                <w:bCs/>
                <w:kern w:val="0"/>
              </w:rPr>
              <w:t>排放量</w:t>
            </w:r>
            <w:r>
              <w:rPr>
                <w:b/>
                <w:bCs/>
                <w:kern w:val="0"/>
              </w:rPr>
              <w:t>（t/a）</w:t>
            </w:r>
          </w:p>
        </w:tc>
        <w:tc>
          <w:tcPr>
            <w:tcW w:w="547"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b/>
                <w:bCs/>
                <w:kern w:val="0"/>
              </w:rPr>
            </w:pPr>
            <w:r>
              <w:rPr>
                <w:b/>
                <w:bCs/>
                <w:kern w:val="0"/>
              </w:rPr>
              <w:t>COD（</w:t>
            </w:r>
            <w:r>
              <w:rPr>
                <w:rFonts w:hint="eastAsia"/>
                <w:b/>
                <w:bCs/>
                <w:kern w:val="0"/>
              </w:rPr>
              <w:t>kg</w:t>
            </w:r>
            <w:r>
              <w:rPr>
                <w:b/>
                <w:bCs/>
                <w:kern w:val="0"/>
              </w:rPr>
              <w:t>/a）</w:t>
            </w:r>
          </w:p>
        </w:tc>
        <w:tc>
          <w:tcPr>
            <w:tcW w:w="569"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
                <w:bCs/>
                <w:kern w:val="0"/>
              </w:rPr>
            </w:pPr>
            <w:r>
              <w:rPr>
                <w:b/>
                <w:bCs/>
                <w:kern w:val="0"/>
              </w:rPr>
              <w:t>NH</w:t>
            </w:r>
            <w:r>
              <w:rPr>
                <w:b/>
                <w:bCs/>
                <w:kern w:val="0"/>
                <w:vertAlign w:val="subscript"/>
              </w:rPr>
              <w:t>3</w:t>
            </w:r>
            <w:r>
              <w:rPr>
                <w:b/>
                <w:bCs/>
                <w:kern w:val="0"/>
                <w:vertAlign w:val="superscript"/>
              </w:rPr>
              <w:t>+</w:t>
            </w:r>
            <w:r>
              <w:rPr>
                <w:b/>
                <w:bCs/>
                <w:kern w:val="0"/>
              </w:rPr>
              <w:t>-N（</w:t>
            </w:r>
            <w:r>
              <w:rPr>
                <w:rFonts w:hint="eastAsia"/>
                <w:b/>
                <w:bCs/>
                <w:kern w:val="0"/>
              </w:rPr>
              <w:t>kg</w:t>
            </w:r>
            <w:r>
              <w:rPr>
                <w:b/>
                <w:bCs/>
                <w:kern w:val="0"/>
              </w:rPr>
              <w:t>/a）</w:t>
            </w:r>
          </w:p>
        </w:tc>
        <w:tc>
          <w:tcPr>
            <w:tcW w:w="54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
                <w:bCs/>
                <w:kern w:val="0"/>
              </w:rPr>
            </w:pPr>
            <w:r>
              <w:rPr>
                <w:b/>
                <w:bCs/>
                <w:kern w:val="0"/>
              </w:rPr>
              <w:t>TN（</w:t>
            </w:r>
            <w:r>
              <w:rPr>
                <w:rFonts w:hint="eastAsia"/>
                <w:b/>
                <w:bCs/>
                <w:kern w:val="0"/>
              </w:rPr>
              <w:t>kg</w:t>
            </w:r>
            <w:r>
              <w:rPr>
                <w:b/>
                <w:bCs/>
                <w:kern w:val="0"/>
              </w:rPr>
              <w:t>/a）</w:t>
            </w:r>
          </w:p>
        </w:tc>
        <w:tc>
          <w:tcPr>
            <w:tcW w:w="54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
                <w:bCs/>
                <w:kern w:val="0"/>
              </w:rPr>
            </w:pPr>
            <w:r>
              <w:rPr>
                <w:b/>
                <w:bCs/>
                <w:kern w:val="0"/>
              </w:rPr>
              <w:t>TP（</w:t>
            </w:r>
            <w:r>
              <w:rPr>
                <w:rFonts w:hint="eastAsia"/>
                <w:b/>
                <w:bCs/>
                <w:kern w:val="0"/>
              </w:rPr>
              <w:t>kg</w:t>
            </w:r>
            <w:r>
              <w:rPr>
                <w:b/>
                <w:bCs/>
                <w:kern w:val="0"/>
              </w:rPr>
              <w:t>/a）</w:t>
            </w:r>
          </w:p>
        </w:tc>
        <w:tc>
          <w:tcPr>
            <w:tcW w:w="64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
                <w:bCs/>
                <w:kern w:val="0"/>
              </w:rPr>
            </w:pPr>
            <w:r>
              <w:rPr>
                <w:b/>
                <w:bCs/>
                <w:kern w:val="0"/>
              </w:rPr>
              <w:t>SS（</w:t>
            </w:r>
            <w:r>
              <w:rPr>
                <w:rFonts w:hint="eastAsia"/>
                <w:b/>
                <w:bCs/>
                <w:kern w:val="0"/>
              </w:rPr>
              <w:t>kg</w:t>
            </w:r>
            <w:r>
              <w:rPr>
                <w:b/>
                <w:bCs/>
                <w:kern w:val="0"/>
              </w:rPr>
              <w:t>/a）</w:t>
            </w:r>
          </w:p>
        </w:tc>
      </w:tr>
      <w:tr>
        <w:tblPrEx>
          <w:tblCellMar>
            <w:top w:w="0" w:type="dxa"/>
            <w:left w:w="108" w:type="dxa"/>
            <w:bottom w:w="0" w:type="dxa"/>
            <w:right w:w="108" w:type="dxa"/>
          </w:tblCellMar>
        </w:tblPrEx>
        <w:trPr>
          <w:trHeight w:val="300" w:hRule="atLeast"/>
        </w:trPr>
        <w:tc>
          <w:tcPr>
            <w:tcW w:w="39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1</w:t>
            </w:r>
          </w:p>
        </w:tc>
        <w:tc>
          <w:tcPr>
            <w:tcW w:w="10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rFonts w:hint="eastAsia"/>
                <w:kern w:val="0"/>
              </w:rPr>
              <w:t>昆阳</w:t>
            </w:r>
            <w:r>
              <w:rPr>
                <w:kern w:val="0"/>
              </w:rPr>
              <w:t>街道办事处</w:t>
            </w:r>
          </w:p>
        </w:tc>
        <w:tc>
          <w:tcPr>
            <w:tcW w:w="659"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209.21</w:t>
            </w:r>
          </w:p>
        </w:tc>
        <w:tc>
          <w:tcPr>
            <w:tcW w:w="547"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43.93</w:t>
            </w:r>
          </w:p>
        </w:tc>
        <w:tc>
          <w:tcPr>
            <w:tcW w:w="569"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3.14</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5.23</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0.42</w:t>
            </w:r>
          </w:p>
        </w:tc>
        <w:tc>
          <w:tcPr>
            <w:tcW w:w="6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31.38</w:t>
            </w:r>
          </w:p>
        </w:tc>
      </w:tr>
      <w:tr>
        <w:tblPrEx>
          <w:tblCellMar>
            <w:top w:w="0" w:type="dxa"/>
            <w:left w:w="108" w:type="dxa"/>
            <w:bottom w:w="0" w:type="dxa"/>
            <w:right w:w="108" w:type="dxa"/>
          </w:tblCellMar>
        </w:tblPrEx>
        <w:trPr>
          <w:trHeight w:val="300" w:hRule="atLeast"/>
        </w:trPr>
        <w:tc>
          <w:tcPr>
            <w:tcW w:w="39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2</w:t>
            </w:r>
          </w:p>
        </w:tc>
        <w:tc>
          <w:tcPr>
            <w:tcW w:w="10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rFonts w:hint="eastAsia"/>
                <w:kern w:val="0"/>
              </w:rPr>
              <w:t>宝峰</w:t>
            </w:r>
            <w:r>
              <w:rPr>
                <w:kern w:val="0"/>
              </w:rPr>
              <w:t>街道办事处</w:t>
            </w:r>
          </w:p>
        </w:tc>
        <w:tc>
          <w:tcPr>
            <w:tcW w:w="659"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270.01</w:t>
            </w:r>
          </w:p>
        </w:tc>
        <w:tc>
          <w:tcPr>
            <w:tcW w:w="547"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56.70</w:t>
            </w:r>
          </w:p>
        </w:tc>
        <w:tc>
          <w:tcPr>
            <w:tcW w:w="569"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4.05</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6.75</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0.54</w:t>
            </w:r>
          </w:p>
        </w:tc>
        <w:tc>
          <w:tcPr>
            <w:tcW w:w="6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40.50</w:t>
            </w:r>
          </w:p>
        </w:tc>
      </w:tr>
      <w:tr>
        <w:tblPrEx>
          <w:tblCellMar>
            <w:top w:w="0" w:type="dxa"/>
            <w:left w:w="108" w:type="dxa"/>
            <w:bottom w:w="0" w:type="dxa"/>
            <w:right w:w="108" w:type="dxa"/>
          </w:tblCellMar>
        </w:tblPrEx>
        <w:trPr>
          <w:trHeight w:val="300" w:hRule="atLeast"/>
        </w:trPr>
        <w:tc>
          <w:tcPr>
            <w:tcW w:w="39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3</w:t>
            </w:r>
          </w:p>
        </w:tc>
        <w:tc>
          <w:tcPr>
            <w:tcW w:w="10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rFonts w:hint="eastAsia"/>
                <w:kern w:val="0"/>
              </w:rPr>
              <w:t>晋城</w:t>
            </w:r>
            <w:r>
              <w:rPr>
                <w:kern w:val="0"/>
              </w:rPr>
              <w:t>镇</w:t>
            </w:r>
          </w:p>
        </w:tc>
        <w:tc>
          <w:tcPr>
            <w:tcW w:w="659"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555.38</w:t>
            </w:r>
          </w:p>
        </w:tc>
        <w:tc>
          <w:tcPr>
            <w:tcW w:w="547"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116.63</w:t>
            </w:r>
          </w:p>
        </w:tc>
        <w:tc>
          <w:tcPr>
            <w:tcW w:w="569"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8.33</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13.88</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1.11</w:t>
            </w:r>
          </w:p>
        </w:tc>
        <w:tc>
          <w:tcPr>
            <w:tcW w:w="6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83.31</w:t>
            </w:r>
          </w:p>
        </w:tc>
      </w:tr>
      <w:tr>
        <w:tblPrEx>
          <w:tblCellMar>
            <w:top w:w="0" w:type="dxa"/>
            <w:left w:w="108" w:type="dxa"/>
            <w:bottom w:w="0" w:type="dxa"/>
            <w:right w:w="108" w:type="dxa"/>
          </w:tblCellMar>
        </w:tblPrEx>
        <w:trPr>
          <w:trHeight w:val="300" w:hRule="atLeast"/>
        </w:trPr>
        <w:tc>
          <w:tcPr>
            <w:tcW w:w="39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4</w:t>
            </w:r>
          </w:p>
        </w:tc>
        <w:tc>
          <w:tcPr>
            <w:tcW w:w="10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二街镇</w:t>
            </w:r>
          </w:p>
        </w:tc>
        <w:tc>
          <w:tcPr>
            <w:tcW w:w="659"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34.46</w:t>
            </w:r>
          </w:p>
        </w:tc>
        <w:tc>
          <w:tcPr>
            <w:tcW w:w="547"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7.24</w:t>
            </w:r>
          </w:p>
        </w:tc>
        <w:tc>
          <w:tcPr>
            <w:tcW w:w="569"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0.52</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0.86</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0.07</w:t>
            </w:r>
          </w:p>
        </w:tc>
        <w:tc>
          <w:tcPr>
            <w:tcW w:w="6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5.17</w:t>
            </w:r>
          </w:p>
        </w:tc>
      </w:tr>
      <w:tr>
        <w:tblPrEx>
          <w:tblCellMar>
            <w:top w:w="0" w:type="dxa"/>
            <w:left w:w="108" w:type="dxa"/>
            <w:bottom w:w="0" w:type="dxa"/>
            <w:right w:w="108" w:type="dxa"/>
          </w:tblCellMar>
        </w:tblPrEx>
        <w:trPr>
          <w:trHeight w:val="170" w:hRule="atLeast"/>
        </w:trPr>
        <w:tc>
          <w:tcPr>
            <w:tcW w:w="39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5</w:t>
            </w:r>
          </w:p>
        </w:tc>
        <w:tc>
          <w:tcPr>
            <w:tcW w:w="10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上蒜镇</w:t>
            </w:r>
          </w:p>
        </w:tc>
        <w:tc>
          <w:tcPr>
            <w:tcW w:w="659"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80.96</w:t>
            </w:r>
          </w:p>
        </w:tc>
        <w:tc>
          <w:tcPr>
            <w:tcW w:w="547"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17.00</w:t>
            </w:r>
          </w:p>
        </w:tc>
        <w:tc>
          <w:tcPr>
            <w:tcW w:w="569"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1.21</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2.02</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0.16</w:t>
            </w:r>
          </w:p>
        </w:tc>
        <w:tc>
          <w:tcPr>
            <w:tcW w:w="6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12.14</w:t>
            </w:r>
          </w:p>
        </w:tc>
      </w:tr>
      <w:tr>
        <w:tblPrEx>
          <w:tblCellMar>
            <w:top w:w="0" w:type="dxa"/>
            <w:left w:w="108" w:type="dxa"/>
            <w:bottom w:w="0" w:type="dxa"/>
            <w:right w:w="108" w:type="dxa"/>
          </w:tblCellMar>
        </w:tblPrEx>
        <w:trPr>
          <w:trHeight w:val="295" w:hRule="atLeast"/>
        </w:trPr>
        <w:tc>
          <w:tcPr>
            <w:tcW w:w="39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6</w:t>
            </w:r>
          </w:p>
        </w:tc>
        <w:tc>
          <w:tcPr>
            <w:tcW w:w="10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六街镇</w:t>
            </w:r>
          </w:p>
        </w:tc>
        <w:tc>
          <w:tcPr>
            <w:tcW w:w="659"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110.53</w:t>
            </w:r>
          </w:p>
        </w:tc>
        <w:tc>
          <w:tcPr>
            <w:tcW w:w="547"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23.21</w:t>
            </w:r>
          </w:p>
        </w:tc>
        <w:tc>
          <w:tcPr>
            <w:tcW w:w="569"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1.66</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2.76</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0.22</w:t>
            </w:r>
          </w:p>
        </w:tc>
        <w:tc>
          <w:tcPr>
            <w:tcW w:w="6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16.58</w:t>
            </w:r>
          </w:p>
        </w:tc>
      </w:tr>
      <w:tr>
        <w:tblPrEx>
          <w:tblCellMar>
            <w:top w:w="0" w:type="dxa"/>
            <w:left w:w="108" w:type="dxa"/>
            <w:bottom w:w="0" w:type="dxa"/>
            <w:right w:w="108" w:type="dxa"/>
          </w:tblCellMar>
        </w:tblPrEx>
        <w:trPr>
          <w:trHeight w:val="450" w:hRule="atLeast"/>
        </w:trPr>
        <w:tc>
          <w:tcPr>
            <w:tcW w:w="39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7</w:t>
            </w:r>
          </w:p>
        </w:tc>
        <w:tc>
          <w:tcPr>
            <w:tcW w:w="10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rFonts w:hint="eastAsia"/>
              </w:rPr>
              <w:t>双河彝族乡</w:t>
            </w:r>
          </w:p>
        </w:tc>
        <w:tc>
          <w:tcPr>
            <w:tcW w:w="659"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131.16</w:t>
            </w:r>
          </w:p>
        </w:tc>
        <w:tc>
          <w:tcPr>
            <w:tcW w:w="547"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27.54</w:t>
            </w:r>
          </w:p>
        </w:tc>
        <w:tc>
          <w:tcPr>
            <w:tcW w:w="569"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1.97</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3.28</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0.26</w:t>
            </w:r>
          </w:p>
        </w:tc>
        <w:tc>
          <w:tcPr>
            <w:tcW w:w="6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19.67</w:t>
            </w:r>
          </w:p>
        </w:tc>
      </w:tr>
      <w:tr>
        <w:tblPrEx>
          <w:tblCellMar>
            <w:top w:w="0" w:type="dxa"/>
            <w:left w:w="108" w:type="dxa"/>
            <w:bottom w:w="0" w:type="dxa"/>
            <w:right w:w="108" w:type="dxa"/>
          </w:tblCellMar>
        </w:tblPrEx>
        <w:trPr>
          <w:trHeight w:val="223" w:hRule="atLeast"/>
        </w:trPr>
        <w:tc>
          <w:tcPr>
            <w:tcW w:w="39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kern w:val="0"/>
              </w:rPr>
              <w:t>8</w:t>
            </w:r>
          </w:p>
        </w:tc>
        <w:tc>
          <w:tcPr>
            <w:tcW w:w="10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rPr>
            </w:pPr>
            <w:r>
              <w:rPr>
                <w:rFonts w:hint="eastAsia"/>
              </w:rPr>
              <w:t>夕阳彝族乡</w:t>
            </w:r>
          </w:p>
        </w:tc>
        <w:tc>
          <w:tcPr>
            <w:tcW w:w="659" w:type="pct"/>
            <w:tcBorders>
              <w:top w:val="nil"/>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203.12</w:t>
            </w:r>
          </w:p>
        </w:tc>
        <w:tc>
          <w:tcPr>
            <w:tcW w:w="547"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42.65</w:t>
            </w:r>
          </w:p>
        </w:tc>
        <w:tc>
          <w:tcPr>
            <w:tcW w:w="569"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3.05</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5.08</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0.41</w:t>
            </w:r>
          </w:p>
        </w:tc>
        <w:tc>
          <w:tcPr>
            <w:tcW w:w="6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kern w:val="0"/>
              </w:rPr>
            </w:pPr>
            <w:r>
              <w:rPr>
                <w:rFonts w:hint="eastAsia"/>
                <w:kern w:val="0"/>
              </w:rPr>
              <w:t>30.47</w:t>
            </w:r>
          </w:p>
        </w:tc>
      </w:tr>
      <w:tr>
        <w:tblPrEx>
          <w:tblCellMar>
            <w:top w:w="0" w:type="dxa"/>
            <w:left w:w="108" w:type="dxa"/>
            <w:bottom w:w="0" w:type="dxa"/>
            <w:right w:w="108" w:type="dxa"/>
          </w:tblCellMar>
        </w:tblPrEx>
        <w:trPr>
          <w:trHeight w:val="279" w:hRule="atLeast"/>
        </w:trPr>
        <w:tc>
          <w:tcPr>
            <w:tcW w:w="39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b/>
                <w:bCs/>
                <w:kern w:val="0"/>
              </w:rPr>
            </w:pPr>
            <w:r>
              <w:rPr>
                <w:b/>
                <w:bCs/>
                <w:kern w:val="0"/>
              </w:rPr>
              <w:t>11</w:t>
            </w:r>
          </w:p>
        </w:tc>
        <w:tc>
          <w:tcPr>
            <w:tcW w:w="10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b/>
                <w:bCs/>
                <w:kern w:val="0"/>
              </w:rPr>
            </w:pPr>
            <w:r>
              <w:rPr>
                <w:b/>
                <w:bCs/>
                <w:kern w:val="0"/>
              </w:rPr>
              <w:t>合计</w:t>
            </w:r>
          </w:p>
        </w:tc>
        <w:tc>
          <w:tcPr>
            <w:tcW w:w="659" w:type="pct"/>
            <w:tcBorders>
              <w:top w:val="nil"/>
              <w:left w:val="nil"/>
              <w:bottom w:val="single" w:color="auto" w:sz="4" w:space="0"/>
              <w:right w:val="single" w:color="auto" w:sz="4" w:space="0"/>
            </w:tcBorders>
          </w:tcPr>
          <w:p>
            <w:pPr>
              <w:widowControl/>
              <w:spacing w:line="240" w:lineRule="auto"/>
              <w:ind w:firstLine="0" w:firstLineChars="0"/>
              <w:jc w:val="center"/>
              <w:rPr>
                <w:b/>
                <w:bCs/>
                <w:kern w:val="0"/>
              </w:rPr>
            </w:pPr>
            <w:r>
              <w:rPr>
                <w:rFonts w:hint="eastAsia"/>
                <w:b/>
                <w:bCs/>
                <w:kern w:val="0"/>
              </w:rPr>
              <w:t>1594.83</w:t>
            </w:r>
          </w:p>
        </w:tc>
        <w:tc>
          <w:tcPr>
            <w:tcW w:w="547" w:type="pct"/>
            <w:tcBorders>
              <w:top w:val="single" w:color="auto" w:sz="4" w:space="0"/>
              <w:left w:val="nil"/>
              <w:bottom w:val="single" w:color="auto" w:sz="4" w:space="0"/>
              <w:right w:val="single" w:color="auto" w:sz="4" w:space="0"/>
            </w:tcBorders>
          </w:tcPr>
          <w:p>
            <w:pPr>
              <w:widowControl/>
              <w:spacing w:line="240" w:lineRule="auto"/>
              <w:ind w:firstLine="0" w:firstLineChars="0"/>
              <w:jc w:val="center"/>
              <w:rPr>
                <w:b/>
                <w:bCs/>
                <w:kern w:val="0"/>
              </w:rPr>
            </w:pPr>
            <w:r>
              <w:rPr>
                <w:rFonts w:hint="eastAsia"/>
                <w:b/>
                <w:bCs/>
                <w:kern w:val="0"/>
              </w:rPr>
              <w:t>334.91</w:t>
            </w:r>
          </w:p>
        </w:tc>
        <w:tc>
          <w:tcPr>
            <w:tcW w:w="569"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b/>
                <w:bCs/>
                <w:kern w:val="0"/>
              </w:rPr>
            </w:pPr>
            <w:r>
              <w:rPr>
                <w:rFonts w:hint="eastAsia"/>
                <w:b/>
                <w:bCs/>
                <w:kern w:val="0"/>
              </w:rPr>
              <w:t>23.92</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b/>
                <w:bCs/>
                <w:kern w:val="0"/>
              </w:rPr>
            </w:pPr>
            <w:r>
              <w:rPr>
                <w:rFonts w:hint="eastAsia"/>
                <w:b/>
                <w:bCs/>
                <w:kern w:val="0"/>
              </w:rPr>
              <w:t>39.87</w:t>
            </w:r>
          </w:p>
        </w:tc>
        <w:tc>
          <w:tcPr>
            <w:tcW w:w="5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b/>
                <w:bCs/>
                <w:kern w:val="0"/>
              </w:rPr>
            </w:pPr>
            <w:r>
              <w:rPr>
                <w:rFonts w:hint="eastAsia"/>
                <w:b/>
                <w:bCs/>
                <w:kern w:val="0"/>
              </w:rPr>
              <w:t>3.19</w:t>
            </w:r>
          </w:p>
        </w:tc>
        <w:tc>
          <w:tcPr>
            <w:tcW w:w="647" w:type="pct"/>
            <w:tcBorders>
              <w:top w:val="nil"/>
              <w:left w:val="single" w:color="auto" w:sz="4" w:space="0"/>
              <w:bottom w:val="single" w:color="auto" w:sz="4" w:space="0"/>
              <w:right w:val="single" w:color="auto" w:sz="4" w:space="0"/>
            </w:tcBorders>
          </w:tcPr>
          <w:p>
            <w:pPr>
              <w:widowControl/>
              <w:spacing w:line="240" w:lineRule="auto"/>
              <w:ind w:firstLine="0" w:firstLineChars="0"/>
              <w:jc w:val="center"/>
              <w:rPr>
                <w:b/>
                <w:bCs/>
                <w:kern w:val="0"/>
              </w:rPr>
            </w:pPr>
            <w:r>
              <w:rPr>
                <w:rFonts w:hint="eastAsia"/>
                <w:b/>
                <w:bCs/>
                <w:kern w:val="0"/>
              </w:rPr>
              <w:t>239.22</w:t>
            </w:r>
          </w:p>
        </w:tc>
      </w:tr>
    </w:tbl>
    <w:p>
      <w:pPr>
        <w:adjustRightInd w:val="0"/>
        <w:snapToGrid w:val="0"/>
        <w:ind w:firstLine="643"/>
        <w:jc w:val="center"/>
        <w:rPr>
          <w:b/>
          <w:sz w:val="32"/>
          <w:szCs w:val="30"/>
        </w:rPr>
      </w:pPr>
    </w:p>
    <w:p>
      <w:pPr>
        <w:adjustRightInd w:val="0"/>
        <w:snapToGrid w:val="0"/>
        <w:ind w:firstLine="560"/>
      </w:pPr>
      <w:r>
        <w:t>从生活污水污染负荷排放量可以看出，污染负荷排放量最严重的为</w:t>
      </w:r>
      <w:r>
        <w:rPr>
          <w:rFonts w:hint="eastAsia"/>
        </w:rPr>
        <w:t>晋城镇</w:t>
      </w:r>
      <w:r>
        <w:t>，其次是</w:t>
      </w:r>
      <w:r>
        <w:rPr>
          <w:rFonts w:hint="eastAsia"/>
        </w:rPr>
        <w:t>宝峰</w:t>
      </w:r>
      <w:r>
        <w:t>街道办事处、</w:t>
      </w:r>
      <w:r>
        <w:rPr>
          <w:rFonts w:hint="eastAsia"/>
        </w:rPr>
        <w:t>昆阳</w:t>
      </w:r>
      <w:r>
        <w:t>街道办事处。</w:t>
      </w:r>
    </w:p>
    <w:p>
      <w:pPr>
        <w:pStyle w:val="3"/>
      </w:pPr>
      <w:bookmarkStart w:id="43" w:name="_Toc43042522"/>
      <w:r>
        <w:rPr>
          <w:rFonts w:hint="eastAsia"/>
        </w:rPr>
        <w:t>3.6农村生活污水治理存在问题及需求分析</w:t>
      </w:r>
      <w:bookmarkEnd w:id="43"/>
    </w:p>
    <w:p>
      <w:pPr>
        <w:pStyle w:val="4"/>
      </w:pPr>
      <w:bookmarkStart w:id="44" w:name="_Toc43042523"/>
      <w:r>
        <w:rPr>
          <w:rFonts w:hint="eastAsia"/>
        </w:rPr>
        <w:t>3.6.1 晋宁区农村生活污水污染特点分析</w:t>
      </w:r>
      <w:bookmarkEnd w:id="44"/>
    </w:p>
    <w:p>
      <w:pPr>
        <w:adjustRightInd w:val="0"/>
        <w:snapToGrid w:val="0"/>
        <w:ind w:firstLine="560"/>
      </w:pPr>
      <w:r>
        <w:t>（1）污水量</w:t>
      </w:r>
    </w:p>
    <w:p>
      <w:pPr>
        <w:adjustRightInd w:val="0"/>
        <w:snapToGrid w:val="0"/>
        <w:ind w:firstLine="560"/>
      </w:pPr>
      <w:r>
        <w:t>从村庄调查和各自然村污染负荷计算分析，晋宁区绝大多数村庄规模较小，且分布较散，单个自然村污水量存在空间分布散、时间分布波动大的特点。</w:t>
      </w:r>
    </w:p>
    <w:p>
      <w:pPr>
        <w:adjustRightInd w:val="0"/>
        <w:snapToGrid w:val="0"/>
        <w:ind w:firstLine="560"/>
      </w:pPr>
      <w:r>
        <w:t>（2）污水浓度</w:t>
      </w:r>
    </w:p>
    <w:p>
      <w:pPr>
        <w:adjustRightInd w:val="0"/>
        <w:snapToGrid w:val="0"/>
        <w:ind w:firstLine="560"/>
      </w:pPr>
      <w:r>
        <w:t>晋宁区各村庄现状畜禽养殖量较小，其污水浓度总体变化较小，且浓度偏低，影响生活污水浓度的最主要因素与村庄基础设施建设水平的高低有关，其主要影响因素为新房建设配套化粪池的数量和卫生厕所改造的情况有关，由于卫生厕所改造刚起步，因此，最主要的影响因素为化粪池建设数量的多少。</w:t>
      </w:r>
    </w:p>
    <w:p>
      <w:pPr>
        <w:ind w:firstLine="560"/>
      </w:pPr>
    </w:p>
    <w:p>
      <w:pPr>
        <w:pStyle w:val="4"/>
      </w:pPr>
      <w:bookmarkStart w:id="45" w:name="_Toc43042524"/>
      <w:r>
        <w:rPr>
          <w:rFonts w:hint="eastAsia"/>
        </w:rPr>
        <w:t>3.6.2 已建污水治理设施存在问题及需求分析</w:t>
      </w:r>
      <w:bookmarkEnd w:id="45"/>
    </w:p>
    <w:p>
      <w:pPr>
        <w:adjustRightInd w:val="0"/>
        <w:snapToGrid w:val="0"/>
        <w:ind w:firstLine="560"/>
      </w:pPr>
      <w:r>
        <w:t>（1）缺乏系统性</w:t>
      </w:r>
    </w:p>
    <w:p>
      <w:pPr>
        <w:adjustRightInd w:val="0"/>
        <w:snapToGrid w:val="0"/>
        <w:ind w:firstLine="560"/>
      </w:pPr>
      <w:r>
        <w:t>受过往农村环境综合治理性工程资金少、时间间隔长、单个村庄资金投入不足的影响，已建农村生活污水治理设施布点分散，彼此之间也缺少相互联系，几乎无系统性而言。</w:t>
      </w:r>
    </w:p>
    <w:p>
      <w:pPr>
        <w:adjustRightInd w:val="0"/>
        <w:snapToGrid w:val="0"/>
        <w:ind w:firstLine="560"/>
      </w:pPr>
      <w:r>
        <w:t>（2）功能性不足</w:t>
      </w:r>
    </w:p>
    <w:p>
      <w:pPr>
        <w:adjustRightInd w:val="0"/>
        <w:snapToGrid w:val="0"/>
        <w:ind w:firstLine="560"/>
      </w:pPr>
      <w:r>
        <w:t>农村生活污水从雨污排水体制到现在提倡的分流制，经历了近10年的历程，其末端配套污水处理设施也反复在污染物削减和达标排放之间彷徨不定，这些问题在晋宁区已建农村生活污水处理设施的具体体现为，排水体制以雨污合流为主和末端处理系统以污染物削减为主，总结下来就是一刀切，建成后的运行效果，与预期差距较大。</w:t>
      </w:r>
    </w:p>
    <w:p>
      <w:pPr>
        <w:adjustRightInd w:val="0"/>
        <w:snapToGrid w:val="0"/>
        <w:ind w:firstLine="560"/>
      </w:pPr>
      <w:r>
        <w:t>（3）针对性不够</w:t>
      </w:r>
    </w:p>
    <w:p>
      <w:pPr>
        <w:adjustRightInd w:val="0"/>
        <w:snapToGrid w:val="0"/>
        <w:ind w:firstLine="560"/>
      </w:pPr>
      <w:r>
        <w:t>晋宁区村庄数量总体较少，但人口数量比例大，邻水的村庄数量和人口数量较少，加上多数村庄复杂的地形地貌、村庄自身对污水治理的需求不同和村庄所处环境需要污水排放标准的差别，一刀切的农村生活污水治理模式，其针对性明显不够。</w:t>
      </w:r>
    </w:p>
    <w:p>
      <w:pPr>
        <w:adjustRightInd w:val="0"/>
        <w:snapToGrid w:val="0"/>
        <w:ind w:firstLine="560"/>
      </w:pPr>
      <w:r>
        <w:t>（4）运维管理保障性差</w:t>
      </w:r>
    </w:p>
    <w:p>
      <w:pPr>
        <w:adjustRightInd w:val="0"/>
        <w:snapToGrid w:val="0"/>
        <w:ind w:firstLine="560"/>
      </w:pPr>
      <w:r>
        <w:t>晋宁区内已建村庄生活污水治理设施的运维</w:t>
      </w:r>
      <w:r>
        <w:rPr>
          <w:szCs w:val="28"/>
        </w:rPr>
        <w:t>仅有少部分</w:t>
      </w:r>
      <w:r>
        <w:rPr>
          <w:rFonts w:hint="eastAsia"/>
          <w:szCs w:val="28"/>
        </w:rPr>
        <w:t>委托</w:t>
      </w:r>
      <w:r>
        <w:rPr>
          <w:szCs w:val="28"/>
        </w:rPr>
        <w:t>昆明滇池水务股份有限公司进行</w:t>
      </w:r>
      <w:r>
        <w:rPr>
          <w:rFonts w:hint="eastAsia"/>
          <w:szCs w:val="28"/>
        </w:rPr>
        <w:t>，</w:t>
      </w:r>
      <w:r>
        <w:rPr>
          <w:szCs w:val="28"/>
        </w:rPr>
        <w:t>多数污水治理设施的运维是交由</w:t>
      </w:r>
      <w:r>
        <w:t>当地乡镇或社区政府，然后安排一名兼职或村民管理，其管理多停留在栅渣及漂浮垃圾打捞上，运维管理水平低，污水处理设施难以持续有效地发挥作用。</w:t>
      </w:r>
    </w:p>
    <w:p>
      <w:pPr>
        <w:adjustRightInd w:val="0"/>
        <w:snapToGrid w:val="0"/>
        <w:ind w:firstLine="560"/>
      </w:pPr>
      <w:r>
        <w:t>（5）资金投入力度不够</w:t>
      </w:r>
    </w:p>
    <w:p>
      <w:pPr>
        <w:adjustRightInd w:val="0"/>
        <w:snapToGrid w:val="0"/>
        <w:ind w:firstLine="560"/>
      </w:pPr>
      <w:r>
        <w:t>由于晋宁区农村数量多、分布广、人口众多，后期运维资金投入力度不足，污水处理设施无法保证正常运行，污水处理系统处于停运</w:t>
      </w:r>
      <w:r>
        <w:rPr>
          <w:rFonts w:hint="eastAsia"/>
        </w:rPr>
        <w:t>、</w:t>
      </w:r>
      <w:r>
        <w:t>需改造修缮状态，没有达到污水处理要求。</w:t>
      </w:r>
    </w:p>
    <w:p>
      <w:pPr>
        <w:ind w:firstLine="560"/>
      </w:pPr>
    </w:p>
    <w:p>
      <w:pPr>
        <w:pStyle w:val="4"/>
      </w:pPr>
      <w:bookmarkStart w:id="46" w:name="_Toc43042525"/>
      <w:r>
        <w:rPr>
          <w:rFonts w:hint="eastAsia"/>
        </w:rPr>
        <w:t>3.6.3 规划污水治理设施需求分析</w:t>
      </w:r>
      <w:bookmarkEnd w:id="46"/>
    </w:p>
    <w:p>
      <w:pPr>
        <w:adjustRightInd w:val="0"/>
        <w:snapToGrid w:val="0"/>
        <w:ind w:firstLine="560"/>
      </w:pPr>
      <w:r>
        <w:t>（1）需要统一思想，量力而行</w:t>
      </w:r>
    </w:p>
    <w:p>
      <w:pPr>
        <w:adjustRightInd w:val="0"/>
        <w:snapToGrid w:val="0"/>
        <w:ind w:firstLine="560"/>
      </w:pPr>
      <w:r>
        <w:t>晋宁区全区</w:t>
      </w:r>
      <w:r>
        <w:rPr>
          <w:rFonts w:hint="eastAsia"/>
        </w:rPr>
        <w:t>2</w:t>
      </w:r>
      <w:r>
        <w:t>乡</w:t>
      </w:r>
      <w:r>
        <w:rPr>
          <w:rFonts w:hint="eastAsia"/>
        </w:rPr>
        <w:t>4</w:t>
      </w:r>
      <w:r>
        <w:t>镇2个街道办共计</w:t>
      </w:r>
      <w:r>
        <w:rPr>
          <w:rFonts w:hint="eastAsia"/>
        </w:rPr>
        <w:t>125</w:t>
      </w:r>
      <w:r>
        <w:t>个</w:t>
      </w:r>
      <w:r>
        <w:rPr>
          <w:rFonts w:hint="eastAsia"/>
        </w:rPr>
        <w:t>村委会、494个自然村</w:t>
      </w:r>
      <w:r>
        <w:t>，乡村农户</w:t>
      </w:r>
      <w:r>
        <w:rPr>
          <w:rFonts w:hint="eastAsia"/>
        </w:rPr>
        <w:t>68427</w:t>
      </w:r>
      <w:r>
        <w:t>户、</w:t>
      </w:r>
      <w:r>
        <w:rPr>
          <w:rFonts w:hint="eastAsia"/>
        </w:rPr>
        <w:t>225801</w:t>
      </w:r>
      <w:r>
        <w:t>人</w:t>
      </w:r>
      <w:r>
        <w:rPr>
          <w:rFonts w:hint="eastAsia"/>
        </w:rPr>
        <w:t>，</w:t>
      </w:r>
      <w:r>
        <w:t>如若短期内进行全覆盖治理，资金问题难以解决，考虑到资金缺口问题，放眼未来10到20年，全区上下，需要统一思想，“统筹规划、分期分步、量力而行”，制定合理的规划目标。</w:t>
      </w:r>
    </w:p>
    <w:p>
      <w:pPr>
        <w:adjustRightInd w:val="0"/>
        <w:snapToGrid w:val="0"/>
        <w:ind w:firstLine="560"/>
      </w:pPr>
      <w:r>
        <w:t>（2）需要对规划落实的长期性有充分的思想准备</w:t>
      </w:r>
    </w:p>
    <w:p>
      <w:pPr>
        <w:adjustRightInd w:val="0"/>
        <w:snapToGrid w:val="0"/>
        <w:ind w:firstLine="560"/>
      </w:pPr>
      <w:r>
        <w:t>根据规划指南，近期为2020年，时间紧、资金有限，能够实施农村生活污水治理的村庄不多，因此，需要把大量急需治理的村庄安排至中、远期，甚至远景规划中。</w:t>
      </w:r>
    </w:p>
    <w:p>
      <w:pPr>
        <w:adjustRightInd w:val="0"/>
        <w:snapToGrid w:val="0"/>
        <w:ind w:firstLine="560"/>
      </w:pPr>
      <w:r>
        <w:t>（3）需要多方开拓建设资金筹集渠道</w:t>
      </w:r>
    </w:p>
    <w:p>
      <w:pPr>
        <w:adjustRightInd w:val="0"/>
        <w:snapToGrid w:val="0"/>
        <w:ind w:firstLine="560"/>
      </w:pPr>
      <w:r>
        <w:t>传统的资金筹措方式主要是地方各部门向各上级机关申请，以中央为主、省级为辅、以下各级地方政府适当配套，资金量有限，且难以整合、预测、评估，因此，针对规划拟建的农村生活污水治理项目，首先需要对项目的申请进行整合，其次需要积极开拓其他渠道资金，如贷款、引入第三方建设等。</w:t>
      </w:r>
    </w:p>
    <w:p>
      <w:pPr>
        <w:adjustRightInd w:val="0"/>
        <w:snapToGrid w:val="0"/>
        <w:ind w:firstLine="560"/>
      </w:pPr>
      <w:r>
        <w:t>（4）需要</w:t>
      </w:r>
      <w:r>
        <w:rPr>
          <w:rFonts w:hint="eastAsia"/>
        </w:rPr>
        <w:t>提升</w:t>
      </w:r>
      <w:r>
        <w:t>第三方运营管理模式的覆盖率</w:t>
      </w:r>
    </w:p>
    <w:p>
      <w:pPr>
        <w:adjustRightInd w:val="0"/>
        <w:snapToGrid w:val="0"/>
        <w:ind w:firstLine="560"/>
      </w:pPr>
      <w:r>
        <w:t>目前晋宁区仅有</w:t>
      </w:r>
      <w:r>
        <w:rPr>
          <w:rFonts w:hint="eastAsia"/>
        </w:rPr>
        <w:t>28%</w:t>
      </w:r>
      <w:r>
        <w:t>的污水治理设施交由第三方进行运维工作</w:t>
      </w:r>
      <w:r>
        <w:rPr>
          <w:rFonts w:hint="eastAsia"/>
        </w:rPr>
        <w:t>，</w:t>
      </w:r>
      <w:r>
        <w:t>多数</w:t>
      </w:r>
      <w:r>
        <w:rPr>
          <w:szCs w:val="28"/>
        </w:rPr>
        <w:t>的设施运维是交由</w:t>
      </w:r>
      <w:r>
        <w:t>当地乡镇或社区政府进行</w:t>
      </w:r>
      <w:r>
        <w:rPr>
          <w:rFonts w:hint="eastAsia"/>
        </w:rPr>
        <w:t>，</w:t>
      </w:r>
      <w:r>
        <w:t>而现有的属地自行运行管护模式，存在问题颇多，最主要的问题体现在运维资金和运维专业水平的欠缺上，努力提升第三方运行管护模式的覆盖率，以政府购买服务方式，集中有限的运维资金，提高运维的专业性。</w:t>
      </w:r>
    </w:p>
    <w:p>
      <w:pPr>
        <w:ind w:firstLine="560"/>
      </w:pPr>
    </w:p>
    <w:p>
      <w:pPr>
        <w:widowControl/>
        <w:spacing w:line="240" w:lineRule="auto"/>
        <w:ind w:firstLine="0" w:firstLineChars="0"/>
        <w:jc w:val="left"/>
        <w:rPr>
          <w:b/>
          <w:bCs/>
          <w:szCs w:val="32"/>
        </w:rPr>
      </w:pPr>
      <w:r>
        <w:br w:type="page"/>
      </w:r>
    </w:p>
    <w:p>
      <w:pPr>
        <w:pStyle w:val="2"/>
        <w:ind w:firstLine="199" w:firstLineChars="45"/>
        <w:jc w:val="both"/>
      </w:pPr>
      <w:bookmarkStart w:id="47" w:name="_Toc43042526"/>
      <w:r>
        <w:t>第四章污水处理设施建设</w:t>
      </w:r>
      <w:bookmarkEnd w:id="47"/>
    </w:p>
    <w:p>
      <w:pPr>
        <w:spacing w:beforeLines="50"/>
        <w:ind w:firstLine="198" w:firstLineChars="62"/>
        <w:jc w:val="left"/>
        <w:outlineLvl w:val="1"/>
        <w:rPr>
          <w:rFonts w:eastAsia="方正黑体_GBK"/>
          <w:b/>
          <w:sz w:val="32"/>
          <w:szCs w:val="32"/>
        </w:rPr>
      </w:pPr>
      <w:bookmarkStart w:id="48" w:name="_Toc43042527"/>
      <w:r>
        <w:rPr>
          <w:rFonts w:eastAsia="方正黑体_GBK"/>
          <w:b/>
          <w:sz w:val="32"/>
          <w:szCs w:val="32"/>
        </w:rPr>
        <w:t>4.1总体布局</w:t>
      </w:r>
      <w:bookmarkEnd w:id="48"/>
    </w:p>
    <w:p>
      <w:pPr>
        <w:pStyle w:val="4"/>
        <w:widowControl/>
        <w:tabs>
          <w:tab w:val="left" w:pos="425"/>
        </w:tabs>
        <w:adjustRightInd w:val="0"/>
        <w:snapToGrid w:val="0"/>
        <w:spacing w:before="0" w:after="0" w:line="600" w:lineRule="exact"/>
        <w:jc w:val="left"/>
        <w:rPr>
          <w:rFonts w:eastAsia="方正楷体_GBK"/>
          <w:kern w:val="0"/>
          <w:sz w:val="30"/>
        </w:rPr>
      </w:pPr>
      <w:bookmarkStart w:id="49" w:name="_Toc43042528"/>
      <w:r>
        <w:rPr>
          <w:rFonts w:eastAsia="方正楷体_GBK"/>
          <w:kern w:val="0"/>
          <w:sz w:val="30"/>
        </w:rPr>
        <w:t>4.1.1</w:t>
      </w:r>
      <w:r>
        <w:rPr>
          <w:rFonts w:hint="eastAsia" w:eastAsia="方正楷体_GBK"/>
          <w:kern w:val="0"/>
          <w:sz w:val="30"/>
        </w:rPr>
        <w:t>布局原</w:t>
      </w:r>
      <w:r>
        <w:rPr>
          <w:rFonts w:eastAsia="方正楷体_GBK"/>
          <w:kern w:val="0"/>
          <w:sz w:val="30"/>
        </w:rPr>
        <w:t>则</w:t>
      </w:r>
      <w:bookmarkEnd w:id="49"/>
    </w:p>
    <w:p>
      <w:pPr>
        <w:adjustRightInd w:val="0"/>
        <w:snapToGrid w:val="0"/>
        <w:ind w:firstLine="560"/>
        <w:rPr>
          <w:rFonts w:eastAsia="方正仿宋_GBK"/>
          <w:szCs w:val="28"/>
        </w:rPr>
      </w:pPr>
      <w:r>
        <w:rPr>
          <w:rFonts w:ascii="方正仿宋_GBK" w:hAnsi="方正仿宋_GBK" w:eastAsia="方正仿宋_GBK"/>
          <w:szCs w:val="28"/>
        </w:rPr>
        <w:t>（</w:t>
      </w:r>
      <w:r>
        <w:rPr>
          <w:rFonts w:eastAsia="方正仿宋_GBK"/>
          <w:szCs w:val="28"/>
        </w:rPr>
        <w:t>1</w:t>
      </w:r>
      <w:r>
        <w:rPr>
          <w:rFonts w:ascii="方正仿宋_GBK" w:hAnsi="方正仿宋_GBK" w:eastAsia="方正仿宋_GBK"/>
          <w:szCs w:val="28"/>
        </w:rPr>
        <w:t>）合理利用现有处理设施</w:t>
      </w:r>
      <w:r>
        <w:rPr>
          <w:rFonts w:ascii="MS Mincho" w:hAnsi="MS Mincho" w:eastAsia="MS Mincho" w:cs="MS Mincho"/>
          <w:szCs w:val="28"/>
        </w:rPr>
        <w:t>；</w:t>
      </w:r>
    </w:p>
    <w:p>
      <w:pPr>
        <w:adjustRightInd w:val="0"/>
        <w:snapToGrid w:val="0"/>
        <w:ind w:firstLine="560"/>
        <w:rPr>
          <w:rFonts w:eastAsia="方正仿宋_GBK"/>
          <w:szCs w:val="28"/>
        </w:rPr>
      </w:pPr>
      <w:r>
        <w:rPr>
          <w:rFonts w:ascii="方正仿宋_GBK" w:hAnsi="方正仿宋_GBK" w:eastAsia="方正仿宋_GBK"/>
          <w:szCs w:val="28"/>
        </w:rPr>
        <w:t>（</w:t>
      </w:r>
      <w:r>
        <w:rPr>
          <w:rFonts w:eastAsia="方正仿宋_GBK"/>
          <w:szCs w:val="28"/>
        </w:rPr>
        <w:t>2</w:t>
      </w:r>
      <w:r>
        <w:rPr>
          <w:rFonts w:ascii="方正仿宋_GBK" w:hAnsi="方正仿宋_GBK" w:eastAsia="方正仿宋_GBK"/>
          <w:szCs w:val="28"/>
        </w:rPr>
        <w:t>）分区分重点规划</w:t>
      </w:r>
      <w:r>
        <w:rPr>
          <w:rFonts w:ascii="MS Mincho" w:hAnsi="MS Mincho" w:eastAsia="MS Mincho" w:cs="MS Mincho"/>
          <w:szCs w:val="28"/>
        </w:rPr>
        <w:t>；</w:t>
      </w:r>
    </w:p>
    <w:p>
      <w:pPr>
        <w:adjustRightInd w:val="0"/>
        <w:snapToGrid w:val="0"/>
        <w:ind w:firstLine="560"/>
        <w:rPr>
          <w:rFonts w:eastAsia="方正仿宋_GBK"/>
          <w:szCs w:val="28"/>
        </w:rPr>
      </w:pPr>
      <w:r>
        <w:rPr>
          <w:rFonts w:ascii="方正仿宋_GBK" w:hAnsi="方正仿宋_GBK" w:eastAsia="方正仿宋_GBK"/>
          <w:szCs w:val="28"/>
        </w:rPr>
        <w:t>（</w:t>
      </w:r>
      <w:r>
        <w:rPr>
          <w:rFonts w:eastAsia="方正仿宋_GBK"/>
          <w:szCs w:val="28"/>
        </w:rPr>
        <w:t>3</w:t>
      </w:r>
      <w:r>
        <w:rPr>
          <w:rFonts w:ascii="方正仿宋_GBK" w:hAnsi="方正仿宋_GBK" w:eastAsia="方正仿宋_GBK"/>
          <w:szCs w:val="28"/>
        </w:rPr>
        <w:t>）统筹城乡发展，优先纳管。</w:t>
      </w:r>
    </w:p>
    <w:p>
      <w:pPr>
        <w:pStyle w:val="4"/>
        <w:widowControl/>
        <w:tabs>
          <w:tab w:val="left" w:pos="425"/>
        </w:tabs>
        <w:adjustRightInd w:val="0"/>
        <w:snapToGrid w:val="0"/>
        <w:spacing w:before="0" w:after="0" w:line="600" w:lineRule="exact"/>
        <w:jc w:val="left"/>
        <w:rPr>
          <w:rFonts w:eastAsia="方正楷体_GBK"/>
          <w:kern w:val="0"/>
          <w:sz w:val="30"/>
        </w:rPr>
      </w:pPr>
      <w:bookmarkStart w:id="50" w:name="_Toc43042529"/>
      <w:r>
        <w:rPr>
          <w:rFonts w:eastAsia="方正楷体_GBK"/>
          <w:kern w:val="0"/>
          <w:sz w:val="30"/>
        </w:rPr>
        <w:t>4.1.2村落分区分类</w:t>
      </w:r>
      <w:bookmarkEnd w:id="50"/>
    </w:p>
    <w:p>
      <w:pPr>
        <w:adjustRightInd w:val="0"/>
        <w:snapToGrid w:val="0"/>
        <w:ind w:firstLine="560"/>
        <w:rPr>
          <w:rFonts w:eastAsia="方正仿宋_GBK"/>
          <w:szCs w:val="28"/>
        </w:rPr>
      </w:pPr>
      <w:r>
        <w:rPr>
          <w:rFonts w:ascii="方正仿宋_GBK" w:hAnsi="方正仿宋_GBK" w:eastAsia="方正仿宋_GBK"/>
          <w:szCs w:val="28"/>
        </w:rPr>
        <w:t>根据分区规划思想，</w:t>
      </w:r>
      <w:r>
        <w:rPr>
          <w:rFonts w:hint="eastAsia" w:ascii="方正仿宋_GBK" w:hAnsi="方正仿宋_GBK" w:eastAsiaTheme="minorEastAsia"/>
          <w:szCs w:val="28"/>
        </w:rPr>
        <w:t>晋宁</w:t>
      </w:r>
      <w:r>
        <w:rPr>
          <w:rFonts w:ascii="方正仿宋_GBK" w:hAnsi="方正仿宋_GBK" w:eastAsia="方正仿宋_GBK"/>
          <w:szCs w:val="28"/>
        </w:rPr>
        <w:t>区分为重点建设村、生态敏感村和其他村庄三大类，详细分为，其各自特点分析如下</w:t>
      </w:r>
      <w:r>
        <w:rPr>
          <w:rFonts w:ascii="MS Mincho" w:hAnsi="MS Mincho" w:eastAsia="MS Mincho" w:cs="MS Mincho"/>
          <w:szCs w:val="28"/>
        </w:rPr>
        <w:t>：</w:t>
      </w:r>
    </w:p>
    <w:p>
      <w:pPr>
        <w:adjustRightInd w:val="0"/>
        <w:snapToGrid w:val="0"/>
        <w:ind w:firstLine="560"/>
        <w:rPr>
          <w:rFonts w:eastAsia="方正仿宋_GBK"/>
          <w:szCs w:val="28"/>
        </w:rPr>
      </w:pPr>
      <w:r>
        <w:rPr>
          <w:rFonts w:ascii="方正仿宋_GBK" w:hAnsi="方正仿宋_GBK" w:eastAsia="方正仿宋_GBK"/>
          <w:szCs w:val="28"/>
        </w:rPr>
        <w:t>（</w:t>
      </w:r>
      <w:r>
        <w:rPr>
          <w:rFonts w:eastAsia="方正仿宋_GBK"/>
          <w:szCs w:val="28"/>
        </w:rPr>
        <w:t>1</w:t>
      </w:r>
      <w:r>
        <w:rPr>
          <w:rFonts w:ascii="方正仿宋_GBK" w:hAnsi="方正仿宋_GBK" w:eastAsia="方正仿宋_GBK"/>
          <w:szCs w:val="28"/>
        </w:rPr>
        <w:t>）重点建设村：村落具有重要示范、辐射、引领意义的村庄</w:t>
      </w:r>
      <w:r>
        <w:rPr>
          <w:rFonts w:ascii="MS Mincho" w:hAnsi="MS Mincho" w:eastAsia="MS Mincho" w:cs="MS Mincho"/>
          <w:szCs w:val="28"/>
        </w:rPr>
        <w:t>。</w:t>
      </w:r>
    </w:p>
    <w:p>
      <w:pPr>
        <w:adjustRightInd w:val="0"/>
        <w:snapToGrid w:val="0"/>
        <w:ind w:firstLine="560"/>
        <w:rPr>
          <w:rFonts w:ascii="方正仿宋_GBK" w:hAnsi="方正仿宋_GBK" w:eastAsia="方正仿宋_GBK"/>
          <w:szCs w:val="28"/>
        </w:rPr>
      </w:pPr>
      <w:r>
        <w:rPr>
          <w:rFonts w:hint="eastAsia" w:ascii="方正仿宋_GBK" w:hAnsi="方正仿宋_GBK" w:eastAsiaTheme="minorEastAsia"/>
          <w:szCs w:val="28"/>
        </w:rPr>
        <w:t>①</w:t>
      </w:r>
      <w:r>
        <w:rPr>
          <w:rFonts w:ascii="方正仿宋_GBK" w:hAnsi="方正仿宋_GBK" w:eastAsia="方正仿宋_GBK"/>
          <w:szCs w:val="28"/>
        </w:rPr>
        <w:t>县城郊区村庄、乡镇周边村庄：紧邻</w:t>
      </w:r>
      <w:r>
        <w:rPr>
          <w:rFonts w:hint="eastAsia" w:ascii="方正仿宋_GBK" w:hAnsi="方正仿宋_GBK" w:eastAsiaTheme="minorEastAsia"/>
          <w:szCs w:val="28"/>
        </w:rPr>
        <w:t>晋宁</w:t>
      </w:r>
      <w:r>
        <w:rPr>
          <w:rFonts w:ascii="方正仿宋_GBK" w:hAnsi="方正仿宋_GBK" w:eastAsia="方正仿宋_GBK"/>
          <w:szCs w:val="28"/>
        </w:rPr>
        <w:t>区城区和各乡镇周边村庄，人口密集，在全区经济发展水平较高，基础设施好，能实现纳管。根据现场调查</w:t>
      </w:r>
      <w:r>
        <w:rPr>
          <w:rFonts w:hint="eastAsia" w:ascii="方正仿宋_GBK" w:hAnsi="方正仿宋_GBK" w:eastAsia="方正仿宋_GBK"/>
          <w:szCs w:val="28"/>
        </w:rPr>
        <w:t>情况及</w:t>
      </w:r>
      <w:r>
        <w:rPr>
          <w:rFonts w:hint="eastAsia" w:ascii="方正仿宋_GBK" w:hAnsi="方正仿宋_GBK" w:eastAsiaTheme="minorEastAsia"/>
          <w:szCs w:val="28"/>
        </w:rPr>
        <w:t>统计</w:t>
      </w:r>
      <w:r>
        <w:rPr>
          <w:rFonts w:hint="eastAsia" w:ascii="方正仿宋_GBK" w:hAnsi="方正仿宋_GBK" w:eastAsia="方正仿宋_GBK"/>
          <w:szCs w:val="28"/>
        </w:rPr>
        <w:t>，</w:t>
      </w:r>
      <w:r>
        <w:rPr>
          <w:rFonts w:ascii="方正仿宋_GBK" w:hAnsi="方正仿宋_GBK" w:eastAsia="方正仿宋_GBK"/>
          <w:szCs w:val="28"/>
        </w:rPr>
        <w:t>县城郊区</w:t>
      </w:r>
      <w:r>
        <w:rPr>
          <w:rFonts w:hint="eastAsia" w:ascii="方正仿宋_GBK" w:hAnsi="方正仿宋_GBK" w:eastAsia="方正仿宋_GBK"/>
          <w:szCs w:val="28"/>
        </w:rPr>
        <w:t>需要治理的</w:t>
      </w:r>
      <w:r>
        <w:rPr>
          <w:rFonts w:ascii="方正仿宋_GBK" w:hAnsi="方正仿宋_GBK" w:eastAsia="方正仿宋_GBK"/>
          <w:szCs w:val="28"/>
        </w:rPr>
        <w:t>村庄主要</w:t>
      </w:r>
      <w:r>
        <w:rPr>
          <w:rFonts w:hint="eastAsia" w:ascii="方正仿宋_GBK" w:hAnsi="方正仿宋_GBK" w:eastAsia="方正仿宋_GBK"/>
          <w:szCs w:val="28"/>
        </w:rPr>
        <w:t>包括昆阳</w:t>
      </w:r>
      <w:r>
        <w:rPr>
          <w:rFonts w:ascii="方正仿宋_GBK" w:hAnsi="方正仿宋_GBK" w:eastAsia="方正仿宋_GBK"/>
          <w:szCs w:val="28"/>
        </w:rPr>
        <w:t>街道办事处</w:t>
      </w:r>
      <w:r>
        <w:rPr>
          <w:rFonts w:hint="eastAsia" w:ascii="方正仿宋_GBK" w:hAnsi="方正仿宋_GBK" w:eastAsia="方正仿宋_GBK"/>
          <w:szCs w:val="28"/>
        </w:rPr>
        <w:t>的</w:t>
      </w:r>
      <w:r>
        <w:rPr>
          <w:rFonts w:ascii="方正仿宋_GBK" w:hAnsi="方正仿宋_GBK" w:eastAsia="方正仿宋_GBK"/>
          <w:szCs w:val="28"/>
        </w:rPr>
        <w:t>2个自然村</w:t>
      </w:r>
      <w:r>
        <w:rPr>
          <w:rFonts w:hint="eastAsia" w:ascii="方正仿宋_GBK" w:hAnsi="方正仿宋_GBK" w:eastAsia="方正仿宋_GBK"/>
          <w:szCs w:val="28"/>
        </w:rPr>
        <w:t>，乡镇周边需要治理的村庄主要包括晋城镇、二街镇和夕阳彝族乡的4个自然村</w:t>
      </w:r>
      <w:r>
        <w:rPr>
          <w:rFonts w:ascii="方正仿宋_GBK" w:hAnsi="方正仿宋_GBK" w:eastAsia="方正仿宋_GBK"/>
          <w:szCs w:val="28"/>
        </w:rPr>
        <w:t>。</w:t>
      </w:r>
    </w:p>
    <w:p>
      <w:pPr>
        <w:adjustRightInd w:val="0"/>
        <w:snapToGrid w:val="0"/>
        <w:ind w:firstLine="560"/>
        <w:rPr>
          <w:rFonts w:eastAsia="方正仿宋_GBK"/>
          <w:szCs w:val="28"/>
        </w:rPr>
      </w:pPr>
      <w:r>
        <w:rPr>
          <w:rFonts w:hint="eastAsia" w:ascii="方正仿宋_GBK" w:hAnsi="方正仿宋_GBK" w:eastAsiaTheme="minorEastAsia"/>
          <w:szCs w:val="28"/>
        </w:rPr>
        <w:t>②</w:t>
      </w:r>
      <w:r>
        <w:rPr>
          <w:rFonts w:ascii="方正仿宋_GBK" w:hAnsi="方正仿宋_GBK" w:eastAsia="方正仿宋_GBK"/>
          <w:szCs w:val="28"/>
        </w:rPr>
        <w:t>传统村、美丽乡村：是列入中国传统村落目录的村庄和列入云南省省级</w:t>
      </w:r>
      <w:r>
        <w:rPr>
          <w:rFonts w:hint="eastAsia" w:ascii="方正仿宋_GBK" w:hAnsi="方正仿宋_GBK" w:eastAsiaTheme="minorEastAsia"/>
          <w:szCs w:val="28"/>
        </w:rPr>
        <w:t>和州市级</w:t>
      </w:r>
      <w:r>
        <w:rPr>
          <w:rFonts w:ascii="方正仿宋_GBK" w:hAnsi="方正仿宋_GBK" w:eastAsia="方正仿宋_GBK"/>
          <w:szCs w:val="28"/>
        </w:rPr>
        <w:t>美丽乡村建设的村庄。村庄人口相对集中、村内整体环境卫生较好，基础设施较好。根据调查</w:t>
      </w:r>
      <w:r>
        <w:rPr>
          <w:rFonts w:hint="eastAsia" w:ascii="方正仿宋_GBK" w:hAnsi="方正仿宋_GBK" w:eastAsiaTheme="minorEastAsia"/>
          <w:szCs w:val="28"/>
        </w:rPr>
        <w:t>及统计</w:t>
      </w:r>
      <w:r>
        <w:rPr>
          <w:rFonts w:ascii="方正仿宋_GBK" w:hAnsi="方正仿宋_GBK" w:eastAsia="方正仿宋_GBK"/>
          <w:szCs w:val="28"/>
        </w:rPr>
        <w:t>，共有</w:t>
      </w:r>
      <w:r>
        <w:rPr>
          <w:rFonts w:hint="eastAsia" w:eastAsiaTheme="minorEastAsia"/>
          <w:szCs w:val="28"/>
        </w:rPr>
        <w:t>5</w:t>
      </w:r>
      <w:r>
        <w:rPr>
          <w:rFonts w:ascii="方正仿宋_GBK" w:hAnsi="方正仿宋_GBK" w:eastAsia="方正仿宋_GBK"/>
          <w:szCs w:val="28"/>
        </w:rPr>
        <w:t>个传统村落自然村，</w:t>
      </w:r>
      <w:r>
        <w:rPr>
          <w:rFonts w:eastAsia="方正仿宋_GBK"/>
          <w:szCs w:val="28"/>
        </w:rPr>
        <w:t>1</w:t>
      </w:r>
      <w:r>
        <w:rPr>
          <w:rFonts w:ascii="方正仿宋_GBK" w:hAnsi="方正仿宋_GBK" w:eastAsia="方正仿宋_GBK"/>
          <w:szCs w:val="28"/>
        </w:rPr>
        <w:t>个美丽</w:t>
      </w:r>
      <w:r>
        <w:rPr>
          <w:rFonts w:hint="eastAsia" w:ascii="方正仿宋_GBK" w:hAnsi="方正仿宋_GBK" w:eastAsiaTheme="minorEastAsia"/>
          <w:szCs w:val="28"/>
        </w:rPr>
        <w:t>乡村自然村</w:t>
      </w:r>
      <w:r>
        <w:rPr>
          <w:rFonts w:ascii="MS Mincho" w:hAnsi="MS Mincho" w:eastAsia="MS Mincho" w:cs="MS Mincho"/>
          <w:szCs w:val="28"/>
        </w:rPr>
        <w:t>。</w:t>
      </w:r>
    </w:p>
    <w:p>
      <w:pPr>
        <w:adjustRightInd w:val="0"/>
        <w:snapToGrid w:val="0"/>
        <w:ind w:firstLine="560"/>
        <w:rPr>
          <w:rFonts w:ascii="方正仿宋_GBK" w:hAnsi="方正仿宋_GBK" w:eastAsia="方正仿宋_GBK"/>
          <w:szCs w:val="28"/>
        </w:rPr>
      </w:pPr>
      <w:r>
        <w:rPr>
          <w:rFonts w:hint="eastAsia" w:ascii="方正仿宋_GBK" w:hAnsi="方正仿宋_GBK" w:eastAsiaTheme="minorEastAsia"/>
          <w:szCs w:val="28"/>
        </w:rPr>
        <w:t>③</w:t>
      </w:r>
      <w:r>
        <w:rPr>
          <w:rFonts w:ascii="方正仿宋_GBK" w:hAnsi="方正仿宋_GBK" w:eastAsia="方正仿宋_GBK"/>
          <w:szCs w:val="28"/>
        </w:rPr>
        <w:t>移民搬迁安置点：统一规划建设，地势相对较为平缓，路面硬化，人口集中，利于实现生活污水集中收集处理。</w:t>
      </w:r>
      <w:r>
        <w:rPr>
          <w:rFonts w:hint="eastAsia" w:ascii="方正仿宋_GBK" w:hAnsi="方正仿宋_GBK" w:eastAsia="方正仿宋_GBK"/>
          <w:szCs w:val="28"/>
        </w:rPr>
        <w:t>根据</w:t>
      </w:r>
      <w:r>
        <w:rPr>
          <w:rFonts w:hint="eastAsia" w:ascii="方正仿宋_GBK" w:hAnsi="方正仿宋_GBK" w:eastAsiaTheme="minorEastAsia"/>
          <w:szCs w:val="28"/>
        </w:rPr>
        <w:t>现场</w:t>
      </w:r>
      <w:r>
        <w:rPr>
          <w:rFonts w:hint="eastAsia" w:ascii="方正仿宋_GBK" w:hAnsi="方正仿宋_GBK" w:eastAsia="方正仿宋_GBK"/>
          <w:szCs w:val="28"/>
        </w:rPr>
        <w:t>调查和晋宁县城总体规划，</w:t>
      </w:r>
      <w:r>
        <w:rPr>
          <w:rFonts w:ascii="方正仿宋_GBK" w:hAnsi="方正仿宋_GBK" w:eastAsia="方正仿宋_GBK"/>
          <w:szCs w:val="28"/>
        </w:rPr>
        <w:t>共有</w:t>
      </w:r>
      <w:r>
        <w:rPr>
          <w:rFonts w:hint="eastAsia" w:ascii="方正仿宋_GBK" w:hAnsi="方正仿宋_GBK" w:eastAsia="方正仿宋_GBK"/>
          <w:szCs w:val="28"/>
        </w:rPr>
        <w:t>需要治理的</w:t>
      </w:r>
      <w:r>
        <w:rPr>
          <w:rFonts w:ascii="方正仿宋_GBK" w:hAnsi="方正仿宋_GBK" w:eastAsia="方正仿宋_GBK"/>
          <w:szCs w:val="28"/>
        </w:rPr>
        <w:t>易地移民搬迁安置点</w:t>
      </w:r>
      <w:r>
        <w:rPr>
          <w:rFonts w:hint="eastAsia" w:ascii="方正仿宋_GBK" w:hAnsi="方正仿宋_GBK" w:eastAsia="方正仿宋_GBK"/>
          <w:szCs w:val="28"/>
        </w:rPr>
        <w:t>6个</w:t>
      </w:r>
      <w:r>
        <w:rPr>
          <w:rFonts w:ascii="方正仿宋_GBK" w:hAnsi="方正仿宋_GBK" w:eastAsia="方正仿宋_GBK"/>
          <w:szCs w:val="28"/>
        </w:rPr>
        <w:t>。</w:t>
      </w:r>
    </w:p>
    <w:p>
      <w:pPr>
        <w:adjustRightInd w:val="0"/>
        <w:snapToGrid w:val="0"/>
        <w:ind w:firstLine="560"/>
        <w:rPr>
          <w:rFonts w:ascii="方正仿宋_GBK" w:hAnsi="方正仿宋_GBK" w:eastAsia="方正仿宋_GBK"/>
          <w:szCs w:val="28"/>
        </w:rPr>
      </w:pPr>
      <w:r>
        <w:rPr>
          <w:rFonts w:hint="eastAsia" w:ascii="方正仿宋_GBK" w:hAnsi="方正仿宋_GBK" w:eastAsiaTheme="minorEastAsia"/>
          <w:szCs w:val="28"/>
        </w:rPr>
        <w:t>④</w:t>
      </w:r>
      <w:r>
        <w:rPr>
          <w:rFonts w:ascii="方正仿宋_GBK" w:hAnsi="方正仿宋_GBK" w:eastAsia="方正仿宋_GBK"/>
          <w:szCs w:val="28"/>
        </w:rPr>
        <w:t>中心村：具有一定人口规模，公共设施较为齐全的农村社区，便于实现生活污水集中收集处理。</w:t>
      </w:r>
      <w:r>
        <w:rPr>
          <w:rFonts w:hint="eastAsia" w:ascii="方正仿宋_GBK" w:hAnsi="方正仿宋_GBK" w:eastAsiaTheme="minorEastAsia"/>
          <w:szCs w:val="28"/>
        </w:rPr>
        <w:t>根据现场调查和</w:t>
      </w:r>
      <w:r>
        <w:rPr>
          <w:rFonts w:hint="eastAsia" w:ascii="方正仿宋_GBK" w:hAnsi="方正仿宋_GBK" w:eastAsia="方正仿宋_GBK"/>
          <w:szCs w:val="28"/>
        </w:rPr>
        <w:t>晋宁县城总体规划</w:t>
      </w:r>
      <w:r>
        <w:rPr>
          <w:rFonts w:hint="eastAsia" w:ascii="方正仿宋_GBK" w:hAnsi="方正仿宋_GBK" w:eastAsiaTheme="minorEastAsia"/>
          <w:szCs w:val="28"/>
        </w:rPr>
        <w:t>，共有需要治理的中心村3个。</w:t>
      </w:r>
    </w:p>
    <w:p>
      <w:pPr>
        <w:adjustRightInd w:val="0"/>
        <w:snapToGrid w:val="0"/>
        <w:ind w:firstLine="560"/>
        <w:rPr>
          <w:rFonts w:eastAsia="方正仿宋_GBK"/>
          <w:szCs w:val="28"/>
        </w:rPr>
      </w:pPr>
      <w:r>
        <w:rPr>
          <w:rFonts w:ascii="方正仿宋_GBK" w:hAnsi="方正仿宋_GBK" w:eastAsia="方正仿宋_GBK"/>
          <w:szCs w:val="28"/>
        </w:rPr>
        <w:t>（</w:t>
      </w:r>
      <w:r>
        <w:rPr>
          <w:rFonts w:eastAsia="方正仿宋_GBK"/>
          <w:szCs w:val="28"/>
        </w:rPr>
        <w:t>2</w:t>
      </w:r>
      <w:r>
        <w:rPr>
          <w:rFonts w:ascii="方正仿宋_GBK" w:hAnsi="方正仿宋_GBK" w:eastAsia="方正仿宋_GBK"/>
          <w:szCs w:val="28"/>
        </w:rPr>
        <w:t>）生态敏感村：</w:t>
      </w:r>
      <w:r>
        <w:rPr>
          <w:rFonts w:hint="eastAsia" w:ascii="方正仿宋_GBK" w:hAnsi="方正仿宋_GBK" w:eastAsiaTheme="minorEastAsia"/>
          <w:szCs w:val="28"/>
        </w:rPr>
        <w:t>主要涉及饮用水源地保护区内</w:t>
      </w:r>
      <w:r>
        <w:rPr>
          <w:rFonts w:ascii="方正仿宋_GBK" w:hAnsi="方正仿宋_GBK" w:eastAsia="方正仿宋_GBK"/>
          <w:szCs w:val="28"/>
        </w:rPr>
        <w:t>村庄、</w:t>
      </w:r>
      <w:r>
        <w:rPr>
          <w:rFonts w:hint="eastAsia" w:ascii="方正仿宋_GBK" w:hAnsi="方正仿宋_GBK" w:eastAsiaTheme="minorEastAsia"/>
          <w:szCs w:val="28"/>
        </w:rPr>
        <w:t>滇池流域内村庄</w:t>
      </w:r>
      <w:r>
        <w:rPr>
          <w:rFonts w:ascii="MS Mincho" w:hAnsi="MS Mincho" w:eastAsia="MS Mincho" w:cs="MS Mincho"/>
          <w:szCs w:val="28"/>
        </w:rPr>
        <w:t>。</w:t>
      </w:r>
    </w:p>
    <w:p>
      <w:pPr>
        <w:adjustRightInd w:val="0"/>
        <w:snapToGrid w:val="0"/>
        <w:ind w:firstLine="560"/>
        <w:rPr>
          <w:rFonts w:eastAsia="方正仿宋_GBK"/>
          <w:szCs w:val="28"/>
        </w:rPr>
      </w:pPr>
      <w:r>
        <w:rPr>
          <w:rFonts w:ascii="Cambria Math" w:hAnsi="Cambria Math" w:eastAsia="方正仿宋_GBK" w:cs="Cambria Math"/>
          <w:szCs w:val="28"/>
        </w:rPr>
        <w:t>①</w:t>
      </w:r>
      <w:r>
        <w:rPr>
          <w:rFonts w:hint="eastAsia" w:ascii="方正仿宋_GBK" w:hAnsi="方正仿宋_GBK" w:eastAsiaTheme="minorEastAsia"/>
          <w:szCs w:val="28"/>
        </w:rPr>
        <w:t>饮用水源地保护区内</w:t>
      </w:r>
      <w:r>
        <w:rPr>
          <w:rFonts w:ascii="方正仿宋_GBK" w:hAnsi="方正仿宋_GBK" w:eastAsia="方正仿宋_GBK"/>
          <w:szCs w:val="28"/>
        </w:rPr>
        <w:t>村庄：</w:t>
      </w:r>
      <w:r>
        <w:rPr>
          <w:rFonts w:hint="eastAsia" w:ascii="方正仿宋_GBK" w:hAnsi="方正仿宋_GBK" w:eastAsiaTheme="minorEastAsia"/>
          <w:szCs w:val="28"/>
        </w:rPr>
        <w:t>主要包括柴河水库、大河水库、洛武河水库和双龙水库4个晋宁区饮用水源地水库保护区内的9个自然村。涉及自然村主要分布于宝峰街道和六街镇。</w:t>
      </w:r>
      <w:r>
        <w:rPr>
          <w:rFonts w:ascii="方正仿宋_GBK" w:hAnsi="方正仿宋_GBK" w:eastAsiaTheme="minorEastAsia"/>
          <w:szCs w:val="28"/>
        </w:rPr>
        <w:t>由于</w:t>
      </w:r>
      <w:r>
        <w:rPr>
          <w:rFonts w:hint="eastAsia" w:ascii="方正仿宋_GBK" w:hAnsi="方正仿宋_GBK" w:eastAsiaTheme="minorEastAsia"/>
          <w:szCs w:val="28"/>
        </w:rPr>
        <w:t>保护区内村庄</w:t>
      </w:r>
      <w:r>
        <w:rPr>
          <w:rFonts w:ascii="方正仿宋_GBK" w:hAnsi="方正仿宋_GBK" w:eastAsiaTheme="minorEastAsia"/>
          <w:szCs w:val="28"/>
        </w:rPr>
        <w:t>涉及敏感性水域</w:t>
      </w:r>
      <w:r>
        <w:rPr>
          <w:rFonts w:hint="eastAsia" w:ascii="方正仿宋_GBK" w:hAnsi="方正仿宋_GBK" w:eastAsiaTheme="minorEastAsia"/>
          <w:szCs w:val="28"/>
        </w:rPr>
        <w:t>，</w:t>
      </w:r>
      <w:r>
        <w:rPr>
          <w:rFonts w:ascii="方正仿宋_GBK" w:hAnsi="方正仿宋_GBK" w:eastAsiaTheme="minorEastAsia"/>
          <w:szCs w:val="28"/>
        </w:rPr>
        <w:t>因此该</w:t>
      </w:r>
      <w:r>
        <w:rPr>
          <w:rFonts w:hint="eastAsia" w:ascii="方正仿宋_GBK" w:hAnsi="方正仿宋_GBK" w:eastAsiaTheme="minorEastAsia"/>
          <w:szCs w:val="28"/>
        </w:rPr>
        <w:t>保护区</w:t>
      </w:r>
      <w:r>
        <w:rPr>
          <w:rFonts w:ascii="方正仿宋_GBK" w:hAnsi="方正仿宋_GBK" w:eastAsiaTheme="minorEastAsia"/>
          <w:szCs w:val="28"/>
        </w:rPr>
        <w:t>区村庄</w:t>
      </w:r>
      <w:r>
        <w:rPr>
          <w:rFonts w:hint="eastAsia" w:ascii="方正仿宋_GBK" w:hAnsi="方正仿宋_GBK" w:eastAsiaTheme="minorEastAsia"/>
          <w:szCs w:val="28"/>
        </w:rPr>
        <w:t>推荐</w:t>
      </w:r>
      <w:r>
        <w:rPr>
          <w:rFonts w:ascii="方正仿宋_GBK" w:hAnsi="方正仿宋_GBK" w:eastAsiaTheme="minorEastAsia"/>
          <w:szCs w:val="28"/>
        </w:rPr>
        <w:t>集中处理模式；</w:t>
      </w:r>
    </w:p>
    <w:p>
      <w:pPr>
        <w:adjustRightInd w:val="0"/>
        <w:snapToGrid w:val="0"/>
        <w:ind w:firstLine="560"/>
        <w:rPr>
          <w:rFonts w:ascii="方正仿宋_GBK" w:hAnsi="方正仿宋_GBK" w:eastAsiaTheme="minorEastAsia"/>
          <w:szCs w:val="28"/>
        </w:rPr>
      </w:pPr>
      <w:r>
        <w:rPr>
          <w:rFonts w:ascii="方正仿宋_GBK" w:hAnsi="方正仿宋_GBK" w:eastAsiaTheme="minorEastAsia"/>
          <w:szCs w:val="28"/>
        </w:rPr>
        <w:t>②</w:t>
      </w:r>
      <w:r>
        <w:rPr>
          <w:rFonts w:hint="eastAsia" w:ascii="方正仿宋_GBK" w:hAnsi="方正仿宋_GBK" w:eastAsiaTheme="minorEastAsia"/>
          <w:szCs w:val="28"/>
        </w:rPr>
        <w:t>滇池流域内村庄</w:t>
      </w:r>
      <w:r>
        <w:rPr>
          <w:rFonts w:ascii="方正仿宋_GBK" w:hAnsi="方正仿宋_GBK" w:eastAsiaTheme="minorEastAsia"/>
          <w:szCs w:val="28"/>
        </w:rPr>
        <w:t>：</w:t>
      </w:r>
      <w:r>
        <w:rPr>
          <w:rFonts w:hint="eastAsia" w:ascii="方正仿宋_GBK" w:hAnsi="方正仿宋_GBK" w:eastAsiaTheme="minorEastAsia"/>
          <w:szCs w:val="28"/>
        </w:rPr>
        <w:t>晋宁区大部分地区位于滇池流域内，分布有8条入滇河道。加之滇池治理仍然是一项长期的、艰巨的、复杂的系统工程，需要继续巩固、深入推进。因此，该片区属于现状实施农村生活污水治理较为重点区域，</w:t>
      </w:r>
      <w:r>
        <w:rPr>
          <w:rFonts w:ascii="方正仿宋_GBK" w:hAnsi="方正仿宋_GBK" w:eastAsiaTheme="minorEastAsia"/>
          <w:szCs w:val="28"/>
        </w:rPr>
        <w:t>村庄</w:t>
      </w:r>
      <w:r>
        <w:rPr>
          <w:rFonts w:hint="eastAsia" w:ascii="方正仿宋_GBK" w:hAnsi="方正仿宋_GBK" w:eastAsiaTheme="minorEastAsia"/>
          <w:szCs w:val="28"/>
        </w:rPr>
        <w:t>推荐</w:t>
      </w:r>
      <w:r>
        <w:rPr>
          <w:rFonts w:ascii="方正仿宋_GBK" w:hAnsi="方正仿宋_GBK" w:eastAsiaTheme="minorEastAsia"/>
          <w:szCs w:val="28"/>
        </w:rPr>
        <w:t>集中处理模式。</w:t>
      </w:r>
    </w:p>
    <w:p>
      <w:pPr>
        <w:adjustRightInd w:val="0"/>
        <w:snapToGrid w:val="0"/>
        <w:ind w:firstLine="560"/>
        <w:rPr>
          <w:rFonts w:ascii="MS Mincho" w:hAnsi="MS Mincho" w:cs="MS Mincho" w:eastAsiaTheme="minorEastAsia"/>
          <w:szCs w:val="28"/>
        </w:rPr>
      </w:pPr>
      <w:r>
        <w:rPr>
          <w:rFonts w:ascii="方正仿宋_GBK" w:hAnsi="方正仿宋_GBK" w:eastAsiaTheme="minorEastAsia"/>
          <w:szCs w:val="28"/>
        </w:rPr>
        <w:t>（3）其他村庄：除以上村庄外，其余均为分</w:t>
      </w:r>
      <w:r>
        <w:rPr>
          <w:rFonts w:ascii="方正仿宋_GBK" w:hAnsi="方正仿宋_GBK" w:eastAsia="方正仿宋_GBK"/>
          <w:szCs w:val="28"/>
        </w:rPr>
        <w:t>布于大山之上的村庄，此类村庄分布散、人口规模小、离主要道路和水系远、环境缓冲容量大，作为最后一个农村生活污水治理区，该片区村庄以分散处理为主，集中为辅，暂时无需求的户数少、人口少，周边容量大的村庄，可以考虑远期之后在考虑</w:t>
      </w:r>
      <w:r>
        <w:rPr>
          <w:rFonts w:ascii="MS Mincho" w:hAnsi="MS Mincho" w:eastAsia="MS Mincho" w:cs="MS Mincho"/>
          <w:szCs w:val="28"/>
        </w:rPr>
        <w:t>。</w:t>
      </w:r>
    </w:p>
    <w:p>
      <w:pPr>
        <w:pStyle w:val="4"/>
        <w:widowControl/>
        <w:tabs>
          <w:tab w:val="left" w:pos="425"/>
        </w:tabs>
        <w:adjustRightInd w:val="0"/>
        <w:snapToGrid w:val="0"/>
        <w:spacing w:before="0" w:after="0" w:line="600" w:lineRule="exact"/>
        <w:jc w:val="left"/>
        <w:rPr>
          <w:rFonts w:eastAsia="方正楷体_GBK"/>
          <w:kern w:val="0"/>
          <w:sz w:val="30"/>
        </w:rPr>
      </w:pPr>
      <w:bookmarkStart w:id="51" w:name="_Toc43042530"/>
      <w:r>
        <w:rPr>
          <w:rFonts w:eastAsia="方正楷体_GBK"/>
          <w:kern w:val="0"/>
          <w:sz w:val="30"/>
        </w:rPr>
        <w:t>4.1.3系统总体布局</w:t>
      </w:r>
      <w:bookmarkEnd w:id="51"/>
    </w:p>
    <w:p>
      <w:pPr>
        <w:adjustRightInd w:val="0"/>
        <w:snapToGrid w:val="0"/>
        <w:ind w:firstLine="560"/>
        <w:rPr>
          <w:rFonts w:ascii="方正仿宋_GBK" w:hAnsi="方正仿宋_GBK" w:eastAsiaTheme="minorEastAsia"/>
          <w:szCs w:val="28"/>
        </w:rPr>
      </w:pPr>
      <w:r>
        <w:rPr>
          <w:rFonts w:hint="eastAsia" w:ascii="方正仿宋_GBK" w:hAnsi="方正仿宋_GBK" w:eastAsia="方正仿宋_GBK"/>
          <w:szCs w:val="28"/>
        </w:rPr>
        <w:t>晋宁区污水处理设施建设相对较为完善，建有2个雨污水处理厂，大部分片区已完成污水的收集处置。</w:t>
      </w:r>
      <w:r>
        <w:rPr>
          <w:rFonts w:ascii="方正仿宋_GBK" w:hAnsi="方正仿宋_GBK" w:eastAsia="方正仿宋_GBK"/>
          <w:szCs w:val="28"/>
        </w:rPr>
        <w:t>根据</w:t>
      </w:r>
      <w:r>
        <w:rPr>
          <w:rFonts w:hint="eastAsia" w:ascii="方正仿宋_GBK" w:hAnsi="方正仿宋_GBK" w:eastAsiaTheme="minorEastAsia"/>
          <w:szCs w:val="28"/>
        </w:rPr>
        <w:t>晋宁</w:t>
      </w:r>
      <w:r>
        <w:rPr>
          <w:rFonts w:ascii="方正仿宋_GBK" w:hAnsi="方正仿宋_GBK" w:eastAsia="方正仿宋_GBK"/>
          <w:szCs w:val="28"/>
        </w:rPr>
        <w:t>区各乡镇、村庄所处的生态功能区位和社会经济发展状况，并结合各行政村、自然村的地理位置、原规划情况及污水治理现状和需求，在总体上</w:t>
      </w:r>
      <w:r>
        <w:rPr>
          <w:rFonts w:hint="eastAsia" w:ascii="方正仿宋_GBK" w:hAnsi="方正仿宋_GBK" w:eastAsiaTheme="minorEastAsia"/>
          <w:szCs w:val="28"/>
        </w:rPr>
        <w:t>首先</w:t>
      </w:r>
      <w:r>
        <w:rPr>
          <w:rFonts w:ascii="方正仿宋_GBK" w:hAnsi="方正仿宋_GBK" w:eastAsia="方正仿宋_GBK"/>
          <w:szCs w:val="28"/>
        </w:rPr>
        <w:t>将整个</w:t>
      </w:r>
      <w:r>
        <w:rPr>
          <w:rFonts w:hint="eastAsia" w:ascii="方正仿宋_GBK" w:hAnsi="方正仿宋_GBK" w:eastAsiaTheme="minorEastAsia"/>
          <w:szCs w:val="28"/>
        </w:rPr>
        <w:t>晋宁</w:t>
      </w:r>
      <w:r>
        <w:rPr>
          <w:rFonts w:ascii="方正仿宋_GBK" w:hAnsi="方正仿宋_GBK" w:eastAsia="方正仿宋_GBK"/>
          <w:szCs w:val="28"/>
        </w:rPr>
        <w:t>区村庄分为已建污水处理设施的村庄、需改造污水处理设施的村庄、新建污水处理设施的村庄和无需求建设污水处理设施的村庄。详细见下表</w:t>
      </w:r>
      <w:r>
        <w:rPr>
          <w:rFonts w:hint="eastAsia" w:ascii="方正仿宋_GBK" w:hAnsi="方正仿宋_GBK" w:eastAsiaTheme="minorEastAsia"/>
          <w:szCs w:val="28"/>
        </w:rPr>
        <w:t>4.1-1</w:t>
      </w:r>
      <w:r>
        <w:rPr>
          <w:rFonts w:ascii="MS Mincho" w:hAnsi="MS Mincho" w:eastAsia="MS Mincho" w:cs="MS Mincho"/>
          <w:szCs w:val="28"/>
        </w:rPr>
        <w:t>。</w:t>
      </w:r>
      <w:r>
        <w:rPr>
          <w:rFonts w:hint="eastAsia" w:ascii="MS Mincho" w:hAnsi="MS Mincho" w:cs="MS Mincho" w:eastAsiaTheme="minorEastAsia"/>
          <w:szCs w:val="28"/>
        </w:rPr>
        <w:t>其次，</w:t>
      </w:r>
      <w:r>
        <w:rPr>
          <w:rFonts w:ascii="方正仿宋_GBK" w:hAnsi="方正仿宋_GBK"/>
          <w:szCs w:val="28"/>
        </w:rPr>
        <w:t>根据村庄特点</w:t>
      </w:r>
      <w:r>
        <w:rPr>
          <w:rFonts w:ascii="方正仿宋_GBK" w:hAnsi="方正仿宋_GBK" w:eastAsia="方正仿宋_GBK"/>
          <w:szCs w:val="28"/>
        </w:rPr>
        <w:t>，</w:t>
      </w:r>
      <w:r>
        <w:rPr>
          <w:rFonts w:ascii="方正仿宋_GBK" w:hAnsi="方正仿宋_GBK"/>
          <w:szCs w:val="28"/>
        </w:rPr>
        <w:t>设置</w:t>
      </w:r>
      <w:r>
        <w:rPr>
          <w:rFonts w:ascii="方正仿宋_GBK" w:hAnsi="方正仿宋_GBK" w:eastAsia="方正仿宋_GBK"/>
          <w:szCs w:val="28"/>
        </w:rPr>
        <w:t>权重</w:t>
      </w:r>
      <w:r>
        <w:rPr>
          <w:rFonts w:ascii="方正仿宋_GBK" w:hAnsi="方正仿宋_GBK"/>
          <w:szCs w:val="28"/>
        </w:rPr>
        <w:t>分值</w:t>
      </w:r>
      <w:r>
        <w:rPr>
          <w:rFonts w:ascii="方正仿宋_GBK" w:hAnsi="方正仿宋_GBK" w:eastAsia="方正仿宋_GBK"/>
          <w:szCs w:val="28"/>
        </w:rPr>
        <w:t>，综合评价后</w:t>
      </w:r>
      <w:r>
        <w:rPr>
          <w:rFonts w:ascii="方正仿宋_GBK" w:hAnsi="方正仿宋_GBK"/>
          <w:szCs w:val="28"/>
        </w:rPr>
        <w:t>实现</w:t>
      </w:r>
      <w:r>
        <w:rPr>
          <w:rFonts w:ascii="方正仿宋_GBK" w:hAnsi="方正仿宋_GBK" w:eastAsia="方正仿宋_GBK"/>
          <w:szCs w:val="28"/>
        </w:rPr>
        <w:t>分区分类，</w:t>
      </w:r>
      <w:r>
        <w:rPr>
          <w:rFonts w:ascii="方正仿宋_GBK" w:hAnsi="方正仿宋_GBK"/>
          <w:szCs w:val="28"/>
        </w:rPr>
        <w:t>大致可以</w:t>
      </w:r>
      <w:r>
        <w:rPr>
          <w:rFonts w:ascii="方正仿宋_GBK" w:hAnsi="方正仿宋_GBK" w:eastAsia="方正仿宋_GBK"/>
          <w:szCs w:val="28"/>
        </w:rPr>
        <w:t>按照评价结果</w:t>
      </w:r>
      <w:r>
        <w:rPr>
          <w:rFonts w:ascii="方正仿宋_GBK" w:hAnsi="方正仿宋_GBK"/>
          <w:szCs w:val="28"/>
        </w:rPr>
        <w:t>安排</w:t>
      </w:r>
      <w:r>
        <w:rPr>
          <w:rFonts w:ascii="方正仿宋_GBK" w:hAnsi="方正仿宋_GBK" w:eastAsia="方正仿宋_GBK"/>
          <w:szCs w:val="28"/>
        </w:rPr>
        <w:t>村庄治理优先级别和分期实施计划。</w:t>
      </w:r>
      <w:r>
        <w:rPr>
          <w:rFonts w:hint="eastAsia" w:ascii="方正仿宋_GBK" w:hAnsi="方正仿宋_GBK" w:eastAsiaTheme="minorEastAsia"/>
          <w:szCs w:val="28"/>
        </w:rPr>
        <w:t>晋宁区分期建设计划详见下表</w:t>
      </w:r>
      <w:r>
        <w:rPr>
          <w:rFonts w:eastAsiaTheme="minorEastAsia"/>
          <w:szCs w:val="28"/>
        </w:rPr>
        <w:t>4.1-2</w:t>
      </w:r>
      <w:r>
        <w:rPr>
          <w:rFonts w:hint="eastAsia" w:ascii="方正仿宋_GBK" w:hAnsi="方正仿宋_GBK" w:eastAsiaTheme="minorEastAsia"/>
          <w:szCs w:val="28"/>
        </w:rPr>
        <w:t>。</w:t>
      </w:r>
    </w:p>
    <w:p>
      <w:pPr>
        <w:adjustRightInd w:val="0"/>
        <w:snapToGrid w:val="0"/>
        <w:ind w:firstLine="560"/>
        <w:rPr>
          <w:rFonts w:eastAsia="方正仿宋_GBK"/>
          <w:szCs w:val="28"/>
        </w:rPr>
      </w:pPr>
    </w:p>
    <w:p>
      <w:pPr>
        <w:adjustRightInd w:val="0"/>
        <w:snapToGrid w:val="0"/>
        <w:ind w:firstLine="560"/>
        <w:jc w:val="center"/>
        <w:rPr>
          <w:rFonts w:eastAsia="方正仿宋_GBK"/>
          <w:szCs w:val="28"/>
        </w:rPr>
        <w:sectPr>
          <w:pgSz w:w="23814" w:h="16839" w:orient="landscape"/>
          <w:pgMar w:top="1440" w:right="1803" w:bottom="1440" w:left="1803" w:header="720" w:footer="720" w:gutter="0"/>
          <w:cols w:space="720" w:num="2"/>
          <w:docGrid w:linePitch="326" w:charSpace="0"/>
        </w:sectPr>
      </w:pPr>
    </w:p>
    <w:tbl>
      <w:tblPr>
        <w:tblStyle w:val="26"/>
        <w:tblW w:w="5000" w:type="pct"/>
        <w:jc w:val="center"/>
        <w:tblLayout w:type="autofit"/>
        <w:tblCellMar>
          <w:top w:w="0" w:type="dxa"/>
          <w:left w:w="108" w:type="dxa"/>
          <w:bottom w:w="0" w:type="dxa"/>
          <w:right w:w="108" w:type="dxa"/>
        </w:tblCellMar>
      </w:tblPr>
      <w:tblGrid>
        <w:gridCol w:w="1082"/>
        <w:gridCol w:w="2623"/>
        <w:gridCol w:w="3270"/>
        <w:gridCol w:w="11125"/>
        <w:gridCol w:w="3050"/>
      </w:tblGrid>
      <w:tr>
        <w:tblPrEx>
          <w:tblCellMar>
            <w:top w:w="0" w:type="dxa"/>
            <w:left w:w="108" w:type="dxa"/>
            <w:bottom w:w="0" w:type="dxa"/>
            <w:right w:w="108" w:type="dxa"/>
          </w:tblCellMar>
        </w:tblPrEx>
        <w:trPr>
          <w:trHeight w:val="282" w:hRule="atLeast"/>
          <w:jc w:val="center"/>
        </w:trPr>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b/>
                <w:bCs/>
              </w:rPr>
            </w:pPr>
            <w:r>
              <w:rPr>
                <w:rFonts w:eastAsia="方正仿宋_GBK"/>
                <w:b/>
                <w:bCs/>
              </w:rPr>
              <w:t>序</w:t>
            </w:r>
            <w:r>
              <w:rPr>
                <w:rFonts w:hint="eastAsia" w:eastAsia="方正仿宋_GBK"/>
                <w:b/>
                <w:bCs/>
              </w:rPr>
              <w:t>号</w:t>
            </w:r>
          </w:p>
        </w:tc>
        <w:tc>
          <w:tcPr>
            <w:tcW w:w="62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b/>
                <w:bCs/>
              </w:rPr>
            </w:pPr>
            <w:r>
              <w:rPr>
                <w:rFonts w:hint="eastAsia" w:eastAsia="方正仿宋_GBK"/>
                <w:b/>
                <w:bCs/>
              </w:rPr>
              <w:t>类型</w:t>
            </w:r>
          </w:p>
        </w:tc>
        <w:tc>
          <w:tcPr>
            <w:tcW w:w="77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b/>
                <w:bCs/>
              </w:rPr>
            </w:pPr>
            <w:r>
              <w:rPr>
                <w:rFonts w:hint="eastAsia" w:eastAsia="方正仿宋_GBK"/>
                <w:b/>
                <w:bCs/>
              </w:rPr>
              <w:t>乡镇</w:t>
            </w:r>
          </w:p>
        </w:tc>
        <w:tc>
          <w:tcPr>
            <w:tcW w:w="263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b/>
                <w:bCs/>
              </w:rPr>
            </w:pPr>
            <w:r>
              <w:rPr>
                <w:rFonts w:hint="eastAsia" w:eastAsia="方正仿宋_GBK"/>
                <w:b/>
                <w:bCs/>
              </w:rPr>
              <w:t>行政村</w:t>
            </w:r>
          </w:p>
        </w:tc>
        <w:tc>
          <w:tcPr>
            <w:tcW w:w="72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b/>
                <w:bCs/>
              </w:rPr>
            </w:pPr>
            <w:r>
              <w:rPr>
                <w:rFonts w:hint="eastAsia" w:eastAsia="方正仿宋_GBK"/>
                <w:b/>
                <w:bCs/>
              </w:rPr>
              <w:t>自然村（个数）</w:t>
            </w:r>
          </w:p>
        </w:tc>
      </w:tr>
      <w:tr>
        <w:tblPrEx>
          <w:tblCellMar>
            <w:top w:w="0" w:type="dxa"/>
            <w:left w:w="108" w:type="dxa"/>
            <w:bottom w:w="0" w:type="dxa"/>
            <w:right w:w="108" w:type="dxa"/>
          </w:tblCellMar>
        </w:tblPrEx>
        <w:trPr>
          <w:trHeight w:val="701" w:hRule="atLeast"/>
          <w:jc w:val="center"/>
        </w:trPr>
        <w:tc>
          <w:tcPr>
            <w:tcW w:w="256" w:type="pct"/>
            <w:vMerge w:val="restart"/>
            <w:tcBorders>
              <w:top w:val="nil"/>
              <w:left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t>1</w:t>
            </w:r>
          </w:p>
        </w:tc>
        <w:tc>
          <w:tcPr>
            <w:tcW w:w="620" w:type="pct"/>
            <w:vMerge w:val="restart"/>
            <w:tcBorders>
              <w:top w:val="nil"/>
              <w:left w:val="nil"/>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已有污水处理实施，无需改造的村庄</w:t>
            </w: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昆阳街道办事处</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方正仿宋_GBK"/>
              </w:rPr>
              <w:t>恢厂村委会、汉营村委会、甸心村委会、旧寨村委会、中谊村委会、下方古城村委会、田心村委会、太史村委会、兴隆村委会、堡孜村委会、储英村委会、墩子村委会、兴旺村委会、渠东村委会、凤踪村委会、普达村委会、南村村委会、安企村委会、回龙村委会、瓦窑村委会、乌龙村委会、余家海村委会</w:t>
            </w: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71</w:t>
            </w:r>
          </w:p>
        </w:tc>
      </w:tr>
      <w:tr>
        <w:tblPrEx>
          <w:tblCellMar>
            <w:top w:w="0" w:type="dxa"/>
            <w:left w:w="108" w:type="dxa"/>
            <w:bottom w:w="0" w:type="dxa"/>
            <w:right w:w="108" w:type="dxa"/>
          </w:tblCellMar>
        </w:tblPrEx>
        <w:trPr>
          <w:trHeight w:val="317" w:hRule="atLeast"/>
          <w:jc w:val="center"/>
        </w:trPr>
        <w:tc>
          <w:tcPr>
            <w:tcW w:w="256" w:type="pct"/>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620" w:type="pct"/>
            <w:vMerge w:val="continue"/>
            <w:tcBorders>
              <w:left w:val="nil"/>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方正仿宋_GBK"/>
              </w:rPr>
              <w:t>宝峰街道</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方正仿宋_GBK"/>
              </w:rPr>
              <w:t>宝峰村委会、昌家营村委会、韩家营村委会、前卫村委会、青龙村委会、上方古城村委会、上方新街村委会、挖矿坡村委会、小河口村委会、中和铺村委会</w:t>
            </w: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16</w:t>
            </w:r>
          </w:p>
        </w:tc>
      </w:tr>
      <w:tr>
        <w:tblPrEx>
          <w:tblCellMar>
            <w:top w:w="0" w:type="dxa"/>
            <w:left w:w="108" w:type="dxa"/>
            <w:bottom w:w="0" w:type="dxa"/>
            <w:right w:w="108" w:type="dxa"/>
          </w:tblCellMar>
        </w:tblPrEx>
        <w:trPr>
          <w:trHeight w:val="285" w:hRule="atLeast"/>
          <w:jc w:val="center"/>
        </w:trPr>
        <w:tc>
          <w:tcPr>
            <w:tcW w:w="256" w:type="pct"/>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620" w:type="pct"/>
            <w:vMerge w:val="continue"/>
            <w:tcBorders>
              <w:left w:val="nil"/>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方正仿宋_GBK"/>
              </w:rPr>
              <w:t>二街镇</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方正仿宋_GBK"/>
              </w:rPr>
              <w:t>甸头村委会、老高村委会、栗庙村委会、鲁黑村委会、三家村委会、锁溪村委会、响水村委会、肖家村委会、朱家村委会</w:t>
            </w: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21</w:t>
            </w:r>
          </w:p>
        </w:tc>
      </w:tr>
      <w:tr>
        <w:tblPrEx>
          <w:tblCellMar>
            <w:top w:w="0" w:type="dxa"/>
            <w:left w:w="108" w:type="dxa"/>
            <w:bottom w:w="0" w:type="dxa"/>
            <w:right w:w="108" w:type="dxa"/>
          </w:tblCellMar>
        </w:tblPrEx>
        <w:trPr>
          <w:trHeight w:val="285" w:hRule="atLeast"/>
          <w:jc w:val="center"/>
        </w:trPr>
        <w:tc>
          <w:tcPr>
            <w:tcW w:w="256" w:type="pct"/>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620" w:type="pct"/>
            <w:vMerge w:val="continue"/>
            <w:tcBorders>
              <w:left w:val="nil"/>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方正仿宋_GBK"/>
              </w:rPr>
              <w:t>晋城镇</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2"/>
              </w:rPr>
            </w:pPr>
            <w:r>
              <w:rPr>
                <w:rFonts w:hint="eastAsia" w:eastAsia="方正仿宋_GBK"/>
              </w:rPr>
              <w:t>安江村委会、安乐村委会、八家村委会、白沙村委会、北门村委会、草村村委会、柴河村委会、大西村委会、东门村委会、福安村委会、富有村委会、古城村委会、关岭村委会、海晏村委会、化乐村委会、回龙村委会、火石坡村委会、梁王村委会、南门村委会、南山村委会、三合村委会、三槐村委会，沙堤村委会，十里村委会，石碑村委会，石龙村委会，宋家营村委会，天城门村委会，团山村委会，文河村委会，五里村委会，西门村委会，小海村委会，小寨村委会，新街村委会，新庄村委会，盐井村委会，雨孜雾村委会，钟贵村委会</w:t>
            </w: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174</w:t>
            </w:r>
          </w:p>
        </w:tc>
      </w:tr>
      <w:tr>
        <w:tblPrEx>
          <w:tblCellMar>
            <w:top w:w="0" w:type="dxa"/>
            <w:left w:w="108" w:type="dxa"/>
            <w:bottom w:w="0" w:type="dxa"/>
            <w:right w:w="108" w:type="dxa"/>
          </w:tblCellMar>
        </w:tblPrEx>
        <w:trPr>
          <w:trHeight w:val="375" w:hRule="atLeast"/>
          <w:jc w:val="center"/>
        </w:trPr>
        <w:tc>
          <w:tcPr>
            <w:tcW w:w="256" w:type="pct"/>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620" w:type="pct"/>
            <w:vMerge w:val="continue"/>
            <w:tcBorders>
              <w:left w:val="nil"/>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方正仿宋_GBK"/>
              </w:rPr>
              <w:t>六街镇</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大营村委会，大庄村委会，干海村委会，六街村委会，龙王塘村委会，青菜村委会，三印村委会，王家湾村委会，新寨村委会</w:t>
            </w: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20</w:t>
            </w:r>
          </w:p>
        </w:tc>
      </w:tr>
      <w:tr>
        <w:tblPrEx>
          <w:tblCellMar>
            <w:top w:w="0" w:type="dxa"/>
            <w:left w:w="108" w:type="dxa"/>
            <w:bottom w:w="0" w:type="dxa"/>
            <w:right w:w="108" w:type="dxa"/>
          </w:tblCellMar>
        </w:tblPrEx>
        <w:trPr>
          <w:trHeight w:val="375" w:hRule="atLeast"/>
          <w:jc w:val="center"/>
        </w:trPr>
        <w:tc>
          <w:tcPr>
            <w:tcW w:w="256" w:type="pct"/>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620" w:type="pct"/>
            <w:vMerge w:val="continue"/>
            <w:tcBorders>
              <w:left w:val="nil"/>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方正仿宋_GBK"/>
              </w:rPr>
              <w:t>上蒜镇</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宝兴村委会，段七村委会，河泊村委会，金沙村委会，科地村委会，柳坝村委会，鲁纳村委会，牛恋村委会，三多村委会，上蒜村委会，石寨村委会，洗澡塘村委会，小朴村委会，竹园村委会</w:t>
            </w: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pPr>
            <w:r>
              <w:rPr>
                <w:rFonts w:hint="eastAsia"/>
              </w:rPr>
              <w:t>48</w:t>
            </w:r>
          </w:p>
        </w:tc>
      </w:tr>
      <w:tr>
        <w:tblPrEx>
          <w:tblCellMar>
            <w:top w:w="0" w:type="dxa"/>
            <w:left w:w="108" w:type="dxa"/>
            <w:bottom w:w="0" w:type="dxa"/>
            <w:right w:w="108" w:type="dxa"/>
          </w:tblCellMar>
        </w:tblPrEx>
        <w:trPr>
          <w:trHeight w:val="375" w:hRule="atLeast"/>
          <w:jc w:val="center"/>
        </w:trPr>
        <w:tc>
          <w:tcPr>
            <w:tcW w:w="256" w:type="pct"/>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620" w:type="pct"/>
            <w:vMerge w:val="continue"/>
            <w:tcBorders>
              <w:left w:val="nil"/>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方正仿宋_GBK"/>
              </w:rPr>
              <w:t>双河彝族乡</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干河村委会，核桃园村委会，荒川村委会，老江河村委会，双河村委会，田坝村委会</w:t>
            </w: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pPr>
            <w:r>
              <w:rPr>
                <w:rFonts w:hint="eastAsia"/>
              </w:rPr>
              <w:t>7</w:t>
            </w:r>
          </w:p>
        </w:tc>
      </w:tr>
      <w:tr>
        <w:tblPrEx>
          <w:tblCellMar>
            <w:top w:w="0" w:type="dxa"/>
            <w:left w:w="108" w:type="dxa"/>
            <w:bottom w:w="0" w:type="dxa"/>
            <w:right w:w="108" w:type="dxa"/>
          </w:tblCellMar>
        </w:tblPrEx>
        <w:trPr>
          <w:trHeight w:val="375" w:hRule="atLeast"/>
          <w:jc w:val="center"/>
        </w:trPr>
        <w:tc>
          <w:tcPr>
            <w:tcW w:w="256" w:type="pct"/>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620" w:type="pct"/>
            <w:vMerge w:val="continue"/>
            <w:tcBorders>
              <w:left w:val="nil"/>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夕阳彝族乡</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保安村委会，打黑村委会，高梁地村委会，木鲊村委会，夕阳村委会，新山村委会，一字格村委会</w:t>
            </w: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pPr>
            <w:r>
              <w:rPr>
                <w:rFonts w:hint="eastAsia"/>
              </w:rPr>
              <w:t>7</w:t>
            </w:r>
          </w:p>
        </w:tc>
      </w:tr>
      <w:tr>
        <w:tblPrEx>
          <w:tblCellMar>
            <w:top w:w="0" w:type="dxa"/>
            <w:left w:w="108" w:type="dxa"/>
            <w:bottom w:w="0" w:type="dxa"/>
            <w:right w:w="108" w:type="dxa"/>
          </w:tblCellMar>
        </w:tblPrEx>
        <w:trPr>
          <w:trHeight w:val="267" w:hRule="atLeast"/>
          <w:jc w:val="center"/>
        </w:trPr>
        <w:tc>
          <w:tcPr>
            <w:tcW w:w="256"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t>2</w:t>
            </w:r>
          </w:p>
        </w:tc>
        <w:tc>
          <w:tcPr>
            <w:tcW w:w="620"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已有污水处理实施，需改造的村庄</w:t>
            </w: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宝峰街道</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昌家营村委会，酸水塘村委会，小河口村委会，中和铺村委会</w:t>
            </w: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5</w:t>
            </w:r>
          </w:p>
        </w:tc>
      </w:tr>
      <w:tr>
        <w:tblPrEx>
          <w:tblCellMar>
            <w:top w:w="0" w:type="dxa"/>
            <w:left w:w="108" w:type="dxa"/>
            <w:bottom w:w="0" w:type="dxa"/>
            <w:right w:w="108" w:type="dxa"/>
          </w:tblCellMar>
        </w:tblPrEx>
        <w:trPr>
          <w:trHeight w:val="329" w:hRule="atLeast"/>
          <w:jc w:val="center"/>
        </w:trPr>
        <w:tc>
          <w:tcPr>
            <w:tcW w:w="256"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620" w:type="pct"/>
            <w:vMerge w:val="continue"/>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二街镇</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甸头村委会，肖家村委会，朱家村委会</w:t>
            </w: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3</w:t>
            </w:r>
          </w:p>
        </w:tc>
      </w:tr>
      <w:tr>
        <w:tblPrEx>
          <w:tblCellMar>
            <w:top w:w="0" w:type="dxa"/>
            <w:left w:w="108" w:type="dxa"/>
            <w:bottom w:w="0" w:type="dxa"/>
            <w:right w:w="108" w:type="dxa"/>
          </w:tblCellMar>
        </w:tblPrEx>
        <w:trPr>
          <w:trHeight w:val="77" w:hRule="atLeast"/>
          <w:jc w:val="center"/>
        </w:trPr>
        <w:tc>
          <w:tcPr>
            <w:tcW w:w="256"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620" w:type="pct"/>
            <w:vMerge w:val="continue"/>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六街镇</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大营村委会，干海村委会，龙王塘村委会，青菜村委会，王家湾村委会</w:t>
            </w: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7</w:t>
            </w:r>
          </w:p>
        </w:tc>
      </w:tr>
      <w:tr>
        <w:tblPrEx>
          <w:tblCellMar>
            <w:top w:w="0" w:type="dxa"/>
            <w:left w:w="108" w:type="dxa"/>
            <w:bottom w:w="0" w:type="dxa"/>
            <w:right w:w="108" w:type="dxa"/>
          </w:tblCellMar>
        </w:tblPrEx>
        <w:trPr>
          <w:trHeight w:val="285" w:hRule="atLeast"/>
          <w:jc w:val="center"/>
        </w:trPr>
        <w:tc>
          <w:tcPr>
            <w:tcW w:w="256"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620" w:type="pct"/>
            <w:vMerge w:val="continue"/>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双河彝族乡</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老江河村委会，双河村委会</w:t>
            </w: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3</w:t>
            </w:r>
          </w:p>
        </w:tc>
      </w:tr>
      <w:tr>
        <w:tblPrEx>
          <w:tblCellMar>
            <w:top w:w="0" w:type="dxa"/>
            <w:left w:w="108" w:type="dxa"/>
            <w:bottom w:w="0" w:type="dxa"/>
            <w:right w:w="108" w:type="dxa"/>
          </w:tblCellMar>
        </w:tblPrEx>
        <w:trPr>
          <w:trHeight w:val="77" w:hRule="atLeast"/>
          <w:jc w:val="center"/>
        </w:trPr>
        <w:tc>
          <w:tcPr>
            <w:tcW w:w="256" w:type="pct"/>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方正仿宋_GBK"/>
                <w:kern w:val="0"/>
              </w:rPr>
            </w:pPr>
            <w:r>
              <w:rPr>
                <w:rFonts w:hint="eastAsia"/>
                <w:kern w:val="0"/>
              </w:rPr>
              <w:t>3</w:t>
            </w:r>
          </w:p>
        </w:tc>
        <w:tc>
          <w:tcPr>
            <w:tcW w:w="620"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新建污水治理设施的村庄</w:t>
            </w: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Theme="minorEastAsia"/>
              </w:rPr>
              <w:t>宝峰街道</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12</w:t>
            </w:r>
          </w:p>
        </w:tc>
      </w:tr>
      <w:tr>
        <w:tblPrEx>
          <w:tblCellMar>
            <w:top w:w="0" w:type="dxa"/>
            <w:left w:w="108" w:type="dxa"/>
            <w:bottom w:w="0" w:type="dxa"/>
            <w:right w:w="108" w:type="dxa"/>
          </w:tblCellMar>
        </w:tblPrEx>
        <w:trPr>
          <w:trHeight w:val="570" w:hRule="atLeast"/>
          <w:jc w:val="center"/>
        </w:trPr>
        <w:tc>
          <w:tcPr>
            <w:tcW w:w="256"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kern w:val="0"/>
              </w:rPr>
            </w:pPr>
          </w:p>
        </w:tc>
        <w:tc>
          <w:tcPr>
            <w:tcW w:w="620" w:type="pct"/>
            <w:vMerge w:val="continue"/>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Theme="minorEastAsia"/>
              </w:rPr>
              <w:t>二街镇</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4</w:t>
            </w:r>
          </w:p>
        </w:tc>
      </w:tr>
      <w:tr>
        <w:tblPrEx>
          <w:tblCellMar>
            <w:top w:w="0" w:type="dxa"/>
            <w:left w:w="108" w:type="dxa"/>
            <w:bottom w:w="0" w:type="dxa"/>
            <w:right w:w="108" w:type="dxa"/>
          </w:tblCellMar>
        </w:tblPrEx>
        <w:trPr>
          <w:trHeight w:val="1140" w:hRule="atLeast"/>
          <w:jc w:val="center"/>
        </w:trPr>
        <w:tc>
          <w:tcPr>
            <w:tcW w:w="256"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kern w:val="0"/>
              </w:rPr>
            </w:pPr>
          </w:p>
        </w:tc>
        <w:tc>
          <w:tcPr>
            <w:tcW w:w="620" w:type="pct"/>
            <w:vMerge w:val="continue"/>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Theme="minorEastAsia"/>
              </w:rPr>
              <w:t>晋城镇</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40</w:t>
            </w:r>
          </w:p>
        </w:tc>
      </w:tr>
      <w:tr>
        <w:tblPrEx>
          <w:tblCellMar>
            <w:top w:w="0" w:type="dxa"/>
            <w:left w:w="108" w:type="dxa"/>
            <w:bottom w:w="0" w:type="dxa"/>
            <w:right w:w="108" w:type="dxa"/>
          </w:tblCellMar>
        </w:tblPrEx>
        <w:trPr>
          <w:trHeight w:val="77" w:hRule="atLeast"/>
          <w:jc w:val="center"/>
        </w:trPr>
        <w:tc>
          <w:tcPr>
            <w:tcW w:w="256"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kern w:val="0"/>
              </w:rPr>
            </w:pPr>
          </w:p>
        </w:tc>
        <w:tc>
          <w:tcPr>
            <w:tcW w:w="620" w:type="pct"/>
            <w:vMerge w:val="continue"/>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Theme="minorEastAsia"/>
              </w:rPr>
              <w:t>昆阳街道办事处</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12</w:t>
            </w:r>
          </w:p>
        </w:tc>
      </w:tr>
      <w:tr>
        <w:tblPrEx>
          <w:tblCellMar>
            <w:top w:w="0" w:type="dxa"/>
            <w:left w:w="108" w:type="dxa"/>
            <w:bottom w:w="0" w:type="dxa"/>
            <w:right w:w="108" w:type="dxa"/>
          </w:tblCellMar>
        </w:tblPrEx>
        <w:trPr>
          <w:trHeight w:val="319" w:hRule="atLeast"/>
          <w:jc w:val="center"/>
        </w:trPr>
        <w:tc>
          <w:tcPr>
            <w:tcW w:w="256"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kern w:val="0"/>
              </w:rPr>
            </w:pPr>
          </w:p>
        </w:tc>
        <w:tc>
          <w:tcPr>
            <w:tcW w:w="620" w:type="pct"/>
            <w:vMerge w:val="continue"/>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Theme="minorEastAsia"/>
              </w:rPr>
              <w:t>六街镇</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4</w:t>
            </w:r>
          </w:p>
        </w:tc>
      </w:tr>
      <w:tr>
        <w:tblPrEx>
          <w:tblCellMar>
            <w:top w:w="0" w:type="dxa"/>
            <w:left w:w="108" w:type="dxa"/>
            <w:bottom w:w="0" w:type="dxa"/>
            <w:right w:w="108" w:type="dxa"/>
          </w:tblCellMar>
        </w:tblPrEx>
        <w:trPr>
          <w:trHeight w:val="570" w:hRule="atLeast"/>
          <w:jc w:val="center"/>
        </w:trPr>
        <w:tc>
          <w:tcPr>
            <w:tcW w:w="256"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kern w:val="0"/>
              </w:rPr>
            </w:pPr>
          </w:p>
        </w:tc>
        <w:tc>
          <w:tcPr>
            <w:tcW w:w="620" w:type="pct"/>
            <w:vMerge w:val="continue"/>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Theme="minorEastAsia"/>
              </w:rPr>
              <w:t>上蒜镇</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4</w:t>
            </w:r>
          </w:p>
        </w:tc>
      </w:tr>
      <w:tr>
        <w:tblPrEx>
          <w:tblCellMar>
            <w:top w:w="0" w:type="dxa"/>
            <w:left w:w="108" w:type="dxa"/>
            <w:bottom w:w="0" w:type="dxa"/>
            <w:right w:w="108" w:type="dxa"/>
          </w:tblCellMar>
        </w:tblPrEx>
        <w:trPr>
          <w:trHeight w:val="131" w:hRule="atLeast"/>
          <w:jc w:val="center"/>
        </w:trPr>
        <w:tc>
          <w:tcPr>
            <w:tcW w:w="256"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kern w:val="0"/>
              </w:rPr>
            </w:pPr>
          </w:p>
        </w:tc>
        <w:tc>
          <w:tcPr>
            <w:tcW w:w="620" w:type="pct"/>
            <w:vMerge w:val="continue"/>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Theme="minorEastAsia"/>
              </w:rPr>
              <w:t>双河彝族乡</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15</w:t>
            </w:r>
          </w:p>
        </w:tc>
      </w:tr>
      <w:tr>
        <w:tblPrEx>
          <w:tblCellMar>
            <w:top w:w="0" w:type="dxa"/>
            <w:left w:w="108" w:type="dxa"/>
            <w:bottom w:w="0" w:type="dxa"/>
            <w:right w:w="108" w:type="dxa"/>
          </w:tblCellMar>
        </w:tblPrEx>
        <w:trPr>
          <w:trHeight w:val="699" w:hRule="atLeast"/>
          <w:jc w:val="center"/>
        </w:trPr>
        <w:tc>
          <w:tcPr>
            <w:tcW w:w="256" w:type="pct"/>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kern w:val="0"/>
              </w:rPr>
            </w:pPr>
          </w:p>
        </w:tc>
        <w:tc>
          <w:tcPr>
            <w:tcW w:w="620" w:type="pct"/>
            <w:vMerge w:val="continue"/>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left"/>
              <w:rPr>
                <w:rFonts w:eastAsia="方正仿宋_GBK"/>
              </w:rPr>
            </w:pP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Theme="minorEastAsia"/>
              </w:rPr>
            </w:pPr>
            <w:r>
              <w:rPr>
                <w:rFonts w:hint="eastAsia" w:eastAsiaTheme="minorEastAsia"/>
              </w:rPr>
              <w:t>夕阳彝族乡</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33</w:t>
            </w:r>
          </w:p>
        </w:tc>
      </w:tr>
      <w:tr>
        <w:tblPrEx>
          <w:tblCellMar>
            <w:top w:w="0" w:type="dxa"/>
            <w:left w:w="108" w:type="dxa"/>
            <w:bottom w:w="0" w:type="dxa"/>
            <w:right w:w="108" w:type="dxa"/>
          </w:tblCellMar>
        </w:tblPrEx>
        <w:trPr>
          <w:trHeight w:val="285" w:hRule="atLeast"/>
          <w:jc w:val="center"/>
        </w:trPr>
        <w:tc>
          <w:tcPr>
            <w:tcW w:w="876" w:type="pct"/>
            <w:gridSpan w:val="2"/>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eastAsia="方正仿宋_GBK"/>
              </w:rPr>
              <w:t>合计</w:t>
            </w:r>
          </w:p>
        </w:tc>
        <w:tc>
          <w:tcPr>
            <w:tcW w:w="77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ascii="MS Mincho" w:hAnsi="MS Mincho" w:eastAsia="MS Mincho" w:cs="MS Mincho"/>
              </w:rPr>
              <w:t>　</w:t>
            </w:r>
          </w:p>
        </w:tc>
        <w:tc>
          <w:tcPr>
            <w:tcW w:w="263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ascii="MS Mincho" w:hAnsi="MS Mincho" w:eastAsia="MS Mincho" w:cs="MS Mincho"/>
              </w:rPr>
              <w:t>　</w:t>
            </w:r>
          </w:p>
        </w:tc>
        <w:tc>
          <w:tcPr>
            <w:tcW w:w="72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hint="eastAsia"/>
              </w:rPr>
              <w:t>497</w:t>
            </w:r>
          </w:p>
        </w:tc>
      </w:tr>
    </w:tbl>
    <w:p>
      <w:pPr>
        <w:widowControl/>
        <w:ind w:firstLine="440"/>
        <w:jc w:val="left"/>
        <w:rPr>
          <w:rFonts w:ascii="宋体" w:hAnsi="宋体"/>
          <w:kern w:val="0"/>
          <w:sz w:val="22"/>
        </w:rPr>
      </w:pPr>
    </w:p>
    <w:p>
      <w:pPr>
        <w:adjustRightInd w:val="0"/>
        <w:snapToGrid w:val="0"/>
        <w:ind w:firstLine="560"/>
        <w:sectPr>
          <w:pgSz w:w="23814" w:h="16839" w:orient="landscape"/>
          <w:pgMar w:top="1800" w:right="1440" w:bottom="1800" w:left="1440" w:header="720" w:footer="720" w:gutter="0"/>
          <w:cols w:space="720" w:num="1"/>
          <w:docGrid w:linePitch="326" w:charSpace="0"/>
        </w:sectPr>
      </w:pPr>
    </w:p>
    <w:p>
      <w:pPr>
        <w:spacing w:beforeLines="50"/>
        <w:ind w:firstLine="0" w:firstLineChars="0"/>
        <w:jc w:val="left"/>
        <w:outlineLvl w:val="1"/>
        <w:rPr>
          <w:rFonts w:eastAsia="方正黑体_GBK"/>
          <w:b/>
          <w:sz w:val="32"/>
          <w:szCs w:val="32"/>
        </w:rPr>
      </w:pPr>
      <w:bookmarkStart w:id="52" w:name="_Toc43042531"/>
      <w:r>
        <w:rPr>
          <w:rFonts w:eastAsia="方正黑体_GBK"/>
          <w:b/>
          <w:sz w:val="32"/>
          <w:szCs w:val="32"/>
        </w:rPr>
        <w:t>4.2</w:t>
      </w:r>
      <w:r>
        <w:rPr>
          <w:rFonts w:hint="eastAsia" w:eastAsia="方正黑体_GBK"/>
          <w:b/>
          <w:sz w:val="32"/>
          <w:szCs w:val="32"/>
        </w:rPr>
        <w:t>农村生活污水量预测</w:t>
      </w:r>
      <w:bookmarkEnd w:id="52"/>
    </w:p>
    <w:p>
      <w:pPr>
        <w:pStyle w:val="4"/>
        <w:widowControl/>
        <w:tabs>
          <w:tab w:val="left" w:pos="425"/>
        </w:tabs>
        <w:adjustRightInd w:val="0"/>
        <w:snapToGrid w:val="0"/>
        <w:spacing w:before="0" w:after="0" w:line="600" w:lineRule="exact"/>
        <w:jc w:val="left"/>
        <w:rPr>
          <w:rFonts w:eastAsia="方正楷体_GBK"/>
          <w:kern w:val="0"/>
          <w:sz w:val="30"/>
        </w:rPr>
      </w:pPr>
      <w:bookmarkStart w:id="53" w:name="_Toc43042532"/>
      <w:r>
        <w:rPr>
          <w:rFonts w:eastAsia="方正楷体_GBK"/>
          <w:kern w:val="0"/>
          <w:sz w:val="30"/>
        </w:rPr>
        <w:t>4.2.1</w:t>
      </w:r>
      <w:r>
        <w:rPr>
          <w:rFonts w:hint="eastAsia" w:eastAsia="方正楷体_GBK"/>
          <w:kern w:val="0"/>
          <w:sz w:val="30"/>
        </w:rPr>
        <w:t>农村人口预测</w:t>
      </w:r>
      <w:bookmarkEnd w:id="53"/>
    </w:p>
    <w:p>
      <w:pPr>
        <w:adjustRightInd w:val="0"/>
        <w:snapToGrid w:val="0"/>
        <w:ind w:firstLine="560"/>
        <w:rPr>
          <w:rFonts w:ascii="方正仿宋_GBK"/>
          <w:szCs w:val="28"/>
        </w:rPr>
      </w:pPr>
      <w:r>
        <w:rPr>
          <w:rFonts w:ascii="方正仿宋_GBK" w:hAnsi="方正仿宋_GBK" w:eastAsia="方正仿宋_GBK"/>
          <w:szCs w:val="28"/>
        </w:rPr>
        <w:t>规划</w:t>
      </w:r>
      <w:r>
        <w:rPr>
          <w:rFonts w:hint="eastAsia" w:ascii="方正仿宋_GBK" w:hAnsi="方正仿宋_GBK" w:eastAsia="方正仿宋_GBK"/>
          <w:szCs w:val="28"/>
        </w:rPr>
        <w:t>综合考虑</w:t>
      </w:r>
      <w:r>
        <w:rPr>
          <w:rFonts w:ascii="方正仿宋_GBK" w:hAnsi="方正仿宋_GBK" w:eastAsia="方正仿宋_GBK"/>
          <w:szCs w:val="28"/>
        </w:rPr>
        <w:t>《云南省</w:t>
      </w:r>
      <w:r>
        <w:rPr>
          <w:rFonts w:hint="eastAsia" w:ascii="方正仿宋_GBK" w:hAnsi="方正仿宋_GBK" w:eastAsia="方正仿宋_GBK"/>
          <w:szCs w:val="28"/>
        </w:rPr>
        <w:t>晋宁区</w:t>
      </w:r>
      <w:r>
        <w:rPr>
          <w:rFonts w:ascii="方正仿宋_GBK" w:hAnsi="方正仿宋_GBK" w:eastAsia="方正仿宋_GBK"/>
          <w:szCs w:val="28"/>
        </w:rPr>
        <w:t>城市总体规划（2010-2030）》和村庄发展类型等，人口自然增长率近期在</w:t>
      </w:r>
      <w:r>
        <w:rPr>
          <w:rFonts w:hint="eastAsia" w:ascii="方正仿宋_GBK"/>
          <w:szCs w:val="28"/>
          <w:shd w:val="pct10" w:color="auto" w:fill="FFFFFF"/>
        </w:rPr>
        <w:t>7.0</w:t>
      </w:r>
      <w:r>
        <w:rPr>
          <w:rFonts w:ascii="方正仿宋_GBK"/>
          <w:szCs w:val="28"/>
          <w:shd w:val="pct10" w:color="auto" w:fill="FFFFFF"/>
        </w:rPr>
        <w:t>‰</w:t>
      </w:r>
      <w:r>
        <w:rPr>
          <w:rFonts w:ascii="方正仿宋_GBK"/>
          <w:szCs w:val="28"/>
        </w:rPr>
        <w:t>，</w:t>
      </w:r>
      <w:r>
        <w:rPr>
          <w:rFonts w:ascii="方正仿宋_GBK" w:hAnsi="方正仿宋_GBK" w:eastAsia="方正仿宋_GBK"/>
          <w:szCs w:val="28"/>
        </w:rPr>
        <w:t>中远期</w:t>
      </w:r>
      <w:r>
        <w:rPr>
          <w:rFonts w:hint="eastAsia" w:ascii="方正仿宋_GBK"/>
          <w:szCs w:val="28"/>
        </w:rPr>
        <w:t>6.5</w:t>
      </w:r>
      <w:r>
        <w:rPr>
          <w:rFonts w:ascii="方正仿宋_GBK"/>
          <w:szCs w:val="28"/>
        </w:rPr>
        <w:t>‰</w:t>
      </w:r>
      <w:r>
        <w:rPr>
          <w:rFonts w:ascii="方正仿宋_GBK" w:hAnsi="方正仿宋_GBK" w:eastAsia="方正仿宋_GBK"/>
          <w:szCs w:val="28"/>
        </w:rPr>
        <w:t>，以此测算近中远期农村人口。晋宁县农村人口发展预测见表</w:t>
      </w:r>
      <w:r>
        <w:rPr>
          <w:rFonts w:ascii="方正仿宋_GBK"/>
          <w:szCs w:val="28"/>
        </w:rPr>
        <w:t>4.2-1所示。</w:t>
      </w:r>
    </w:p>
    <w:p>
      <w:pPr>
        <w:adjustRightInd w:val="0"/>
        <w:snapToGrid w:val="0"/>
        <w:ind w:firstLine="440"/>
        <w:rPr>
          <w:rFonts w:ascii="方正仿宋_GBK"/>
          <w:sz w:val="22"/>
        </w:rPr>
      </w:pPr>
    </w:p>
    <w:p>
      <w:pPr>
        <w:pStyle w:val="4"/>
        <w:widowControl/>
        <w:tabs>
          <w:tab w:val="left" w:pos="425"/>
        </w:tabs>
        <w:adjustRightInd w:val="0"/>
        <w:snapToGrid w:val="0"/>
        <w:spacing w:before="0" w:after="0" w:line="600" w:lineRule="exact"/>
        <w:jc w:val="left"/>
        <w:rPr>
          <w:rFonts w:eastAsia="方正楷体_GBK"/>
          <w:kern w:val="0"/>
          <w:sz w:val="30"/>
        </w:rPr>
      </w:pPr>
      <w:bookmarkStart w:id="54" w:name="_Toc43042533"/>
      <w:r>
        <w:rPr>
          <w:rFonts w:eastAsia="方正楷体_GBK"/>
          <w:kern w:val="0"/>
          <w:sz w:val="30"/>
        </w:rPr>
        <w:t>4.2.2</w:t>
      </w:r>
      <w:r>
        <w:rPr>
          <w:rFonts w:hint="eastAsia" w:eastAsia="方正楷体_GBK"/>
          <w:kern w:val="0"/>
          <w:sz w:val="30"/>
        </w:rPr>
        <w:t>农村生活污水排放系数</w:t>
      </w:r>
      <w:bookmarkEnd w:id="54"/>
    </w:p>
    <w:p>
      <w:pPr>
        <w:adjustRightInd w:val="0"/>
        <w:snapToGrid w:val="0"/>
        <w:ind w:firstLine="560"/>
        <w:rPr>
          <w:rFonts w:ascii="方正仿宋_GBK" w:hAnsi="方正仿宋_GBK"/>
          <w:szCs w:val="28"/>
        </w:rPr>
      </w:pPr>
      <w:r>
        <w:rPr>
          <w:rFonts w:ascii="方正仿宋_GBK" w:hAnsi="方正仿宋_GBK" w:eastAsia="方正仿宋_GBK"/>
          <w:szCs w:val="28"/>
        </w:rPr>
        <w:t>目前</w:t>
      </w:r>
      <w:r>
        <w:rPr>
          <w:rFonts w:hint="eastAsia" w:ascii="方正仿宋_GBK" w:hAnsi="方正仿宋_GBK" w:eastAsia="方正仿宋_GBK"/>
          <w:szCs w:val="28"/>
        </w:rPr>
        <w:t>晋宁区</w:t>
      </w:r>
      <w:r>
        <w:rPr>
          <w:rFonts w:ascii="方正仿宋_GBK" w:hAnsi="方正仿宋_GBK" w:eastAsia="方正仿宋_GBK"/>
          <w:szCs w:val="28"/>
        </w:rPr>
        <w:t>农村地区用水量如表</w:t>
      </w:r>
      <w:r>
        <w:rPr>
          <w:rFonts w:hint="eastAsia" w:ascii="方正仿宋_GBK" w:hAnsi="方正仿宋_GBK" w:eastAsia="方正仿宋_GBK"/>
          <w:szCs w:val="28"/>
        </w:rPr>
        <w:t>4.2-2</w:t>
      </w:r>
      <w:r>
        <w:rPr>
          <w:rFonts w:ascii="方正仿宋_GBK" w:hAnsi="方正仿宋_GBK" w:eastAsia="方正仿宋_GBK"/>
          <w:szCs w:val="28"/>
        </w:rPr>
        <w:t>所示</w:t>
      </w:r>
      <w:r>
        <w:rPr>
          <w:rFonts w:ascii="方正仿宋_GBK" w:hAnsi="方正仿宋_GBK"/>
          <w:szCs w:val="28"/>
        </w:rPr>
        <w:t>。</w:t>
      </w:r>
    </w:p>
    <w:p>
      <w:pPr>
        <w:adjustRightInd w:val="0"/>
        <w:snapToGrid w:val="0"/>
        <w:ind w:firstLine="560"/>
        <w:rPr>
          <w:rFonts w:ascii="方正仿宋_GBK" w:hAnsi="方正仿宋_GBK"/>
          <w:szCs w:val="28"/>
        </w:rPr>
      </w:pPr>
    </w:p>
    <w:p>
      <w:pPr>
        <w:pStyle w:val="8"/>
        <w:keepNext/>
        <w:spacing w:line="360" w:lineRule="auto"/>
        <w:ind w:firstLine="480"/>
        <w:jc w:val="center"/>
        <w:rPr>
          <w:sz w:val="24"/>
          <w:szCs w:val="24"/>
        </w:rPr>
      </w:pPr>
      <w:r>
        <w:rPr>
          <w:rFonts w:hint="eastAsia"/>
          <w:sz w:val="24"/>
          <w:szCs w:val="24"/>
        </w:rPr>
        <w:t xml:space="preserve">表4.2- </w:t>
      </w:r>
      <w:r>
        <w:rPr>
          <w:sz w:val="24"/>
          <w:szCs w:val="24"/>
        </w:rPr>
        <w:fldChar w:fldCharType="begin"/>
      </w:r>
      <w:r>
        <w:rPr>
          <w:rFonts w:hint="eastAsia"/>
          <w:sz w:val="24"/>
          <w:szCs w:val="24"/>
        </w:rPr>
        <w:instrText xml:space="preserve">SEQ 表4.2- \* ARABIC</w:instrText>
      </w:r>
      <w:r>
        <w:rPr>
          <w:sz w:val="24"/>
          <w:szCs w:val="24"/>
        </w:rPr>
        <w:fldChar w:fldCharType="separate"/>
      </w:r>
      <w:r>
        <w:rPr>
          <w:sz w:val="24"/>
          <w:szCs w:val="24"/>
        </w:rPr>
        <w:t>1</w:t>
      </w:r>
      <w:r>
        <w:rPr>
          <w:sz w:val="24"/>
          <w:szCs w:val="24"/>
        </w:rPr>
        <w:fldChar w:fldCharType="end"/>
      </w:r>
      <w:r>
        <w:rPr>
          <w:rFonts w:hint="eastAsia"/>
          <w:sz w:val="24"/>
          <w:szCs w:val="24"/>
        </w:rPr>
        <w:t>晋宁区各乡镇用水量现状调查表（L/d.人）</w:t>
      </w:r>
    </w:p>
    <w:tbl>
      <w:tblPr>
        <w:tblStyle w:val="26"/>
        <w:tblW w:w="4842" w:type="pct"/>
        <w:tblInd w:w="0" w:type="dxa"/>
        <w:tblLayout w:type="autofit"/>
        <w:tblCellMar>
          <w:top w:w="0" w:type="dxa"/>
          <w:left w:w="108" w:type="dxa"/>
          <w:bottom w:w="0" w:type="dxa"/>
          <w:right w:w="108" w:type="dxa"/>
        </w:tblCellMar>
      </w:tblPr>
      <w:tblGrid>
        <w:gridCol w:w="1578"/>
        <w:gridCol w:w="2664"/>
        <w:gridCol w:w="2170"/>
        <w:gridCol w:w="1802"/>
        <w:gridCol w:w="1577"/>
      </w:tblGrid>
      <w:tr>
        <w:tblPrEx>
          <w:tblCellMar>
            <w:top w:w="0" w:type="dxa"/>
            <w:left w:w="108" w:type="dxa"/>
            <w:bottom w:w="0" w:type="dxa"/>
            <w:right w:w="108" w:type="dxa"/>
          </w:tblCellMar>
        </w:tblPrEx>
        <w:trPr>
          <w:trHeight w:val="270" w:hRule="atLeast"/>
        </w:trPr>
        <w:tc>
          <w:tcPr>
            <w:tcW w:w="806"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rPr>
            </w:pPr>
            <w:r>
              <w:rPr>
                <w:rFonts w:eastAsia="方正仿宋_GBK"/>
                <w:b/>
                <w:bCs/>
              </w:rPr>
              <w:t>序号</w:t>
            </w:r>
          </w:p>
        </w:tc>
        <w:tc>
          <w:tcPr>
            <w:tcW w:w="1360" w:type="pct"/>
            <w:tcBorders>
              <w:top w:val="single" w:color="auto" w:sz="4" w:space="0"/>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rPr>
            </w:pPr>
            <w:r>
              <w:rPr>
                <w:rFonts w:eastAsia="方正仿宋_GBK"/>
                <w:b/>
                <w:bCs/>
              </w:rPr>
              <w:t>名称</w:t>
            </w:r>
          </w:p>
        </w:tc>
        <w:tc>
          <w:tcPr>
            <w:tcW w:w="1108" w:type="pct"/>
            <w:tcBorders>
              <w:top w:val="single" w:color="auto" w:sz="4" w:space="0"/>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rPr>
            </w:pPr>
            <w:r>
              <w:rPr>
                <w:rFonts w:eastAsia="方正仿宋_GBK"/>
                <w:b/>
                <w:bCs/>
              </w:rPr>
              <w:t>乡镇郊区</w:t>
            </w:r>
          </w:p>
        </w:tc>
        <w:tc>
          <w:tcPr>
            <w:tcW w:w="920" w:type="pct"/>
            <w:tcBorders>
              <w:top w:val="single" w:color="auto" w:sz="4" w:space="0"/>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rPr>
            </w:pPr>
            <w:r>
              <w:rPr>
                <w:rFonts w:eastAsia="方正仿宋_GBK"/>
                <w:b/>
                <w:bCs/>
              </w:rPr>
              <w:t>重点村</w:t>
            </w:r>
          </w:p>
        </w:tc>
        <w:tc>
          <w:tcPr>
            <w:tcW w:w="805" w:type="pct"/>
            <w:tcBorders>
              <w:top w:val="single" w:color="auto" w:sz="4" w:space="0"/>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rPr>
            </w:pPr>
            <w:r>
              <w:rPr>
                <w:rFonts w:eastAsia="方正仿宋_GBK"/>
                <w:b/>
                <w:bCs/>
              </w:rPr>
              <w:t>其他</w:t>
            </w:r>
          </w:p>
        </w:tc>
      </w:tr>
      <w:tr>
        <w:tblPrEx>
          <w:tblCellMar>
            <w:top w:w="0" w:type="dxa"/>
            <w:left w:w="108" w:type="dxa"/>
            <w:bottom w:w="0" w:type="dxa"/>
            <w:right w:w="108" w:type="dxa"/>
          </w:tblCellMar>
        </w:tblPrEx>
        <w:trPr>
          <w:trHeight w:val="270" w:hRule="atLeast"/>
        </w:trPr>
        <w:tc>
          <w:tcPr>
            <w:tcW w:w="806"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1</w:t>
            </w:r>
          </w:p>
        </w:tc>
        <w:tc>
          <w:tcPr>
            <w:tcW w:w="136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昆阳街道办事处</w:t>
            </w:r>
          </w:p>
        </w:tc>
        <w:tc>
          <w:tcPr>
            <w:tcW w:w="1108"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1</w:t>
            </w:r>
            <w:r>
              <w:rPr>
                <w:rFonts w:hint="eastAsia" w:ascii="方正仿宋_GBK" w:hAnsi="宋体"/>
                <w:kern w:val="0"/>
              </w:rPr>
              <w:t>1</w:t>
            </w:r>
            <w:r>
              <w:rPr>
                <w:rFonts w:ascii="方正仿宋_GBK" w:hAnsi="宋体"/>
                <w:kern w:val="0"/>
              </w:rPr>
              <w:t>0</w:t>
            </w:r>
          </w:p>
        </w:tc>
        <w:tc>
          <w:tcPr>
            <w:tcW w:w="920"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90</w:t>
            </w:r>
          </w:p>
        </w:tc>
        <w:tc>
          <w:tcPr>
            <w:tcW w:w="805"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50</w:t>
            </w:r>
          </w:p>
        </w:tc>
      </w:tr>
      <w:tr>
        <w:tblPrEx>
          <w:tblCellMar>
            <w:top w:w="0" w:type="dxa"/>
            <w:left w:w="108" w:type="dxa"/>
            <w:bottom w:w="0" w:type="dxa"/>
            <w:right w:w="108" w:type="dxa"/>
          </w:tblCellMar>
        </w:tblPrEx>
        <w:trPr>
          <w:trHeight w:val="243" w:hRule="atLeast"/>
        </w:trPr>
        <w:tc>
          <w:tcPr>
            <w:tcW w:w="806"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2</w:t>
            </w:r>
          </w:p>
        </w:tc>
        <w:tc>
          <w:tcPr>
            <w:tcW w:w="136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宝峰街道</w:t>
            </w:r>
          </w:p>
        </w:tc>
        <w:tc>
          <w:tcPr>
            <w:tcW w:w="1108"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110</w:t>
            </w:r>
          </w:p>
        </w:tc>
        <w:tc>
          <w:tcPr>
            <w:tcW w:w="920"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90</w:t>
            </w:r>
          </w:p>
        </w:tc>
        <w:tc>
          <w:tcPr>
            <w:tcW w:w="805"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50</w:t>
            </w:r>
          </w:p>
        </w:tc>
      </w:tr>
      <w:tr>
        <w:tblPrEx>
          <w:tblCellMar>
            <w:top w:w="0" w:type="dxa"/>
            <w:left w:w="108" w:type="dxa"/>
            <w:bottom w:w="0" w:type="dxa"/>
            <w:right w:w="108" w:type="dxa"/>
          </w:tblCellMar>
        </w:tblPrEx>
        <w:trPr>
          <w:trHeight w:val="270" w:hRule="atLeast"/>
        </w:trPr>
        <w:tc>
          <w:tcPr>
            <w:tcW w:w="806"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3</w:t>
            </w:r>
          </w:p>
        </w:tc>
        <w:tc>
          <w:tcPr>
            <w:tcW w:w="136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晋城镇</w:t>
            </w:r>
          </w:p>
        </w:tc>
        <w:tc>
          <w:tcPr>
            <w:tcW w:w="1108"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110</w:t>
            </w:r>
          </w:p>
        </w:tc>
        <w:tc>
          <w:tcPr>
            <w:tcW w:w="920"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90</w:t>
            </w:r>
          </w:p>
        </w:tc>
        <w:tc>
          <w:tcPr>
            <w:tcW w:w="805"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50</w:t>
            </w:r>
          </w:p>
        </w:tc>
      </w:tr>
      <w:tr>
        <w:tblPrEx>
          <w:tblCellMar>
            <w:top w:w="0" w:type="dxa"/>
            <w:left w:w="108" w:type="dxa"/>
            <w:bottom w:w="0" w:type="dxa"/>
            <w:right w:w="108" w:type="dxa"/>
          </w:tblCellMar>
        </w:tblPrEx>
        <w:trPr>
          <w:trHeight w:val="270" w:hRule="atLeast"/>
        </w:trPr>
        <w:tc>
          <w:tcPr>
            <w:tcW w:w="806"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4</w:t>
            </w:r>
          </w:p>
        </w:tc>
        <w:tc>
          <w:tcPr>
            <w:tcW w:w="136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二街镇</w:t>
            </w:r>
          </w:p>
        </w:tc>
        <w:tc>
          <w:tcPr>
            <w:tcW w:w="1108"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110</w:t>
            </w:r>
          </w:p>
        </w:tc>
        <w:tc>
          <w:tcPr>
            <w:tcW w:w="920"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90</w:t>
            </w:r>
          </w:p>
        </w:tc>
        <w:tc>
          <w:tcPr>
            <w:tcW w:w="805"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50</w:t>
            </w:r>
          </w:p>
        </w:tc>
      </w:tr>
      <w:tr>
        <w:tblPrEx>
          <w:tblCellMar>
            <w:top w:w="0" w:type="dxa"/>
            <w:left w:w="108" w:type="dxa"/>
            <w:bottom w:w="0" w:type="dxa"/>
            <w:right w:w="108" w:type="dxa"/>
          </w:tblCellMar>
        </w:tblPrEx>
        <w:trPr>
          <w:trHeight w:val="270" w:hRule="atLeast"/>
        </w:trPr>
        <w:tc>
          <w:tcPr>
            <w:tcW w:w="806"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5</w:t>
            </w:r>
          </w:p>
        </w:tc>
        <w:tc>
          <w:tcPr>
            <w:tcW w:w="136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上蒜镇</w:t>
            </w:r>
          </w:p>
        </w:tc>
        <w:tc>
          <w:tcPr>
            <w:tcW w:w="1108"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110</w:t>
            </w:r>
          </w:p>
        </w:tc>
        <w:tc>
          <w:tcPr>
            <w:tcW w:w="920"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90</w:t>
            </w:r>
          </w:p>
        </w:tc>
        <w:tc>
          <w:tcPr>
            <w:tcW w:w="805"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50</w:t>
            </w:r>
          </w:p>
        </w:tc>
      </w:tr>
      <w:tr>
        <w:tblPrEx>
          <w:tblCellMar>
            <w:top w:w="0" w:type="dxa"/>
            <w:left w:w="108" w:type="dxa"/>
            <w:bottom w:w="0" w:type="dxa"/>
            <w:right w:w="108" w:type="dxa"/>
          </w:tblCellMar>
        </w:tblPrEx>
        <w:trPr>
          <w:trHeight w:val="270" w:hRule="atLeast"/>
        </w:trPr>
        <w:tc>
          <w:tcPr>
            <w:tcW w:w="806"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6</w:t>
            </w:r>
          </w:p>
        </w:tc>
        <w:tc>
          <w:tcPr>
            <w:tcW w:w="136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六街镇</w:t>
            </w:r>
          </w:p>
        </w:tc>
        <w:tc>
          <w:tcPr>
            <w:tcW w:w="1108"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110</w:t>
            </w:r>
          </w:p>
        </w:tc>
        <w:tc>
          <w:tcPr>
            <w:tcW w:w="920"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90</w:t>
            </w:r>
          </w:p>
        </w:tc>
        <w:tc>
          <w:tcPr>
            <w:tcW w:w="805"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50</w:t>
            </w:r>
          </w:p>
        </w:tc>
      </w:tr>
      <w:tr>
        <w:tblPrEx>
          <w:tblCellMar>
            <w:top w:w="0" w:type="dxa"/>
            <w:left w:w="108" w:type="dxa"/>
            <w:bottom w:w="0" w:type="dxa"/>
            <w:right w:w="108" w:type="dxa"/>
          </w:tblCellMar>
        </w:tblPrEx>
        <w:trPr>
          <w:trHeight w:val="270" w:hRule="atLeast"/>
        </w:trPr>
        <w:tc>
          <w:tcPr>
            <w:tcW w:w="806"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7</w:t>
            </w:r>
          </w:p>
        </w:tc>
        <w:tc>
          <w:tcPr>
            <w:tcW w:w="136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双河彝族乡</w:t>
            </w:r>
          </w:p>
        </w:tc>
        <w:tc>
          <w:tcPr>
            <w:tcW w:w="1108"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90</w:t>
            </w:r>
          </w:p>
        </w:tc>
        <w:tc>
          <w:tcPr>
            <w:tcW w:w="920"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5</w:t>
            </w:r>
            <w:r>
              <w:rPr>
                <w:rFonts w:ascii="方正仿宋_GBK" w:hAnsi="宋体"/>
                <w:kern w:val="0"/>
              </w:rPr>
              <w:t>0</w:t>
            </w:r>
          </w:p>
        </w:tc>
        <w:tc>
          <w:tcPr>
            <w:tcW w:w="805"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3</w:t>
            </w:r>
            <w:r>
              <w:rPr>
                <w:rFonts w:ascii="方正仿宋_GBK" w:hAnsi="宋体"/>
                <w:kern w:val="0"/>
              </w:rPr>
              <w:t>0</w:t>
            </w:r>
          </w:p>
        </w:tc>
      </w:tr>
      <w:tr>
        <w:tblPrEx>
          <w:tblCellMar>
            <w:top w:w="0" w:type="dxa"/>
            <w:left w:w="108" w:type="dxa"/>
            <w:bottom w:w="0" w:type="dxa"/>
            <w:right w:w="108" w:type="dxa"/>
          </w:tblCellMar>
        </w:tblPrEx>
        <w:trPr>
          <w:trHeight w:val="270" w:hRule="atLeast"/>
        </w:trPr>
        <w:tc>
          <w:tcPr>
            <w:tcW w:w="806"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8</w:t>
            </w:r>
          </w:p>
        </w:tc>
        <w:tc>
          <w:tcPr>
            <w:tcW w:w="136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夕阳彝族乡</w:t>
            </w:r>
          </w:p>
        </w:tc>
        <w:tc>
          <w:tcPr>
            <w:tcW w:w="1108"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90</w:t>
            </w:r>
          </w:p>
        </w:tc>
        <w:tc>
          <w:tcPr>
            <w:tcW w:w="920"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5</w:t>
            </w:r>
            <w:r>
              <w:rPr>
                <w:rFonts w:ascii="方正仿宋_GBK" w:hAnsi="宋体"/>
                <w:kern w:val="0"/>
              </w:rPr>
              <w:t>0</w:t>
            </w:r>
          </w:p>
        </w:tc>
        <w:tc>
          <w:tcPr>
            <w:tcW w:w="805"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3</w:t>
            </w:r>
            <w:r>
              <w:rPr>
                <w:rFonts w:ascii="方正仿宋_GBK" w:hAnsi="宋体"/>
                <w:kern w:val="0"/>
              </w:rPr>
              <w:t>0</w:t>
            </w:r>
          </w:p>
        </w:tc>
      </w:tr>
    </w:tbl>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其中</w:t>
      </w:r>
      <w:r>
        <w:rPr>
          <w:rFonts w:hint="eastAsia" w:ascii="方正仿宋_GBK" w:hAnsi="方正仿宋_GBK" w:eastAsia="方正仿宋_GBK"/>
          <w:szCs w:val="28"/>
        </w:rPr>
        <w:t>昆阳街道办事处</w:t>
      </w:r>
      <w:r>
        <w:rPr>
          <w:rFonts w:ascii="方正仿宋_GBK" w:hAnsi="方正仿宋_GBK" w:eastAsia="方正仿宋_GBK"/>
          <w:szCs w:val="28"/>
        </w:rPr>
        <w:t>所在地为中枢镇，因此该镇实际用水量较大</w:t>
      </w:r>
      <w:r>
        <w:rPr>
          <w:rFonts w:hint="eastAsia" w:ascii="方正仿宋_GBK" w:hAnsi="方正仿宋_GBK" w:eastAsia="方正仿宋_GBK"/>
          <w:szCs w:val="28"/>
        </w:rPr>
        <w:t>；晋城镇、二街镇、上蒜镇和六街镇</w:t>
      </w:r>
      <w:r>
        <w:rPr>
          <w:rFonts w:ascii="方正仿宋_GBK" w:hAnsi="方正仿宋_GBK" w:eastAsia="方正仿宋_GBK"/>
          <w:szCs w:val="28"/>
        </w:rPr>
        <w:t>用水量其次，</w:t>
      </w:r>
      <w:r>
        <w:rPr>
          <w:rFonts w:hint="eastAsia" w:ascii="方正仿宋_GBK" w:hAnsi="方正仿宋_GBK" w:eastAsia="方正仿宋_GBK"/>
          <w:szCs w:val="28"/>
        </w:rPr>
        <w:t>双河彝族乡和夕阳彝族乡</w:t>
      </w:r>
      <w:r>
        <w:rPr>
          <w:rFonts w:ascii="方正仿宋_GBK" w:hAnsi="方正仿宋_GBK" w:eastAsia="方正仿宋_GBK"/>
          <w:szCs w:val="28"/>
        </w:rPr>
        <w:t>用水量最少。因各乡镇用水量差异较大，中远期规划将根据现状用水量和参考《云南省农村生活污水治理模式及技术指南（试行）》、《农村生活污水处理技术规范 DB33/T868-2012》和《农村生活污水处理指南》（GB/T37071-2018）西南片区进行分类取值，用水定额详见</w:t>
      </w:r>
      <w:r>
        <w:rPr>
          <w:rFonts w:hint="eastAsia" w:ascii="方正仿宋_GBK" w:hAnsi="方正仿宋_GBK" w:eastAsia="方正仿宋_GBK"/>
          <w:szCs w:val="28"/>
        </w:rPr>
        <w:t>4.2-3</w:t>
      </w:r>
      <w:r>
        <w:rPr>
          <w:rFonts w:ascii="方正仿宋_GBK" w:hAnsi="方正仿宋_GBK" w:eastAsia="方正仿宋_GBK"/>
          <w:szCs w:val="28"/>
        </w:rPr>
        <w:t>表所示。</w:t>
      </w:r>
    </w:p>
    <w:p>
      <w:pPr>
        <w:adjustRightInd w:val="0"/>
        <w:snapToGrid w:val="0"/>
        <w:ind w:firstLine="560"/>
        <w:rPr>
          <w:rFonts w:ascii="方正仿宋_GBK" w:hAnsi="Calibri"/>
          <w:szCs w:val="28"/>
        </w:rPr>
      </w:pPr>
    </w:p>
    <w:p>
      <w:pPr>
        <w:pStyle w:val="8"/>
        <w:keepNext/>
        <w:spacing w:line="360" w:lineRule="auto"/>
        <w:ind w:firstLine="480"/>
        <w:jc w:val="center"/>
        <w:rPr>
          <w:sz w:val="24"/>
          <w:szCs w:val="24"/>
        </w:rPr>
      </w:pPr>
      <w:r>
        <w:rPr>
          <w:rFonts w:hint="eastAsia"/>
          <w:sz w:val="24"/>
          <w:szCs w:val="24"/>
        </w:rPr>
        <w:t xml:space="preserve">表4.2- </w:t>
      </w:r>
      <w:r>
        <w:rPr>
          <w:sz w:val="24"/>
          <w:szCs w:val="24"/>
        </w:rPr>
        <w:fldChar w:fldCharType="begin"/>
      </w:r>
      <w:r>
        <w:rPr>
          <w:rFonts w:hint="eastAsia"/>
          <w:sz w:val="24"/>
          <w:szCs w:val="24"/>
        </w:rPr>
        <w:instrText xml:space="preserve">SEQ 表4.2- \* ARABIC</w:instrText>
      </w:r>
      <w:r>
        <w:rPr>
          <w:sz w:val="24"/>
          <w:szCs w:val="24"/>
        </w:rPr>
        <w:fldChar w:fldCharType="separate"/>
      </w:r>
      <w:r>
        <w:rPr>
          <w:sz w:val="24"/>
          <w:szCs w:val="24"/>
        </w:rPr>
        <w:t>2</w:t>
      </w:r>
      <w:r>
        <w:rPr>
          <w:sz w:val="24"/>
          <w:szCs w:val="24"/>
        </w:rPr>
        <w:fldChar w:fldCharType="end"/>
      </w:r>
      <w:r>
        <w:rPr>
          <w:rFonts w:hint="eastAsia"/>
          <w:sz w:val="24"/>
          <w:szCs w:val="24"/>
        </w:rPr>
        <w:t>中远期用水定额选用表（L/d.人）</w:t>
      </w:r>
    </w:p>
    <w:tbl>
      <w:tblPr>
        <w:tblStyle w:val="26"/>
        <w:tblW w:w="5000" w:type="pct"/>
        <w:tblInd w:w="0" w:type="dxa"/>
        <w:tblLayout w:type="autofit"/>
        <w:tblCellMar>
          <w:top w:w="0" w:type="dxa"/>
          <w:left w:w="108" w:type="dxa"/>
          <w:bottom w:w="0" w:type="dxa"/>
          <w:right w:w="108" w:type="dxa"/>
        </w:tblCellMar>
      </w:tblPr>
      <w:tblGrid>
        <w:gridCol w:w="1332"/>
        <w:gridCol w:w="2246"/>
        <w:gridCol w:w="2040"/>
        <w:gridCol w:w="2247"/>
        <w:gridCol w:w="2245"/>
      </w:tblGrid>
      <w:tr>
        <w:tblPrEx>
          <w:tblCellMar>
            <w:top w:w="0" w:type="dxa"/>
            <w:left w:w="108" w:type="dxa"/>
            <w:bottom w:w="0" w:type="dxa"/>
            <w:right w:w="108" w:type="dxa"/>
          </w:tblCellMar>
        </w:tblPrEx>
        <w:trPr>
          <w:trHeight w:val="270" w:hRule="atLeast"/>
        </w:trPr>
        <w:tc>
          <w:tcPr>
            <w:tcW w:w="65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ind w:firstLine="480" w:firstLineChars="0"/>
              <w:jc w:val="center"/>
              <w:rPr>
                <w:rFonts w:eastAsia="方正仿宋_GBK"/>
                <w:b/>
                <w:bCs/>
              </w:rPr>
            </w:pPr>
            <w:r>
              <w:rPr>
                <w:rFonts w:eastAsia="方正仿宋_GBK"/>
                <w:b/>
                <w:bCs/>
              </w:rPr>
              <w:t>序号</w:t>
            </w:r>
          </w:p>
        </w:tc>
        <w:tc>
          <w:tcPr>
            <w:tcW w:w="1111" w:type="pct"/>
            <w:tcBorders>
              <w:top w:val="single" w:color="auto" w:sz="4" w:space="0"/>
              <w:left w:val="nil"/>
              <w:bottom w:val="single" w:color="auto" w:sz="4" w:space="0"/>
              <w:right w:val="single" w:color="auto" w:sz="4" w:space="0"/>
            </w:tcBorders>
            <w:noWrap/>
            <w:vAlign w:val="center"/>
          </w:tcPr>
          <w:p>
            <w:pPr>
              <w:adjustRightInd w:val="0"/>
              <w:snapToGrid w:val="0"/>
              <w:spacing w:line="240" w:lineRule="auto"/>
              <w:ind w:firstLine="480" w:firstLineChars="0"/>
              <w:jc w:val="center"/>
              <w:rPr>
                <w:rFonts w:eastAsia="方正仿宋_GBK"/>
                <w:b/>
                <w:bCs/>
              </w:rPr>
            </w:pPr>
            <w:r>
              <w:rPr>
                <w:rFonts w:hint="eastAsia" w:eastAsia="方正仿宋_GBK"/>
                <w:b/>
                <w:bCs/>
              </w:rPr>
              <w:t>乡镇</w:t>
            </w:r>
            <w:r>
              <w:rPr>
                <w:rFonts w:eastAsia="方正仿宋_GBK"/>
                <w:b/>
                <w:bCs/>
              </w:rPr>
              <w:t>名称</w:t>
            </w:r>
          </w:p>
        </w:tc>
        <w:tc>
          <w:tcPr>
            <w:tcW w:w="1009"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480" w:firstLineChars="0"/>
              <w:jc w:val="center"/>
              <w:rPr>
                <w:rFonts w:eastAsia="方正仿宋_GBK"/>
                <w:b/>
                <w:bCs/>
              </w:rPr>
            </w:pPr>
            <w:r>
              <w:rPr>
                <w:rFonts w:eastAsia="方正仿宋_GBK"/>
                <w:b/>
                <w:bCs/>
              </w:rPr>
              <w:t>郊区</w:t>
            </w:r>
          </w:p>
        </w:tc>
        <w:tc>
          <w:tcPr>
            <w:tcW w:w="1111"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480" w:firstLineChars="0"/>
              <w:jc w:val="center"/>
              <w:rPr>
                <w:rFonts w:eastAsia="方正仿宋_GBK"/>
                <w:b/>
                <w:bCs/>
              </w:rPr>
            </w:pPr>
            <w:r>
              <w:rPr>
                <w:rFonts w:eastAsia="方正仿宋_GBK"/>
                <w:b/>
                <w:bCs/>
              </w:rPr>
              <w:t>重点村</w:t>
            </w:r>
          </w:p>
        </w:tc>
        <w:tc>
          <w:tcPr>
            <w:tcW w:w="1111"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480" w:firstLineChars="0"/>
              <w:jc w:val="center"/>
              <w:rPr>
                <w:rFonts w:eastAsia="方正仿宋_GBK"/>
                <w:b/>
                <w:bCs/>
              </w:rPr>
            </w:pPr>
            <w:r>
              <w:rPr>
                <w:rFonts w:eastAsia="方正仿宋_GBK"/>
                <w:b/>
                <w:bCs/>
              </w:rPr>
              <w:t>其他</w:t>
            </w:r>
          </w:p>
        </w:tc>
      </w:tr>
      <w:tr>
        <w:tblPrEx>
          <w:tblCellMar>
            <w:top w:w="0" w:type="dxa"/>
            <w:left w:w="108" w:type="dxa"/>
            <w:bottom w:w="0" w:type="dxa"/>
            <w:right w:w="108" w:type="dxa"/>
          </w:tblCellMar>
        </w:tblPrEx>
        <w:trPr>
          <w:trHeight w:val="270" w:hRule="atLeast"/>
        </w:trPr>
        <w:tc>
          <w:tcPr>
            <w:tcW w:w="659"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1</w:t>
            </w:r>
          </w:p>
        </w:tc>
        <w:tc>
          <w:tcPr>
            <w:tcW w:w="111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昆阳街道办事处</w:t>
            </w:r>
          </w:p>
        </w:tc>
        <w:tc>
          <w:tcPr>
            <w:tcW w:w="100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130</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100</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60</w:t>
            </w:r>
          </w:p>
        </w:tc>
      </w:tr>
      <w:tr>
        <w:tblPrEx>
          <w:tblCellMar>
            <w:top w:w="0" w:type="dxa"/>
            <w:left w:w="108" w:type="dxa"/>
            <w:bottom w:w="0" w:type="dxa"/>
            <w:right w:w="108" w:type="dxa"/>
          </w:tblCellMar>
        </w:tblPrEx>
        <w:trPr>
          <w:trHeight w:val="270" w:hRule="atLeast"/>
        </w:trPr>
        <w:tc>
          <w:tcPr>
            <w:tcW w:w="659"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2</w:t>
            </w:r>
          </w:p>
        </w:tc>
        <w:tc>
          <w:tcPr>
            <w:tcW w:w="111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宝峰街道</w:t>
            </w:r>
          </w:p>
        </w:tc>
        <w:tc>
          <w:tcPr>
            <w:tcW w:w="100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130</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100</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60</w:t>
            </w:r>
          </w:p>
        </w:tc>
      </w:tr>
      <w:tr>
        <w:tblPrEx>
          <w:tblCellMar>
            <w:top w:w="0" w:type="dxa"/>
            <w:left w:w="108" w:type="dxa"/>
            <w:bottom w:w="0" w:type="dxa"/>
            <w:right w:w="108" w:type="dxa"/>
          </w:tblCellMar>
        </w:tblPrEx>
        <w:trPr>
          <w:trHeight w:val="270" w:hRule="atLeast"/>
        </w:trPr>
        <w:tc>
          <w:tcPr>
            <w:tcW w:w="659"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3</w:t>
            </w:r>
          </w:p>
        </w:tc>
        <w:tc>
          <w:tcPr>
            <w:tcW w:w="111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晋城镇</w:t>
            </w:r>
          </w:p>
        </w:tc>
        <w:tc>
          <w:tcPr>
            <w:tcW w:w="100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130</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100</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6</w:t>
            </w:r>
            <w:r>
              <w:rPr>
                <w:rFonts w:ascii="方正仿宋_GBK" w:hAnsi="宋体"/>
                <w:kern w:val="0"/>
              </w:rPr>
              <w:t>0</w:t>
            </w:r>
          </w:p>
        </w:tc>
      </w:tr>
      <w:tr>
        <w:tblPrEx>
          <w:tblCellMar>
            <w:top w:w="0" w:type="dxa"/>
            <w:left w:w="108" w:type="dxa"/>
            <w:bottom w:w="0" w:type="dxa"/>
            <w:right w:w="108" w:type="dxa"/>
          </w:tblCellMar>
        </w:tblPrEx>
        <w:trPr>
          <w:trHeight w:val="270" w:hRule="atLeast"/>
        </w:trPr>
        <w:tc>
          <w:tcPr>
            <w:tcW w:w="659"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4</w:t>
            </w:r>
          </w:p>
        </w:tc>
        <w:tc>
          <w:tcPr>
            <w:tcW w:w="111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二街镇</w:t>
            </w:r>
          </w:p>
        </w:tc>
        <w:tc>
          <w:tcPr>
            <w:tcW w:w="100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130</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100</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6</w:t>
            </w:r>
            <w:r>
              <w:rPr>
                <w:rFonts w:ascii="方正仿宋_GBK" w:hAnsi="宋体"/>
                <w:kern w:val="0"/>
              </w:rPr>
              <w:t>0</w:t>
            </w:r>
          </w:p>
        </w:tc>
      </w:tr>
      <w:tr>
        <w:tblPrEx>
          <w:tblCellMar>
            <w:top w:w="0" w:type="dxa"/>
            <w:left w:w="108" w:type="dxa"/>
            <w:bottom w:w="0" w:type="dxa"/>
            <w:right w:w="108" w:type="dxa"/>
          </w:tblCellMar>
        </w:tblPrEx>
        <w:trPr>
          <w:trHeight w:val="270" w:hRule="atLeast"/>
        </w:trPr>
        <w:tc>
          <w:tcPr>
            <w:tcW w:w="659"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5</w:t>
            </w:r>
          </w:p>
        </w:tc>
        <w:tc>
          <w:tcPr>
            <w:tcW w:w="111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上蒜镇</w:t>
            </w:r>
          </w:p>
        </w:tc>
        <w:tc>
          <w:tcPr>
            <w:tcW w:w="100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130</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100</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6</w:t>
            </w:r>
            <w:r>
              <w:rPr>
                <w:rFonts w:ascii="方正仿宋_GBK" w:hAnsi="宋体"/>
                <w:kern w:val="0"/>
              </w:rPr>
              <w:t>0</w:t>
            </w:r>
          </w:p>
        </w:tc>
      </w:tr>
      <w:tr>
        <w:tblPrEx>
          <w:tblCellMar>
            <w:top w:w="0" w:type="dxa"/>
            <w:left w:w="108" w:type="dxa"/>
            <w:bottom w:w="0" w:type="dxa"/>
            <w:right w:w="108" w:type="dxa"/>
          </w:tblCellMar>
        </w:tblPrEx>
        <w:trPr>
          <w:trHeight w:val="270" w:hRule="atLeast"/>
        </w:trPr>
        <w:tc>
          <w:tcPr>
            <w:tcW w:w="659"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6</w:t>
            </w:r>
          </w:p>
        </w:tc>
        <w:tc>
          <w:tcPr>
            <w:tcW w:w="111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六街镇</w:t>
            </w:r>
          </w:p>
        </w:tc>
        <w:tc>
          <w:tcPr>
            <w:tcW w:w="100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130</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100</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6</w:t>
            </w:r>
            <w:r>
              <w:rPr>
                <w:rFonts w:ascii="方正仿宋_GBK" w:hAnsi="宋体"/>
                <w:kern w:val="0"/>
              </w:rPr>
              <w:t>0</w:t>
            </w:r>
          </w:p>
        </w:tc>
      </w:tr>
      <w:tr>
        <w:tblPrEx>
          <w:tblCellMar>
            <w:top w:w="0" w:type="dxa"/>
            <w:left w:w="108" w:type="dxa"/>
            <w:bottom w:w="0" w:type="dxa"/>
            <w:right w:w="108" w:type="dxa"/>
          </w:tblCellMar>
        </w:tblPrEx>
        <w:trPr>
          <w:trHeight w:val="270" w:hRule="atLeast"/>
        </w:trPr>
        <w:tc>
          <w:tcPr>
            <w:tcW w:w="659"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7</w:t>
            </w:r>
          </w:p>
        </w:tc>
        <w:tc>
          <w:tcPr>
            <w:tcW w:w="111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双河彝族乡</w:t>
            </w:r>
          </w:p>
        </w:tc>
        <w:tc>
          <w:tcPr>
            <w:tcW w:w="100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110</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80</w:t>
            </w:r>
          </w:p>
        </w:tc>
        <w:tc>
          <w:tcPr>
            <w:tcW w:w="111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40</w:t>
            </w:r>
          </w:p>
        </w:tc>
      </w:tr>
      <w:tr>
        <w:tblPrEx>
          <w:tblCellMar>
            <w:top w:w="0" w:type="dxa"/>
            <w:left w:w="108" w:type="dxa"/>
            <w:bottom w:w="0" w:type="dxa"/>
            <w:right w:w="108" w:type="dxa"/>
          </w:tblCellMar>
        </w:tblPrEx>
        <w:trPr>
          <w:trHeight w:val="270" w:hRule="atLeast"/>
        </w:trPr>
        <w:tc>
          <w:tcPr>
            <w:tcW w:w="659"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8</w:t>
            </w:r>
          </w:p>
        </w:tc>
        <w:tc>
          <w:tcPr>
            <w:tcW w:w="111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夕阳彝族乡</w:t>
            </w:r>
          </w:p>
        </w:tc>
        <w:tc>
          <w:tcPr>
            <w:tcW w:w="1009"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110</w:t>
            </w:r>
          </w:p>
        </w:tc>
        <w:tc>
          <w:tcPr>
            <w:tcW w:w="1111"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ascii="方正仿宋_GBK" w:hAnsi="宋体"/>
                <w:kern w:val="0"/>
              </w:rPr>
              <w:t>80</w:t>
            </w:r>
          </w:p>
        </w:tc>
        <w:tc>
          <w:tcPr>
            <w:tcW w:w="1111"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kern w:val="0"/>
              </w:rPr>
            </w:pPr>
            <w:r>
              <w:rPr>
                <w:rFonts w:hint="eastAsia" w:ascii="方正仿宋_GBK" w:hAnsi="宋体"/>
                <w:kern w:val="0"/>
              </w:rPr>
              <w:t>40</w:t>
            </w:r>
          </w:p>
        </w:tc>
      </w:tr>
    </w:tbl>
    <w:p>
      <w:pPr>
        <w:adjustRightInd w:val="0"/>
        <w:snapToGrid w:val="0"/>
        <w:ind w:firstLine="420"/>
        <w:jc w:val="center"/>
        <w:rPr>
          <w:rFonts w:ascii="Calibri" w:hAnsi="Calibri"/>
          <w:sz w:val="21"/>
          <w:szCs w:val="21"/>
        </w:rPr>
      </w:pPr>
    </w:p>
    <w:p>
      <w:pPr>
        <w:adjustRightInd w:val="0"/>
        <w:snapToGrid w:val="0"/>
        <w:ind w:firstLine="600"/>
        <w:rPr>
          <w:rFonts w:eastAsiaTheme="minorEastAsia"/>
          <w:kern w:val="0"/>
          <w:sz w:val="30"/>
        </w:rPr>
      </w:pPr>
    </w:p>
    <w:p>
      <w:pPr>
        <w:pStyle w:val="4"/>
        <w:widowControl/>
        <w:tabs>
          <w:tab w:val="left" w:pos="425"/>
        </w:tabs>
        <w:adjustRightInd w:val="0"/>
        <w:snapToGrid w:val="0"/>
        <w:spacing w:before="0" w:after="0" w:line="600" w:lineRule="exact"/>
        <w:jc w:val="left"/>
        <w:rPr>
          <w:rFonts w:eastAsia="方正楷体_GBK"/>
          <w:kern w:val="0"/>
          <w:sz w:val="30"/>
        </w:rPr>
      </w:pPr>
      <w:bookmarkStart w:id="55" w:name="_Toc43042534"/>
      <w:r>
        <w:rPr>
          <w:rFonts w:eastAsia="方正楷体_GBK"/>
          <w:kern w:val="0"/>
          <w:sz w:val="30"/>
        </w:rPr>
        <w:t>4.2.3</w:t>
      </w:r>
      <w:r>
        <w:rPr>
          <w:rFonts w:hint="eastAsia" w:eastAsia="方正楷体_GBK"/>
          <w:kern w:val="0"/>
          <w:sz w:val="30"/>
        </w:rPr>
        <w:t>污水量计算</w:t>
      </w:r>
      <w:bookmarkEnd w:id="55"/>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根据《云南省农村生活污水治理模式及技术指南（试行）》和《农村生活污水处理技术规范 DB33/T868-2012》，设计水量应根据所纳农户实际产生的废水水量确定，可按用水量的 60%～90%采用，并充分考虑建筑内部给排水设施水平和排水系统普及程度等因素。规划根据各村庄特点和类型，</w:t>
      </w:r>
      <w:r>
        <w:rPr>
          <w:rFonts w:hint="eastAsia" w:ascii="方正仿宋_GBK" w:hAnsi="方正仿宋_GBK" w:eastAsia="方正仿宋_GBK"/>
          <w:szCs w:val="28"/>
        </w:rPr>
        <w:t>晋宁区</w:t>
      </w:r>
      <w:r>
        <w:rPr>
          <w:rFonts w:ascii="方正仿宋_GBK" w:hAnsi="方正仿宋_GBK" w:eastAsia="方正仿宋_GBK"/>
          <w:szCs w:val="28"/>
        </w:rPr>
        <w:t>郊区村庄排放系数为0.8，重点建设村庄排放系数取0.7，其他村庄排放系数取0.6，计算出近、中、远期的污水量，各乡镇的污水量详见表</w:t>
      </w:r>
      <w:r>
        <w:rPr>
          <w:rFonts w:hint="eastAsia" w:ascii="方正仿宋_GBK" w:hAnsi="方正仿宋_GBK" w:eastAsia="方正仿宋_GBK"/>
          <w:szCs w:val="28"/>
        </w:rPr>
        <w:t>4.2-4</w:t>
      </w:r>
      <w:r>
        <w:rPr>
          <w:rFonts w:ascii="方正仿宋_GBK" w:hAnsi="方正仿宋_GBK" w:eastAsia="方正仿宋_GBK"/>
          <w:szCs w:val="28"/>
        </w:rPr>
        <w:t>所示。</w:t>
      </w:r>
    </w:p>
    <w:p>
      <w:pPr>
        <w:adjustRightInd w:val="0"/>
        <w:snapToGrid w:val="0"/>
        <w:ind w:firstLine="560"/>
        <w:rPr>
          <w:rFonts w:ascii="方正仿宋_GBK" w:hAnsi="Calibri"/>
          <w:szCs w:val="28"/>
        </w:rPr>
      </w:pPr>
    </w:p>
    <w:p>
      <w:pPr>
        <w:pStyle w:val="8"/>
        <w:keepNext/>
        <w:spacing w:line="360" w:lineRule="auto"/>
        <w:ind w:firstLine="480"/>
        <w:jc w:val="center"/>
        <w:rPr>
          <w:sz w:val="24"/>
          <w:szCs w:val="24"/>
        </w:rPr>
      </w:pPr>
      <w:r>
        <w:rPr>
          <w:rFonts w:hint="eastAsia"/>
          <w:sz w:val="24"/>
          <w:szCs w:val="24"/>
        </w:rPr>
        <w:t xml:space="preserve">表4.2- </w:t>
      </w:r>
      <w:r>
        <w:rPr>
          <w:sz w:val="24"/>
          <w:szCs w:val="24"/>
        </w:rPr>
        <w:fldChar w:fldCharType="begin"/>
      </w:r>
      <w:r>
        <w:rPr>
          <w:rFonts w:hint="eastAsia"/>
          <w:sz w:val="24"/>
          <w:szCs w:val="24"/>
        </w:rPr>
        <w:instrText xml:space="preserve">SEQ 表4.2- \* ARABIC</w:instrText>
      </w:r>
      <w:r>
        <w:rPr>
          <w:sz w:val="24"/>
          <w:szCs w:val="24"/>
        </w:rPr>
        <w:fldChar w:fldCharType="separate"/>
      </w:r>
      <w:r>
        <w:rPr>
          <w:sz w:val="24"/>
          <w:szCs w:val="24"/>
        </w:rPr>
        <w:t>3</w:t>
      </w:r>
      <w:r>
        <w:rPr>
          <w:sz w:val="24"/>
          <w:szCs w:val="24"/>
        </w:rPr>
        <w:fldChar w:fldCharType="end"/>
      </w:r>
      <w:r>
        <w:rPr>
          <w:rFonts w:hint="eastAsia"/>
          <w:sz w:val="24"/>
          <w:szCs w:val="24"/>
        </w:rPr>
        <w:t>晋宁区各乡镇污水量预测汇总表</w:t>
      </w:r>
    </w:p>
    <w:tbl>
      <w:tblPr>
        <w:tblStyle w:val="26"/>
        <w:tblW w:w="5000" w:type="pct"/>
        <w:jc w:val="center"/>
        <w:tblLayout w:type="autofit"/>
        <w:tblCellMar>
          <w:top w:w="0" w:type="dxa"/>
          <w:left w:w="108" w:type="dxa"/>
          <w:bottom w:w="0" w:type="dxa"/>
          <w:right w:w="108" w:type="dxa"/>
        </w:tblCellMar>
      </w:tblPr>
      <w:tblGrid>
        <w:gridCol w:w="779"/>
        <w:gridCol w:w="1341"/>
        <w:gridCol w:w="916"/>
        <w:gridCol w:w="916"/>
        <w:gridCol w:w="1486"/>
        <w:gridCol w:w="1488"/>
        <w:gridCol w:w="1594"/>
        <w:gridCol w:w="1590"/>
      </w:tblGrid>
      <w:tr>
        <w:tblPrEx>
          <w:tblCellMar>
            <w:top w:w="0" w:type="dxa"/>
            <w:left w:w="108" w:type="dxa"/>
            <w:bottom w:w="0" w:type="dxa"/>
            <w:right w:w="108" w:type="dxa"/>
          </w:tblCellMar>
        </w:tblPrEx>
        <w:trPr>
          <w:trHeight w:val="270" w:hRule="atLeast"/>
          <w:jc w:val="center"/>
        </w:trPr>
        <w:tc>
          <w:tcPr>
            <w:tcW w:w="33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rPr>
            </w:pPr>
            <w:r>
              <w:rPr>
                <w:rFonts w:hint="eastAsia" w:eastAsia="方正仿宋_GBK"/>
                <w:b/>
                <w:bCs/>
              </w:rPr>
              <w:t>序号</w:t>
            </w:r>
          </w:p>
        </w:tc>
        <w:tc>
          <w:tcPr>
            <w:tcW w:w="564" w:type="pct"/>
            <w:tcBorders>
              <w:top w:val="single" w:color="auto" w:sz="4" w:space="0"/>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rPr>
            </w:pPr>
            <w:r>
              <w:rPr>
                <w:rFonts w:hint="eastAsia" w:eastAsia="方正仿宋_GBK"/>
                <w:b/>
                <w:bCs/>
              </w:rPr>
              <w:t>乡镇名称</w:t>
            </w:r>
          </w:p>
        </w:tc>
        <w:tc>
          <w:tcPr>
            <w:tcW w:w="428" w:type="pct"/>
            <w:tcBorders>
              <w:top w:val="single" w:color="auto" w:sz="4" w:space="0"/>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rPr>
            </w:pPr>
            <w:r>
              <w:rPr>
                <w:rFonts w:hint="eastAsia" w:eastAsia="方正仿宋_GBK"/>
                <w:b/>
                <w:bCs/>
              </w:rPr>
              <w:t>户数</w:t>
            </w:r>
          </w:p>
        </w:tc>
        <w:tc>
          <w:tcPr>
            <w:tcW w:w="410" w:type="pct"/>
            <w:tcBorders>
              <w:top w:val="single" w:color="auto" w:sz="4" w:space="0"/>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rPr>
            </w:pPr>
            <w:r>
              <w:rPr>
                <w:rFonts w:hint="eastAsia" w:eastAsia="方正仿宋_GBK"/>
                <w:b/>
                <w:bCs/>
              </w:rPr>
              <w:t>人口</w:t>
            </w:r>
          </w:p>
        </w:tc>
        <w:tc>
          <w:tcPr>
            <w:tcW w:w="790" w:type="pct"/>
            <w:tcBorders>
              <w:top w:val="single" w:color="auto" w:sz="4" w:space="0"/>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rPr>
            </w:pPr>
            <w:r>
              <w:rPr>
                <w:rFonts w:hint="eastAsia" w:eastAsia="方正仿宋_GBK"/>
                <w:b/>
                <w:bCs/>
              </w:rPr>
              <w:t>中期人口</w:t>
            </w:r>
          </w:p>
          <w:p>
            <w:pPr>
              <w:adjustRightInd w:val="0"/>
              <w:snapToGrid w:val="0"/>
              <w:spacing w:line="240" w:lineRule="auto"/>
              <w:ind w:firstLine="0" w:firstLineChars="0"/>
              <w:jc w:val="center"/>
              <w:rPr>
                <w:rFonts w:eastAsia="方正仿宋_GBK"/>
                <w:b/>
                <w:bCs/>
              </w:rPr>
            </w:pPr>
            <w:r>
              <w:rPr>
                <w:rFonts w:hint="eastAsia" w:eastAsia="方正仿宋_GBK"/>
                <w:b/>
                <w:bCs/>
              </w:rPr>
              <w:t>（人）</w:t>
            </w:r>
          </w:p>
        </w:tc>
        <w:tc>
          <w:tcPr>
            <w:tcW w:w="791" w:type="pct"/>
            <w:tcBorders>
              <w:top w:val="single" w:color="auto" w:sz="4" w:space="0"/>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rPr>
            </w:pPr>
            <w:r>
              <w:rPr>
                <w:rFonts w:hint="eastAsia" w:eastAsia="方正仿宋_GBK"/>
                <w:b/>
                <w:bCs/>
              </w:rPr>
              <w:t>远期人口</w:t>
            </w:r>
          </w:p>
          <w:p>
            <w:pPr>
              <w:adjustRightInd w:val="0"/>
              <w:snapToGrid w:val="0"/>
              <w:spacing w:line="240" w:lineRule="auto"/>
              <w:ind w:firstLine="0" w:firstLineChars="0"/>
              <w:jc w:val="center"/>
              <w:rPr>
                <w:rFonts w:eastAsia="方正仿宋_GBK"/>
                <w:b/>
                <w:bCs/>
              </w:rPr>
            </w:pPr>
            <w:r>
              <w:rPr>
                <w:rFonts w:hint="eastAsia" w:eastAsia="方正仿宋_GBK"/>
                <w:b/>
                <w:bCs/>
              </w:rPr>
              <w:t>（人）</w:t>
            </w:r>
          </w:p>
        </w:tc>
        <w:tc>
          <w:tcPr>
            <w:tcW w:w="843" w:type="pct"/>
            <w:tcBorders>
              <w:top w:val="single" w:color="auto" w:sz="4" w:space="0"/>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rPr>
            </w:pPr>
            <w:r>
              <w:rPr>
                <w:rFonts w:hint="eastAsia" w:eastAsia="方正仿宋_GBK"/>
                <w:b/>
                <w:bCs/>
              </w:rPr>
              <w:t>中期规模</w:t>
            </w:r>
          </w:p>
          <w:p>
            <w:pPr>
              <w:adjustRightInd w:val="0"/>
              <w:snapToGrid w:val="0"/>
              <w:spacing w:line="240" w:lineRule="auto"/>
              <w:ind w:firstLine="0" w:firstLineChars="0"/>
              <w:jc w:val="center"/>
              <w:rPr>
                <w:rFonts w:eastAsia="方正仿宋_GBK"/>
                <w:b/>
                <w:bCs/>
              </w:rPr>
            </w:pPr>
            <w:r>
              <w:rPr>
                <w:rFonts w:hint="eastAsia" w:eastAsia="方正仿宋_GBK"/>
                <w:b/>
                <w:bCs/>
              </w:rPr>
              <w:t>（m</w:t>
            </w:r>
            <w:r>
              <w:rPr>
                <w:rFonts w:hint="eastAsia" w:eastAsia="方正仿宋_GBK"/>
                <w:b/>
                <w:bCs/>
                <w:vertAlign w:val="superscript"/>
              </w:rPr>
              <w:t>3</w:t>
            </w:r>
            <w:r>
              <w:rPr>
                <w:rFonts w:hint="eastAsia" w:eastAsia="方正仿宋_GBK"/>
                <w:b/>
                <w:bCs/>
              </w:rPr>
              <w:t>/d)</w:t>
            </w:r>
          </w:p>
        </w:tc>
        <w:tc>
          <w:tcPr>
            <w:tcW w:w="841" w:type="pct"/>
            <w:tcBorders>
              <w:top w:val="single" w:color="auto" w:sz="4" w:space="0"/>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rPr>
            </w:pPr>
            <w:r>
              <w:rPr>
                <w:rFonts w:hint="eastAsia" w:eastAsia="方正仿宋_GBK"/>
                <w:b/>
                <w:bCs/>
              </w:rPr>
              <w:t>远期规模</w:t>
            </w:r>
          </w:p>
          <w:p>
            <w:pPr>
              <w:adjustRightInd w:val="0"/>
              <w:snapToGrid w:val="0"/>
              <w:spacing w:line="240" w:lineRule="auto"/>
              <w:ind w:firstLine="0" w:firstLineChars="0"/>
              <w:jc w:val="center"/>
              <w:rPr>
                <w:rFonts w:eastAsia="方正仿宋_GBK"/>
                <w:b/>
                <w:bCs/>
              </w:rPr>
            </w:pPr>
            <w:r>
              <w:rPr>
                <w:rFonts w:hint="eastAsia" w:eastAsia="方正仿宋_GBK"/>
                <w:b/>
                <w:bCs/>
              </w:rPr>
              <w:t>（m</w:t>
            </w:r>
            <w:r>
              <w:rPr>
                <w:rFonts w:hint="eastAsia" w:eastAsia="方正仿宋_GBK"/>
                <w:b/>
                <w:bCs/>
                <w:vertAlign w:val="superscript"/>
              </w:rPr>
              <w:t>3</w:t>
            </w:r>
            <w:r>
              <w:rPr>
                <w:rFonts w:hint="eastAsia" w:eastAsia="方正仿宋_GBK"/>
                <w:b/>
                <w:bCs/>
              </w:rPr>
              <w:t>/d)</w:t>
            </w:r>
          </w:p>
        </w:tc>
      </w:tr>
      <w:tr>
        <w:tblPrEx>
          <w:tblCellMar>
            <w:top w:w="0" w:type="dxa"/>
            <w:left w:w="108" w:type="dxa"/>
            <w:bottom w:w="0" w:type="dxa"/>
            <w:right w:w="108" w:type="dxa"/>
          </w:tblCellMar>
        </w:tblPrEx>
        <w:trPr>
          <w:trHeight w:val="270" w:hRule="atLeast"/>
          <w:jc w:val="center"/>
        </w:trPr>
        <w:tc>
          <w:tcPr>
            <w:tcW w:w="333"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kern w:val="0"/>
              </w:rPr>
            </w:pPr>
            <w:r>
              <w:rPr>
                <w:kern w:val="0"/>
              </w:rPr>
              <w:t>1</w:t>
            </w:r>
          </w:p>
        </w:tc>
        <w:tc>
          <w:tcPr>
            <w:tcW w:w="564"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白水镇</w:t>
            </w:r>
          </w:p>
        </w:tc>
        <w:tc>
          <w:tcPr>
            <w:tcW w:w="428"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2441</w:t>
            </w:r>
          </w:p>
        </w:tc>
        <w:tc>
          <w:tcPr>
            <w:tcW w:w="41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7378</w:t>
            </w:r>
          </w:p>
        </w:tc>
        <w:tc>
          <w:tcPr>
            <w:tcW w:w="79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7612</w:t>
            </w:r>
          </w:p>
        </w:tc>
        <w:tc>
          <w:tcPr>
            <w:tcW w:w="79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7864</w:t>
            </w:r>
          </w:p>
        </w:tc>
        <w:tc>
          <w:tcPr>
            <w:tcW w:w="843"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498.6</w:t>
            </w:r>
          </w:p>
        </w:tc>
        <w:tc>
          <w:tcPr>
            <w:tcW w:w="84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515.08</w:t>
            </w:r>
          </w:p>
        </w:tc>
      </w:tr>
      <w:tr>
        <w:tblPrEx>
          <w:tblCellMar>
            <w:top w:w="0" w:type="dxa"/>
            <w:left w:w="108" w:type="dxa"/>
            <w:bottom w:w="0" w:type="dxa"/>
            <w:right w:w="108" w:type="dxa"/>
          </w:tblCellMar>
        </w:tblPrEx>
        <w:trPr>
          <w:trHeight w:val="270" w:hRule="atLeast"/>
          <w:jc w:val="center"/>
        </w:trPr>
        <w:tc>
          <w:tcPr>
            <w:tcW w:w="333"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kern w:val="0"/>
              </w:rPr>
            </w:pPr>
            <w:r>
              <w:rPr>
                <w:kern w:val="0"/>
              </w:rPr>
              <w:t>2</w:t>
            </w:r>
          </w:p>
        </w:tc>
        <w:tc>
          <w:tcPr>
            <w:tcW w:w="564"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金马镇</w:t>
            </w:r>
          </w:p>
        </w:tc>
        <w:tc>
          <w:tcPr>
            <w:tcW w:w="428"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342</w:t>
            </w:r>
          </w:p>
        </w:tc>
        <w:tc>
          <w:tcPr>
            <w:tcW w:w="41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1106</w:t>
            </w:r>
          </w:p>
        </w:tc>
        <w:tc>
          <w:tcPr>
            <w:tcW w:w="79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1139</w:t>
            </w:r>
          </w:p>
        </w:tc>
        <w:tc>
          <w:tcPr>
            <w:tcW w:w="79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1177</w:t>
            </w:r>
          </w:p>
        </w:tc>
        <w:tc>
          <w:tcPr>
            <w:tcW w:w="843"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72.74</w:t>
            </w:r>
          </w:p>
        </w:tc>
        <w:tc>
          <w:tcPr>
            <w:tcW w:w="84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75.18</w:t>
            </w:r>
          </w:p>
        </w:tc>
      </w:tr>
      <w:tr>
        <w:tblPrEx>
          <w:tblCellMar>
            <w:top w:w="0" w:type="dxa"/>
            <w:left w:w="108" w:type="dxa"/>
            <w:bottom w:w="0" w:type="dxa"/>
            <w:right w:w="108" w:type="dxa"/>
          </w:tblCellMar>
        </w:tblPrEx>
        <w:trPr>
          <w:trHeight w:val="270" w:hRule="atLeast"/>
          <w:jc w:val="center"/>
        </w:trPr>
        <w:tc>
          <w:tcPr>
            <w:tcW w:w="333"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kern w:val="0"/>
              </w:rPr>
            </w:pPr>
            <w:r>
              <w:rPr>
                <w:kern w:val="0"/>
              </w:rPr>
              <w:t>3</w:t>
            </w:r>
          </w:p>
        </w:tc>
        <w:tc>
          <w:tcPr>
            <w:tcW w:w="564"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旧城镇</w:t>
            </w:r>
          </w:p>
        </w:tc>
        <w:tc>
          <w:tcPr>
            <w:tcW w:w="428"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5651</w:t>
            </w:r>
          </w:p>
        </w:tc>
        <w:tc>
          <w:tcPr>
            <w:tcW w:w="41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15721</w:t>
            </w:r>
          </w:p>
        </w:tc>
        <w:tc>
          <w:tcPr>
            <w:tcW w:w="79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16220</w:t>
            </w:r>
          </w:p>
        </w:tc>
        <w:tc>
          <w:tcPr>
            <w:tcW w:w="79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16754</w:t>
            </w:r>
          </w:p>
        </w:tc>
        <w:tc>
          <w:tcPr>
            <w:tcW w:w="843"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1011.8</w:t>
            </w:r>
          </w:p>
        </w:tc>
        <w:tc>
          <w:tcPr>
            <w:tcW w:w="84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1045.12</w:t>
            </w:r>
          </w:p>
        </w:tc>
      </w:tr>
      <w:tr>
        <w:tblPrEx>
          <w:tblCellMar>
            <w:top w:w="0" w:type="dxa"/>
            <w:left w:w="108" w:type="dxa"/>
            <w:bottom w:w="0" w:type="dxa"/>
            <w:right w:w="108" w:type="dxa"/>
          </w:tblCellMar>
        </w:tblPrEx>
        <w:trPr>
          <w:trHeight w:val="270" w:hRule="atLeast"/>
          <w:jc w:val="center"/>
        </w:trPr>
        <w:tc>
          <w:tcPr>
            <w:tcW w:w="333"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kern w:val="0"/>
              </w:rPr>
            </w:pPr>
            <w:r>
              <w:rPr>
                <w:kern w:val="0"/>
              </w:rPr>
              <w:t>4</w:t>
            </w:r>
          </w:p>
        </w:tc>
        <w:tc>
          <w:tcPr>
            <w:tcW w:w="564"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三塘乡</w:t>
            </w:r>
          </w:p>
        </w:tc>
        <w:tc>
          <w:tcPr>
            <w:tcW w:w="428"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1718</w:t>
            </w:r>
          </w:p>
        </w:tc>
        <w:tc>
          <w:tcPr>
            <w:tcW w:w="41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4208</w:t>
            </w:r>
          </w:p>
        </w:tc>
        <w:tc>
          <w:tcPr>
            <w:tcW w:w="79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4341</w:t>
            </w:r>
          </w:p>
        </w:tc>
        <w:tc>
          <w:tcPr>
            <w:tcW w:w="79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4483</w:t>
            </w:r>
          </w:p>
        </w:tc>
        <w:tc>
          <w:tcPr>
            <w:tcW w:w="843"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318.86</w:t>
            </w:r>
          </w:p>
        </w:tc>
        <w:tc>
          <w:tcPr>
            <w:tcW w:w="84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348.22</w:t>
            </w:r>
          </w:p>
        </w:tc>
      </w:tr>
      <w:tr>
        <w:tblPrEx>
          <w:tblCellMar>
            <w:top w:w="0" w:type="dxa"/>
            <w:left w:w="108" w:type="dxa"/>
            <w:bottom w:w="0" w:type="dxa"/>
            <w:right w:w="108" w:type="dxa"/>
          </w:tblCellMar>
        </w:tblPrEx>
        <w:trPr>
          <w:trHeight w:val="270" w:hRule="atLeast"/>
          <w:jc w:val="center"/>
        </w:trPr>
        <w:tc>
          <w:tcPr>
            <w:tcW w:w="333"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kern w:val="0"/>
              </w:rPr>
            </w:pPr>
            <w:r>
              <w:rPr>
                <w:kern w:val="0"/>
              </w:rPr>
              <w:t>5</w:t>
            </w:r>
          </w:p>
        </w:tc>
        <w:tc>
          <w:tcPr>
            <w:tcW w:w="564"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午街铺镇</w:t>
            </w:r>
          </w:p>
        </w:tc>
        <w:tc>
          <w:tcPr>
            <w:tcW w:w="428"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1260</w:t>
            </w:r>
          </w:p>
        </w:tc>
        <w:tc>
          <w:tcPr>
            <w:tcW w:w="41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4103</w:t>
            </w:r>
          </w:p>
        </w:tc>
        <w:tc>
          <w:tcPr>
            <w:tcW w:w="79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4232</w:t>
            </w:r>
          </w:p>
        </w:tc>
        <w:tc>
          <w:tcPr>
            <w:tcW w:w="79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4374</w:t>
            </w:r>
          </w:p>
        </w:tc>
        <w:tc>
          <w:tcPr>
            <w:tcW w:w="843"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253.92</w:t>
            </w:r>
          </w:p>
        </w:tc>
        <w:tc>
          <w:tcPr>
            <w:tcW w:w="84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262.44</w:t>
            </w:r>
          </w:p>
        </w:tc>
      </w:tr>
      <w:tr>
        <w:tblPrEx>
          <w:tblCellMar>
            <w:top w:w="0" w:type="dxa"/>
            <w:left w:w="108" w:type="dxa"/>
            <w:bottom w:w="0" w:type="dxa"/>
            <w:right w:w="108" w:type="dxa"/>
          </w:tblCellMar>
        </w:tblPrEx>
        <w:trPr>
          <w:trHeight w:val="270" w:hRule="atLeast"/>
          <w:jc w:val="center"/>
        </w:trPr>
        <w:tc>
          <w:tcPr>
            <w:tcW w:w="333"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kern w:val="0"/>
              </w:rPr>
            </w:pPr>
            <w:r>
              <w:rPr>
                <w:kern w:val="0"/>
              </w:rPr>
              <w:t>6</w:t>
            </w:r>
          </w:p>
        </w:tc>
        <w:tc>
          <w:tcPr>
            <w:tcW w:w="564"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向阳乡</w:t>
            </w:r>
          </w:p>
        </w:tc>
        <w:tc>
          <w:tcPr>
            <w:tcW w:w="428"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579</w:t>
            </w:r>
          </w:p>
        </w:tc>
        <w:tc>
          <w:tcPr>
            <w:tcW w:w="41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1947</w:t>
            </w:r>
          </w:p>
        </w:tc>
        <w:tc>
          <w:tcPr>
            <w:tcW w:w="79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2009</w:t>
            </w:r>
          </w:p>
        </w:tc>
        <w:tc>
          <w:tcPr>
            <w:tcW w:w="79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2076</w:t>
            </w:r>
          </w:p>
        </w:tc>
        <w:tc>
          <w:tcPr>
            <w:tcW w:w="843"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193.18</w:t>
            </w:r>
          </w:p>
        </w:tc>
        <w:tc>
          <w:tcPr>
            <w:tcW w:w="84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199.6</w:t>
            </w:r>
          </w:p>
        </w:tc>
      </w:tr>
      <w:tr>
        <w:tblPrEx>
          <w:tblCellMar>
            <w:top w:w="0" w:type="dxa"/>
            <w:left w:w="108" w:type="dxa"/>
            <w:bottom w:w="0" w:type="dxa"/>
            <w:right w:w="108" w:type="dxa"/>
          </w:tblCellMar>
        </w:tblPrEx>
        <w:trPr>
          <w:trHeight w:val="270" w:hRule="atLeast"/>
          <w:jc w:val="center"/>
        </w:trPr>
        <w:tc>
          <w:tcPr>
            <w:tcW w:w="333"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kern w:val="0"/>
              </w:rPr>
            </w:pPr>
            <w:r>
              <w:rPr>
                <w:kern w:val="0"/>
              </w:rPr>
              <w:t>7</w:t>
            </w:r>
          </w:p>
        </w:tc>
        <w:tc>
          <w:tcPr>
            <w:tcW w:w="564"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永宁乡</w:t>
            </w:r>
          </w:p>
        </w:tc>
        <w:tc>
          <w:tcPr>
            <w:tcW w:w="428"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1475</w:t>
            </w:r>
          </w:p>
        </w:tc>
        <w:tc>
          <w:tcPr>
            <w:tcW w:w="41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5399</w:t>
            </w:r>
          </w:p>
        </w:tc>
        <w:tc>
          <w:tcPr>
            <w:tcW w:w="79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5566</w:t>
            </w:r>
          </w:p>
        </w:tc>
        <w:tc>
          <w:tcPr>
            <w:tcW w:w="79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5751</w:t>
            </w:r>
          </w:p>
        </w:tc>
        <w:tc>
          <w:tcPr>
            <w:tcW w:w="843"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226.24</w:t>
            </w:r>
          </w:p>
        </w:tc>
        <w:tc>
          <w:tcPr>
            <w:tcW w:w="84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233.76</w:t>
            </w:r>
          </w:p>
        </w:tc>
      </w:tr>
      <w:tr>
        <w:tblPrEx>
          <w:tblCellMar>
            <w:top w:w="0" w:type="dxa"/>
            <w:left w:w="108" w:type="dxa"/>
            <w:bottom w:w="0" w:type="dxa"/>
            <w:right w:w="108" w:type="dxa"/>
          </w:tblCellMar>
        </w:tblPrEx>
        <w:trPr>
          <w:trHeight w:val="270" w:hRule="atLeast"/>
          <w:jc w:val="center"/>
        </w:trPr>
        <w:tc>
          <w:tcPr>
            <w:tcW w:w="333"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kern w:val="0"/>
              </w:rPr>
            </w:pPr>
            <w:r>
              <w:rPr>
                <w:kern w:val="0"/>
              </w:rPr>
              <w:t>8</w:t>
            </w:r>
          </w:p>
        </w:tc>
        <w:tc>
          <w:tcPr>
            <w:tcW w:w="564"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rPr>
            </w:pPr>
            <w:r>
              <w:rPr>
                <w:rFonts w:hint="eastAsia" w:eastAsia="方正仿宋_GBK"/>
              </w:rPr>
              <w:t>中枢镇</w:t>
            </w:r>
          </w:p>
        </w:tc>
        <w:tc>
          <w:tcPr>
            <w:tcW w:w="428"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2340</w:t>
            </w:r>
          </w:p>
        </w:tc>
        <w:tc>
          <w:tcPr>
            <w:tcW w:w="41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7576</w:t>
            </w:r>
          </w:p>
        </w:tc>
        <w:tc>
          <w:tcPr>
            <w:tcW w:w="790"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7812</w:t>
            </w:r>
          </w:p>
        </w:tc>
        <w:tc>
          <w:tcPr>
            <w:tcW w:w="79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8068</w:t>
            </w:r>
          </w:p>
        </w:tc>
        <w:tc>
          <w:tcPr>
            <w:tcW w:w="843"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366.32</w:t>
            </w:r>
          </w:p>
        </w:tc>
        <w:tc>
          <w:tcPr>
            <w:tcW w:w="841"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ascii="宋体" w:hAnsi="宋体"/>
              </w:rPr>
            </w:pPr>
            <w:r>
              <w:rPr>
                <w:rFonts w:hint="eastAsia"/>
              </w:rPr>
              <w:t>378.24</w:t>
            </w:r>
          </w:p>
        </w:tc>
      </w:tr>
      <w:tr>
        <w:tblPrEx>
          <w:tblCellMar>
            <w:top w:w="0" w:type="dxa"/>
            <w:left w:w="108" w:type="dxa"/>
            <w:bottom w:w="0" w:type="dxa"/>
            <w:right w:w="108" w:type="dxa"/>
          </w:tblCellMar>
        </w:tblPrEx>
        <w:trPr>
          <w:trHeight w:val="270" w:hRule="atLeast"/>
          <w:jc w:val="center"/>
        </w:trPr>
        <w:tc>
          <w:tcPr>
            <w:tcW w:w="897" w:type="pct"/>
            <w:gridSpan w:val="2"/>
            <w:tcBorders>
              <w:top w:val="single" w:color="auto" w:sz="4" w:space="0"/>
              <w:left w:val="single" w:color="auto" w:sz="4" w:space="0"/>
              <w:bottom w:val="single" w:color="auto" w:sz="4" w:space="0"/>
              <w:right w:val="single" w:color="000000" w:sz="4" w:space="0"/>
            </w:tcBorders>
            <w:noWrap/>
            <w:vAlign w:val="center"/>
          </w:tcPr>
          <w:p>
            <w:pPr>
              <w:adjustRightInd w:val="0"/>
              <w:snapToGrid w:val="0"/>
              <w:spacing w:line="240" w:lineRule="auto"/>
              <w:ind w:firstLine="0" w:firstLineChars="0"/>
              <w:jc w:val="center"/>
              <w:rPr>
                <w:rFonts w:ascii="宋体" w:hAnsi="宋体"/>
                <w:b/>
                <w:bCs/>
                <w:kern w:val="0"/>
                <w:sz w:val="22"/>
              </w:rPr>
            </w:pPr>
            <w:r>
              <w:rPr>
                <w:rFonts w:hint="eastAsia" w:eastAsia="方正仿宋_GBK"/>
                <w:b/>
                <w:bCs/>
              </w:rPr>
              <w:t>合计</w:t>
            </w:r>
          </w:p>
        </w:tc>
        <w:tc>
          <w:tcPr>
            <w:tcW w:w="428"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b/>
                <w:bCs/>
                <w:kern w:val="0"/>
              </w:rPr>
            </w:pPr>
            <w:r>
              <w:rPr>
                <w:b/>
                <w:bCs/>
                <w:kern w:val="0"/>
              </w:rPr>
              <w:t>15806</w:t>
            </w:r>
          </w:p>
        </w:tc>
        <w:tc>
          <w:tcPr>
            <w:tcW w:w="410"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b/>
                <w:bCs/>
                <w:kern w:val="0"/>
              </w:rPr>
            </w:pPr>
            <w:r>
              <w:rPr>
                <w:b/>
                <w:bCs/>
                <w:kern w:val="0"/>
              </w:rPr>
              <w:t>47438</w:t>
            </w:r>
          </w:p>
        </w:tc>
        <w:tc>
          <w:tcPr>
            <w:tcW w:w="790"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b/>
                <w:bCs/>
                <w:kern w:val="0"/>
              </w:rPr>
            </w:pPr>
            <w:r>
              <w:rPr>
                <w:b/>
                <w:bCs/>
                <w:kern w:val="0"/>
              </w:rPr>
              <w:t>48931</w:t>
            </w:r>
          </w:p>
        </w:tc>
        <w:tc>
          <w:tcPr>
            <w:tcW w:w="791"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b/>
                <w:bCs/>
                <w:kern w:val="0"/>
              </w:rPr>
            </w:pPr>
            <w:r>
              <w:rPr>
                <w:b/>
                <w:bCs/>
                <w:kern w:val="0"/>
              </w:rPr>
              <w:t>50547</w:t>
            </w:r>
          </w:p>
        </w:tc>
        <w:tc>
          <w:tcPr>
            <w:tcW w:w="843"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b/>
                <w:bCs/>
                <w:kern w:val="0"/>
              </w:rPr>
            </w:pPr>
            <w:r>
              <w:rPr>
                <w:b/>
                <w:bCs/>
                <w:kern w:val="0"/>
              </w:rPr>
              <w:t>2941.66</w:t>
            </w:r>
          </w:p>
        </w:tc>
        <w:tc>
          <w:tcPr>
            <w:tcW w:w="841" w:type="pct"/>
            <w:tcBorders>
              <w:top w:val="nil"/>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b/>
                <w:bCs/>
                <w:kern w:val="0"/>
              </w:rPr>
            </w:pPr>
            <w:r>
              <w:rPr>
                <w:b/>
                <w:bCs/>
                <w:kern w:val="0"/>
              </w:rPr>
              <w:t>3057.64</w:t>
            </w:r>
          </w:p>
        </w:tc>
      </w:tr>
    </w:tbl>
    <w:p>
      <w:pPr>
        <w:widowControl/>
        <w:ind w:firstLine="440"/>
        <w:jc w:val="left"/>
        <w:rPr>
          <w:rFonts w:ascii="宋体" w:hAnsi="宋体"/>
          <w:kern w:val="0"/>
          <w:sz w:val="22"/>
        </w:rPr>
      </w:pPr>
    </w:p>
    <w:p>
      <w:pPr>
        <w:spacing w:beforeLines="50"/>
        <w:ind w:firstLine="640"/>
        <w:jc w:val="left"/>
        <w:outlineLvl w:val="1"/>
        <w:rPr>
          <w:rFonts w:eastAsia="方正黑体_GBK"/>
          <w:b/>
          <w:sz w:val="32"/>
          <w:szCs w:val="32"/>
        </w:rPr>
      </w:pPr>
      <w:bookmarkStart w:id="56" w:name="_Toc43042535"/>
      <w:r>
        <w:rPr>
          <w:rFonts w:eastAsia="方正黑体_GBK"/>
          <w:b/>
          <w:sz w:val="32"/>
          <w:szCs w:val="32"/>
        </w:rPr>
        <w:t>4.3</w:t>
      </w:r>
      <w:r>
        <w:rPr>
          <w:rFonts w:hint="eastAsia" w:eastAsia="方正黑体_GBK"/>
          <w:b/>
          <w:sz w:val="32"/>
          <w:szCs w:val="32"/>
        </w:rPr>
        <w:t>收集处理模式</w:t>
      </w:r>
      <w:bookmarkEnd w:id="56"/>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云南省农村生活污水的收集方式可分为纳入污水处理厂处理方式、集中收集处理方式和分散收集处理方式3种。</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（1）纳入污水处理厂</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纳管模式是指农村生活污水通过管网收集输送到城镇污水处理厂统一处理的治理方式。这种方式主要适用于聚集程度高、紧邻城镇（3km范围内）、地形条件有利于生活污水依靠重力流入市政污水管网的村庄。</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（2）集中收集</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集中收集模式是针对生活污水无法纳入城镇污水处理厂的村庄，将单个或多个自然村农户的生活污水进行统一收集，再排至村级污水独立处理设施进行处理的污水收集模式。</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（3）分散收集</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分散收集模式指对单户或多户农村住户产生的生活污水就近处理，一般日处理能力小于20m</w:t>
      </w:r>
      <w:r>
        <w:rPr>
          <w:rFonts w:ascii="方正仿宋_GBK" w:hAnsi="方正仿宋_GBK" w:eastAsia="方正仿宋_GBK"/>
          <w:szCs w:val="28"/>
          <w:vertAlign w:val="superscript"/>
        </w:rPr>
        <w:t>3</w:t>
      </w:r>
      <w:r>
        <w:rPr>
          <w:rFonts w:ascii="方正仿宋_GBK" w:hAnsi="方正仿宋_GBK" w:eastAsia="方正仿宋_GBK"/>
          <w:szCs w:val="28"/>
        </w:rPr>
        <w:t>。这种方式主要适用于无法集中铺设管网或集中收集处理的村庄，特别是居住较为分散的山区、丘陵地带。</w:t>
      </w:r>
    </w:p>
    <w:p>
      <w:pPr>
        <w:adjustRightInd w:val="0"/>
        <w:snapToGrid w:val="0"/>
        <w:ind w:firstLine="560"/>
        <w:rPr>
          <w:rFonts w:ascii="方正仿宋_GBK" w:hAnsi="方正仿宋_GBK" w:eastAsia="方正仿宋_GBK"/>
          <w:szCs w:val="28"/>
        </w:rPr>
      </w:pPr>
      <w:r>
        <w:rPr>
          <w:rFonts w:hint="eastAsia" w:ascii="方正仿宋_GBK" w:hAnsi="方正仿宋_GBK" w:eastAsia="方正仿宋_GBK"/>
          <w:szCs w:val="28"/>
        </w:rPr>
        <w:t>规划</w:t>
      </w:r>
      <w:r>
        <w:rPr>
          <w:rFonts w:ascii="方正仿宋_GBK" w:hAnsi="方正仿宋_GBK" w:eastAsia="方正仿宋_GBK"/>
          <w:szCs w:val="28"/>
        </w:rPr>
        <w:t>建设的村庄中</w:t>
      </w:r>
      <w:r>
        <w:rPr>
          <w:rFonts w:hint="eastAsia" w:ascii="方正仿宋_GBK" w:hAnsi="方正仿宋_GBK" w:eastAsia="方正仿宋_GBK"/>
          <w:szCs w:val="28"/>
        </w:rPr>
        <w:t>纳管</w:t>
      </w:r>
      <w:r>
        <w:rPr>
          <w:rFonts w:ascii="方正仿宋_GBK" w:hAnsi="方正仿宋_GBK" w:eastAsia="方正仿宋_GBK"/>
          <w:szCs w:val="28"/>
        </w:rPr>
        <w:t>村庄共</w:t>
      </w:r>
      <w:r>
        <w:rPr>
          <w:rFonts w:hint="eastAsia" w:ascii="方正仿宋_GBK" w:hAnsi="方正仿宋_GBK" w:eastAsia="方正仿宋_GBK"/>
          <w:szCs w:val="28"/>
        </w:rPr>
        <w:t>8个</w:t>
      </w:r>
      <w:r>
        <w:rPr>
          <w:rFonts w:ascii="方正仿宋_GBK" w:hAnsi="方正仿宋_GBK" w:eastAsia="方正仿宋_GBK"/>
          <w:szCs w:val="28"/>
        </w:rPr>
        <w:t>，</w:t>
      </w:r>
      <w:r>
        <w:rPr>
          <w:rFonts w:hint="eastAsia" w:ascii="方正仿宋_GBK" w:hAnsi="方正仿宋_GBK" w:eastAsia="方正仿宋_GBK"/>
          <w:szCs w:val="28"/>
        </w:rPr>
        <w:t>集中</w:t>
      </w:r>
      <w:r>
        <w:rPr>
          <w:rFonts w:ascii="方正仿宋_GBK" w:hAnsi="方正仿宋_GBK" w:eastAsia="方正仿宋_GBK"/>
          <w:szCs w:val="28"/>
        </w:rPr>
        <w:t>收集模式村庄共</w:t>
      </w:r>
      <w:r>
        <w:rPr>
          <w:rFonts w:hint="eastAsia" w:ascii="方正仿宋_GBK" w:hAnsi="方正仿宋_GBK" w:eastAsia="方正仿宋_GBK"/>
          <w:szCs w:val="28"/>
        </w:rPr>
        <w:t>59个</w:t>
      </w:r>
      <w:r>
        <w:rPr>
          <w:rFonts w:ascii="方正仿宋_GBK" w:hAnsi="方正仿宋_GBK" w:eastAsia="方正仿宋_GBK"/>
          <w:szCs w:val="28"/>
        </w:rPr>
        <w:t>，分散收集模式村庄共</w:t>
      </w:r>
      <w:r>
        <w:rPr>
          <w:rFonts w:hint="eastAsia" w:ascii="方正仿宋_GBK" w:hAnsi="方正仿宋_GBK" w:eastAsia="方正仿宋_GBK"/>
          <w:szCs w:val="28"/>
        </w:rPr>
        <w:t>7</w:t>
      </w:r>
      <w:r>
        <w:rPr>
          <w:rFonts w:ascii="方正仿宋_GBK" w:hAnsi="方正仿宋_GBK" w:eastAsia="方正仿宋_GBK"/>
          <w:szCs w:val="28"/>
        </w:rPr>
        <w:t>5</w:t>
      </w:r>
      <w:r>
        <w:rPr>
          <w:rFonts w:hint="eastAsia" w:ascii="方正仿宋_GBK" w:hAnsi="方正仿宋_GBK" w:eastAsia="方正仿宋_GBK"/>
          <w:szCs w:val="28"/>
        </w:rPr>
        <w:t>个。</w:t>
      </w:r>
    </w:p>
    <w:p>
      <w:pPr>
        <w:spacing w:beforeLines="50"/>
        <w:ind w:firstLine="640"/>
        <w:jc w:val="left"/>
        <w:outlineLvl w:val="1"/>
        <w:rPr>
          <w:rFonts w:eastAsia="方正黑体_GBK"/>
          <w:b/>
          <w:sz w:val="32"/>
          <w:szCs w:val="32"/>
        </w:rPr>
      </w:pPr>
      <w:bookmarkStart w:id="57" w:name="_Toc43042536"/>
      <w:r>
        <w:rPr>
          <w:rFonts w:eastAsia="方正黑体_GBK"/>
          <w:b/>
          <w:sz w:val="32"/>
          <w:szCs w:val="32"/>
        </w:rPr>
        <w:t>4.4</w:t>
      </w:r>
      <w:r>
        <w:rPr>
          <w:rFonts w:hint="eastAsia" w:eastAsia="方正黑体_GBK"/>
          <w:b/>
          <w:sz w:val="32"/>
          <w:szCs w:val="32"/>
        </w:rPr>
        <w:t>设施布局选址</w:t>
      </w:r>
      <w:bookmarkEnd w:id="57"/>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（1）设施设备布局应符</w:t>
      </w:r>
      <w:r>
        <w:rPr>
          <w:rFonts w:hint="eastAsia" w:ascii="方正仿宋_GBK" w:hAnsi="方正仿宋_GBK" w:eastAsia="方正仿宋_GBK"/>
          <w:szCs w:val="28"/>
        </w:rPr>
        <w:t>晋宁区</w:t>
      </w:r>
      <w:r>
        <w:rPr>
          <w:rFonts w:ascii="方正仿宋_GBK" w:hAnsi="方正仿宋_GBK" w:eastAsia="方正仿宋_GBK"/>
          <w:szCs w:val="28"/>
        </w:rPr>
        <w:t>及乡镇的相关规划要求，包括县域总体规划、城镇污水处理设施建设规划、镇总体规划、村庄规划、乡村旅游规划、中小流域治理规划、水功能区划、水环境功能区划等；</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（2）</w:t>
      </w:r>
      <w:r>
        <w:rPr>
          <w:rFonts w:hint="eastAsia" w:ascii="方正仿宋_GBK" w:hAnsi="方正仿宋_GBK" w:eastAsia="方正仿宋_GBK"/>
          <w:szCs w:val="28"/>
        </w:rPr>
        <w:t>晋宁区</w:t>
      </w:r>
      <w:r>
        <w:rPr>
          <w:rFonts w:ascii="方正仿宋_GBK" w:hAnsi="方正仿宋_GBK" w:eastAsia="方正仿宋_GBK"/>
          <w:szCs w:val="28"/>
        </w:rPr>
        <w:t>内新建农村生活污水处理设施选址不宜设置在低洼易涝区和饮用水源的上游。</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（3）位于地震及其它特殊地区的污水处理设施，应符合相关标准规定。</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（4）集中式污水处理设施的管网、处理设施和排放口的选址，应同时满足设施用地、供电、防洪、防灾等方面的要求。</w:t>
      </w:r>
    </w:p>
    <w:p>
      <w:pPr>
        <w:adjustRightInd w:val="0"/>
        <w:snapToGrid w:val="0"/>
        <w:ind w:firstLine="560"/>
        <w:rPr>
          <w:rFonts w:ascii="方正仿宋_GBK" w:hAnsi="方正仿宋_GBK" w:eastAsiaTheme="minorEastAsia"/>
          <w:szCs w:val="28"/>
        </w:rPr>
      </w:pPr>
      <w:r>
        <w:rPr>
          <w:rFonts w:ascii="方正仿宋_GBK" w:hAnsi="方正仿宋_GBK" w:eastAsia="方正仿宋_GBK"/>
          <w:szCs w:val="28"/>
        </w:rPr>
        <w:t>（5）已建农村生活污水处理设施符合上述选址要求并能够正常运行的，应纳入本《规划》统筹考虑并充分利用，避免设施重复建设。</w:t>
      </w:r>
    </w:p>
    <w:p>
      <w:pPr>
        <w:spacing w:beforeLines="50"/>
        <w:ind w:firstLine="640"/>
        <w:jc w:val="left"/>
        <w:outlineLvl w:val="1"/>
        <w:rPr>
          <w:rFonts w:eastAsia="方正黑体_GBK"/>
          <w:b/>
          <w:sz w:val="32"/>
          <w:szCs w:val="32"/>
        </w:rPr>
      </w:pPr>
      <w:bookmarkStart w:id="58" w:name="_Toc43042537"/>
      <w:r>
        <w:rPr>
          <w:rFonts w:eastAsia="方正黑体_GBK"/>
          <w:b/>
          <w:sz w:val="32"/>
          <w:szCs w:val="32"/>
        </w:rPr>
        <w:t>4.5</w:t>
      </w:r>
      <w:r>
        <w:rPr>
          <w:rFonts w:hint="eastAsia" w:eastAsia="方正黑体_GBK"/>
          <w:b/>
          <w:sz w:val="32"/>
          <w:szCs w:val="32"/>
        </w:rPr>
        <w:t>出水排放要求</w:t>
      </w:r>
      <w:bookmarkEnd w:id="58"/>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严格执行《农村生活污水处理设施水污染物排放标准》DB53/T 953-2019。</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（1）直接排放</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处理规模5m</w:t>
      </w:r>
      <w:r>
        <w:rPr>
          <w:rFonts w:ascii="方正仿宋_GBK" w:hAnsi="方正仿宋_GBK" w:eastAsia="方正仿宋_GBK"/>
          <w:szCs w:val="28"/>
          <w:vertAlign w:val="superscript"/>
        </w:rPr>
        <w:t>3</w:t>
      </w:r>
      <w:r>
        <w:rPr>
          <w:rFonts w:ascii="方正仿宋_GBK" w:hAnsi="方正仿宋_GBK" w:eastAsia="方正仿宋_GBK"/>
          <w:szCs w:val="28"/>
        </w:rPr>
        <w:t>/d以上（含5m</w:t>
      </w:r>
      <w:r>
        <w:rPr>
          <w:rFonts w:ascii="方正仿宋_GBK" w:hAnsi="方正仿宋_GBK" w:eastAsia="方正仿宋_GBK"/>
          <w:szCs w:val="28"/>
          <w:vertAlign w:val="superscript"/>
        </w:rPr>
        <w:t>3</w:t>
      </w:r>
      <w:r>
        <w:rPr>
          <w:rFonts w:ascii="方正仿宋_GBK" w:hAnsi="方正仿宋_GBK" w:eastAsia="方正仿宋_GBK"/>
          <w:szCs w:val="28"/>
        </w:rPr>
        <w:t>/d），出水直接排入湖泊等封闭、半封闭等环境敏感区水域的，执行一级A标准。出水直接排入《地表水环境质量标准》（GB 3838）</w:t>
      </w:r>
      <w:r>
        <w:rPr>
          <w:rFonts w:hint="eastAsia" w:ascii="方正仿宋_GBK" w:hAnsi="方正仿宋_GBK" w:eastAsia="方正仿宋_GBK"/>
          <w:szCs w:val="28"/>
        </w:rPr>
        <w:t>Ⅱ</w:t>
      </w:r>
      <w:r>
        <w:rPr>
          <w:rFonts w:ascii="方正仿宋_GBK" w:hAnsi="方正仿宋_GBK" w:eastAsia="方正仿宋_GBK"/>
          <w:szCs w:val="28"/>
        </w:rPr>
        <w:t>、</w:t>
      </w:r>
      <w:r>
        <w:rPr>
          <w:rFonts w:hint="eastAsia" w:ascii="方正仿宋_GBK" w:hAnsi="方正仿宋_GBK" w:eastAsia="方正仿宋_GBK"/>
          <w:szCs w:val="28"/>
        </w:rPr>
        <w:t>Ⅲ</w:t>
      </w:r>
      <w:r>
        <w:rPr>
          <w:rFonts w:ascii="方正仿宋_GBK" w:hAnsi="方正仿宋_GBK" w:eastAsia="方正仿宋_GBK"/>
          <w:szCs w:val="28"/>
        </w:rPr>
        <w:t>类功能水域的，执行一级B标准。出水直接排入《地表水环境质量标准》（GB 3838）</w:t>
      </w:r>
      <w:r>
        <w:rPr>
          <w:rFonts w:hint="eastAsia" w:ascii="方正仿宋_GBK" w:hAnsi="方正仿宋_GBK" w:eastAsia="方正仿宋_GBK"/>
          <w:szCs w:val="28"/>
        </w:rPr>
        <w:t>Ⅳ</w:t>
      </w:r>
      <w:r>
        <w:rPr>
          <w:rFonts w:ascii="方正仿宋_GBK" w:hAnsi="方正仿宋_GBK" w:eastAsia="方正仿宋_GBK"/>
          <w:szCs w:val="28"/>
        </w:rPr>
        <w:t>、</w:t>
      </w:r>
      <w:r>
        <w:rPr>
          <w:rFonts w:hint="eastAsia" w:ascii="方正仿宋_GBK" w:hAnsi="方正仿宋_GBK" w:eastAsia="方正仿宋_GBK"/>
          <w:szCs w:val="28"/>
        </w:rPr>
        <w:t>Ⅴ</w:t>
      </w:r>
      <w:r>
        <w:rPr>
          <w:rFonts w:ascii="方正仿宋_GBK" w:hAnsi="方正仿宋_GBK" w:eastAsia="方正仿宋_GBK"/>
          <w:szCs w:val="28"/>
        </w:rPr>
        <w:t>类功能水域的，执行二级标准。出水直接排入村庄附近池塘等环境功能未明确水体的，执行三级标准。</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处理规模5m</w:t>
      </w:r>
      <w:r>
        <w:rPr>
          <w:rFonts w:ascii="方正仿宋_GBK" w:hAnsi="方正仿宋_GBK" w:eastAsia="方正仿宋_GBK"/>
          <w:szCs w:val="28"/>
          <w:vertAlign w:val="superscript"/>
        </w:rPr>
        <w:t>3</w:t>
      </w:r>
      <w:r>
        <w:rPr>
          <w:rFonts w:ascii="方正仿宋_GBK" w:hAnsi="方正仿宋_GBK" w:eastAsia="方正仿宋_GBK"/>
          <w:szCs w:val="28"/>
        </w:rPr>
        <w:t>/d以下（不含5m</w:t>
      </w:r>
      <w:r>
        <w:rPr>
          <w:rFonts w:ascii="方正仿宋_GBK" w:hAnsi="方正仿宋_GBK" w:eastAsia="方正仿宋_GBK"/>
          <w:szCs w:val="28"/>
          <w:vertAlign w:val="superscript"/>
        </w:rPr>
        <w:t>3</w:t>
      </w:r>
      <w:r>
        <w:rPr>
          <w:rFonts w:ascii="方正仿宋_GBK" w:hAnsi="方正仿宋_GBK" w:eastAsia="方正仿宋_GBK"/>
          <w:szCs w:val="28"/>
        </w:rPr>
        <w:t>/d），执行三级标准。</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（2）间接排放</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出水间接排入水体的，执行三级标准，同时最终出水应满足受纳水体的污染物排放控制要求。</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（3）尾水资源化利用</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尾水利用用于农田灌溉的，相关控制指标应满足《农田灌溉水质标准》（GB 5084）规定；用于渔业的，相关控制指标应满足《渔业水质标准》（GB11607）规定；用于景观环境的，相关控制指标应满足《城市污水再生利用－景观环境用水水质》（GB/T 18921）规定；用于其他的，参照国家相关标准执行。</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（4）其他要求</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出水执行三级标准，应保证受纳水体不发生黑臭。</w:t>
      </w:r>
    </w:p>
    <w:p>
      <w:pPr>
        <w:adjustRightInd w:val="0"/>
        <w:snapToGrid w:val="0"/>
        <w:ind w:firstLine="560"/>
        <w:jc w:val="center"/>
        <w:rPr>
          <w:rFonts w:ascii="方正仿宋_GBK"/>
          <w:szCs w:val="28"/>
        </w:rPr>
      </w:pPr>
    </w:p>
    <w:p>
      <w:pPr>
        <w:pStyle w:val="8"/>
        <w:keepNext/>
        <w:spacing w:line="360" w:lineRule="auto"/>
        <w:ind w:firstLine="480"/>
        <w:jc w:val="center"/>
        <w:rPr>
          <w:sz w:val="24"/>
          <w:szCs w:val="24"/>
        </w:rPr>
      </w:pPr>
      <w:r>
        <w:rPr>
          <w:rFonts w:hint="eastAsia"/>
          <w:sz w:val="24"/>
          <w:szCs w:val="24"/>
        </w:rPr>
        <w:t xml:space="preserve">表4.5- </w:t>
      </w:r>
      <w:r>
        <w:rPr>
          <w:sz w:val="24"/>
          <w:szCs w:val="24"/>
        </w:rPr>
        <w:fldChar w:fldCharType="begin"/>
      </w:r>
      <w:r>
        <w:rPr>
          <w:rFonts w:hint="eastAsia"/>
          <w:sz w:val="24"/>
          <w:szCs w:val="24"/>
        </w:rPr>
        <w:instrText xml:space="preserve">SEQ 表4.5- \* ARABIC</w:instrText>
      </w:r>
      <w:r>
        <w:rPr>
          <w:sz w:val="24"/>
          <w:szCs w:val="24"/>
        </w:rPr>
        <w:fldChar w:fldCharType="separate"/>
      </w:r>
      <w:r>
        <w:rPr>
          <w:sz w:val="24"/>
          <w:szCs w:val="24"/>
        </w:rPr>
        <w:t>1</w:t>
      </w:r>
      <w:r>
        <w:rPr>
          <w:sz w:val="24"/>
          <w:szCs w:val="24"/>
        </w:rPr>
        <w:fldChar w:fldCharType="end"/>
      </w:r>
      <w:r>
        <w:rPr>
          <w:rFonts w:hint="eastAsia"/>
          <w:sz w:val="24"/>
          <w:szCs w:val="24"/>
        </w:rPr>
        <w:t>水污染物最高允许排放浓度</w:t>
      </w:r>
    </w:p>
    <w:tbl>
      <w:tblPr>
        <w:tblStyle w:val="26"/>
        <w:tblW w:w="5000" w:type="pct"/>
        <w:jc w:val="center"/>
        <w:tblLayout w:type="autofit"/>
        <w:tblCellMar>
          <w:top w:w="0" w:type="dxa"/>
          <w:left w:w="108" w:type="dxa"/>
          <w:bottom w:w="0" w:type="dxa"/>
          <w:right w:w="108" w:type="dxa"/>
        </w:tblCellMar>
      </w:tblPr>
      <w:tblGrid>
        <w:gridCol w:w="760"/>
        <w:gridCol w:w="3065"/>
        <w:gridCol w:w="1377"/>
        <w:gridCol w:w="1381"/>
        <w:gridCol w:w="1840"/>
        <w:gridCol w:w="1687"/>
      </w:tblGrid>
      <w:tr>
        <w:tblPrEx>
          <w:tblCellMar>
            <w:top w:w="0" w:type="dxa"/>
            <w:left w:w="108" w:type="dxa"/>
            <w:bottom w:w="0" w:type="dxa"/>
            <w:right w:w="108" w:type="dxa"/>
          </w:tblCellMar>
        </w:tblPrEx>
        <w:trPr>
          <w:trHeight w:val="285" w:hRule="atLeast"/>
          <w:jc w:val="center"/>
        </w:trPr>
        <w:tc>
          <w:tcPr>
            <w:tcW w:w="376"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b/>
                <w:bCs/>
                <w:sz w:val="24"/>
                <w:szCs w:val="24"/>
              </w:rPr>
            </w:pPr>
            <w:r>
              <w:rPr>
                <w:rFonts w:eastAsia="方正仿宋_GBK"/>
                <w:b/>
                <w:bCs/>
                <w:sz w:val="24"/>
                <w:szCs w:val="24"/>
              </w:rPr>
              <w:t>序号</w:t>
            </w:r>
          </w:p>
        </w:tc>
        <w:tc>
          <w:tcPr>
            <w:tcW w:w="1516"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b/>
                <w:bCs/>
                <w:sz w:val="24"/>
                <w:szCs w:val="24"/>
              </w:rPr>
            </w:pPr>
            <w:r>
              <w:rPr>
                <w:rFonts w:eastAsia="方正仿宋_GBK"/>
                <w:b/>
                <w:bCs/>
                <w:sz w:val="24"/>
                <w:szCs w:val="24"/>
              </w:rPr>
              <w:t>控制项目名称</w:t>
            </w:r>
          </w:p>
        </w:tc>
        <w:tc>
          <w:tcPr>
            <w:tcW w:w="1364" w:type="pct"/>
            <w:gridSpan w:val="2"/>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b/>
                <w:bCs/>
                <w:sz w:val="24"/>
                <w:szCs w:val="24"/>
              </w:rPr>
            </w:pPr>
            <w:r>
              <w:rPr>
                <w:rFonts w:eastAsia="方正仿宋_GBK"/>
                <w:b/>
                <w:bCs/>
                <w:sz w:val="24"/>
                <w:szCs w:val="24"/>
              </w:rPr>
              <w:t>一级标准</w:t>
            </w:r>
          </w:p>
        </w:tc>
        <w:tc>
          <w:tcPr>
            <w:tcW w:w="910" w:type="pct"/>
            <w:vMerge w:val="restart"/>
            <w:tcBorders>
              <w:top w:val="single" w:color="auto" w:sz="4" w:space="0"/>
              <w:left w:val="nil"/>
              <w:bottom w:val="single" w:color="000000" w:sz="4" w:space="0"/>
              <w:right w:val="single" w:color="auto" w:sz="4" w:space="0"/>
            </w:tcBorders>
            <w:vAlign w:val="center"/>
          </w:tcPr>
          <w:p>
            <w:pPr>
              <w:adjustRightInd w:val="0"/>
              <w:snapToGrid w:val="0"/>
              <w:spacing w:line="240" w:lineRule="auto"/>
              <w:ind w:firstLine="0" w:firstLineChars="0"/>
              <w:jc w:val="center"/>
              <w:rPr>
                <w:rFonts w:eastAsia="方正仿宋_GBK"/>
                <w:b/>
                <w:bCs/>
                <w:sz w:val="24"/>
                <w:szCs w:val="24"/>
              </w:rPr>
            </w:pPr>
            <w:r>
              <w:rPr>
                <w:rFonts w:eastAsia="方正仿宋_GBK"/>
                <w:b/>
                <w:bCs/>
                <w:sz w:val="24"/>
                <w:szCs w:val="24"/>
              </w:rPr>
              <w:t>二级标准</w:t>
            </w:r>
          </w:p>
        </w:tc>
        <w:tc>
          <w:tcPr>
            <w:tcW w:w="834" w:type="pct"/>
            <w:vMerge w:val="restart"/>
            <w:tcBorders>
              <w:top w:val="single" w:color="auto" w:sz="4" w:space="0"/>
              <w:left w:val="nil"/>
              <w:bottom w:val="single" w:color="000000" w:sz="4" w:space="0"/>
              <w:right w:val="single" w:color="auto" w:sz="4" w:space="0"/>
            </w:tcBorders>
            <w:vAlign w:val="center"/>
          </w:tcPr>
          <w:p>
            <w:pPr>
              <w:adjustRightInd w:val="0"/>
              <w:snapToGrid w:val="0"/>
              <w:spacing w:line="240" w:lineRule="auto"/>
              <w:ind w:firstLine="0" w:firstLineChars="0"/>
              <w:jc w:val="center"/>
              <w:rPr>
                <w:rFonts w:eastAsia="方正仿宋_GBK"/>
                <w:b/>
                <w:bCs/>
                <w:sz w:val="24"/>
                <w:szCs w:val="24"/>
              </w:rPr>
            </w:pPr>
            <w:r>
              <w:rPr>
                <w:rFonts w:eastAsia="方正仿宋_GBK"/>
                <w:b/>
                <w:bCs/>
                <w:sz w:val="24"/>
                <w:szCs w:val="24"/>
              </w:rPr>
              <w:t>三级标准</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Calibri" w:hAnsi="Calibri"/>
                <w:b/>
                <w:bCs/>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Calibri" w:hAnsi="Calibri"/>
                <w:b/>
                <w:bCs/>
                <w:sz w:val="24"/>
                <w:szCs w:val="24"/>
              </w:rPr>
            </w:pPr>
          </w:p>
        </w:tc>
        <w:tc>
          <w:tcPr>
            <w:tcW w:w="68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b/>
                <w:bCs/>
                <w:sz w:val="24"/>
                <w:szCs w:val="24"/>
              </w:rPr>
            </w:pPr>
            <w:r>
              <w:rPr>
                <w:rFonts w:eastAsia="方正仿宋_GBK"/>
                <w:b/>
                <w:bCs/>
                <w:sz w:val="24"/>
                <w:szCs w:val="24"/>
              </w:rPr>
              <w:t>A标准</w:t>
            </w:r>
          </w:p>
        </w:tc>
        <w:tc>
          <w:tcPr>
            <w:tcW w:w="683"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b/>
                <w:bCs/>
                <w:sz w:val="24"/>
                <w:szCs w:val="24"/>
              </w:rPr>
            </w:pPr>
            <w:r>
              <w:rPr>
                <w:rFonts w:eastAsia="方正仿宋_GBK"/>
                <w:b/>
                <w:bCs/>
                <w:sz w:val="24"/>
                <w:szCs w:val="24"/>
              </w:rPr>
              <w:t>B标准</w:t>
            </w:r>
          </w:p>
        </w:tc>
        <w:tc>
          <w:tcPr>
            <w:tcW w:w="0" w:type="auto"/>
            <w:vMerge w:val="continue"/>
            <w:tcBorders>
              <w:top w:val="single" w:color="auto" w:sz="4" w:space="0"/>
              <w:left w:val="nil"/>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Calibri" w:hAnsi="Calibri"/>
                <w:b/>
                <w:bCs/>
                <w:sz w:val="24"/>
                <w:szCs w:val="24"/>
              </w:rPr>
            </w:pPr>
          </w:p>
        </w:tc>
        <w:tc>
          <w:tcPr>
            <w:tcW w:w="0" w:type="auto"/>
            <w:vMerge w:val="continue"/>
            <w:tcBorders>
              <w:top w:val="single" w:color="auto" w:sz="4" w:space="0"/>
              <w:left w:val="nil"/>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Calibri" w:hAnsi="Calibri"/>
                <w:b/>
                <w:bCs/>
                <w:sz w:val="24"/>
                <w:szCs w:val="24"/>
              </w:rPr>
            </w:pPr>
          </w:p>
        </w:tc>
      </w:tr>
      <w:tr>
        <w:tblPrEx>
          <w:tblCellMar>
            <w:top w:w="0" w:type="dxa"/>
            <w:left w:w="108" w:type="dxa"/>
            <w:bottom w:w="0" w:type="dxa"/>
            <w:right w:w="108" w:type="dxa"/>
          </w:tblCellMar>
        </w:tblPrEx>
        <w:trPr>
          <w:trHeight w:val="327" w:hRule="atLeast"/>
          <w:jc w:val="center"/>
        </w:trPr>
        <w:tc>
          <w:tcPr>
            <w:tcW w:w="376" w:type="pc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1</w:t>
            </w:r>
          </w:p>
        </w:tc>
        <w:tc>
          <w:tcPr>
            <w:tcW w:w="1516"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pH值，无量纲</w:t>
            </w:r>
          </w:p>
        </w:tc>
        <w:tc>
          <w:tcPr>
            <w:tcW w:w="3108" w:type="pct"/>
            <w:gridSpan w:val="4"/>
            <w:tcBorders>
              <w:top w:val="single" w:color="auto" w:sz="4" w:space="0"/>
              <w:left w:val="nil"/>
              <w:bottom w:val="single" w:color="auto" w:sz="4" w:space="0"/>
              <w:right w:val="single" w:color="000000"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6~9</w:t>
            </w:r>
          </w:p>
        </w:tc>
      </w:tr>
      <w:tr>
        <w:tblPrEx>
          <w:tblCellMar>
            <w:top w:w="0" w:type="dxa"/>
            <w:left w:w="108" w:type="dxa"/>
            <w:bottom w:w="0" w:type="dxa"/>
            <w:right w:w="108" w:type="dxa"/>
          </w:tblCellMar>
        </w:tblPrEx>
        <w:trPr>
          <w:trHeight w:val="327" w:hRule="atLeast"/>
          <w:jc w:val="center"/>
        </w:trPr>
        <w:tc>
          <w:tcPr>
            <w:tcW w:w="376" w:type="pc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2</w:t>
            </w:r>
          </w:p>
        </w:tc>
        <w:tc>
          <w:tcPr>
            <w:tcW w:w="1516"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化学需氧量(COD), mg/L</w:t>
            </w:r>
          </w:p>
        </w:tc>
        <w:tc>
          <w:tcPr>
            <w:tcW w:w="1364" w:type="pct"/>
            <w:gridSpan w:val="2"/>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60</w:t>
            </w:r>
          </w:p>
        </w:tc>
        <w:tc>
          <w:tcPr>
            <w:tcW w:w="91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100</w:t>
            </w:r>
          </w:p>
        </w:tc>
        <w:tc>
          <w:tcPr>
            <w:tcW w:w="834"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120</w:t>
            </w:r>
          </w:p>
        </w:tc>
      </w:tr>
      <w:tr>
        <w:tblPrEx>
          <w:tblCellMar>
            <w:top w:w="0" w:type="dxa"/>
            <w:left w:w="108" w:type="dxa"/>
            <w:bottom w:w="0" w:type="dxa"/>
            <w:right w:w="108" w:type="dxa"/>
          </w:tblCellMar>
        </w:tblPrEx>
        <w:trPr>
          <w:trHeight w:val="327" w:hRule="atLeast"/>
          <w:jc w:val="center"/>
        </w:trPr>
        <w:tc>
          <w:tcPr>
            <w:tcW w:w="376" w:type="pc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3</w:t>
            </w:r>
          </w:p>
        </w:tc>
        <w:tc>
          <w:tcPr>
            <w:tcW w:w="1516"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悬浮物(SS)，mg/L</w:t>
            </w:r>
          </w:p>
        </w:tc>
        <w:tc>
          <w:tcPr>
            <w:tcW w:w="1364" w:type="pct"/>
            <w:gridSpan w:val="2"/>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20</w:t>
            </w:r>
          </w:p>
        </w:tc>
        <w:tc>
          <w:tcPr>
            <w:tcW w:w="91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30</w:t>
            </w:r>
          </w:p>
        </w:tc>
        <w:tc>
          <w:tcPr>
            <w:tcW w:w="834"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50</w:t>
            </w:r>
          </w:p>
        </w:tc>
      </w:tr>
      <w:tr>
        <w:tblPrEx>
          <w:tblCellMar>
            <w:top w:w="0" w:type="dxa"/>
            <w:left w:w="108" w:type="dxa"/>
            <w:bottom w:w="0" w:type="dxa"/>
            <w:right w:w="108" w:type="dxa"/>
          </w:tblCellMar>
        </w:tblPrEx>
        <w:trPr>
          <w:trHeight w:val="327" w:hRule="atLeast"/>
          <w:jc w:val="center"/>
        </w:trPr>
        <w:tc>
          <w:tcPr>
            <w:tcW w:w="376" w:type="pc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4</w:t>
            </w:r>
          </w:p>
        </w:tc>
        <w:tc>
          <w:tcPr>
            <w:tcW w:w="1516"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氨氮a(NH</w:t>
            </w:r>
            <w:r>
              <w:rPr>
                <w:rFonts w:eastAsia="方正仿宋_GBK"/>
                <w:sz w:val="24"/>
                <w:szCs w:val="24"/>
                <w:vertAlign w:val="subscript"/>
              </w:rPr>
              <w:t>3</w:t>
            </w:r>
            <w:r>
              <w:rPr>
                <w:rFonts w:eastAsia="方正仿宋_GBK"/>
                <w:sz w:val="24"/>
                <w:szCs w:val="24"/>
              </w:rPr>
              <w:t>-N)，mg/L</w:t>
            </w:r>
          </w:p>
        </w:tc>
        <w:tc>
          <w:tcPr>
            <w:tcW w:w="1364" w:type="pct"/>
            <w:gridSpan w:val="2"/>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8</w:t>
            </w:r>
            <w:r>
              <w:rPr>
                <w:rFonts w:ascii="宋体" w:hAnsi="宋体"/>
                <w:sz w:val="24"/>
                <w:szCs w:val="24"/>
              </w:rPr>
              <w:t>（</w:t>
            </w:r>
            <w:r>
              <w:rPr>
                <w:sz w:val="24"/>
                <w:szCs w:val="24"/>
              </w:rPr>
              <w:t>15</w:t>
            </w:r>
            <w:r>
              <w:rPr>
                <w:rFonts w:ascii="宋体" w:hAnsi="宋体"/>
                <w:sz w:val="24"/>
                <w:szCs w:val="24"/>
              </w:rPr>
              <w:t>）</w:t>
            </w:r>
          </w:p>
        </w:tc>
        <w:tc>
          <w:tcPr>
            <w:tcW w:w="91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15</w:t>
            </w:r>
            <w:r>
              <w:rPr>
                <w:rFonts w:ascii="宋体" w:hAnsi="宋体"/>
                <w:sz w:val="24"/>
                <w:szCs w:val="24"/>
              </w:rPr>
              <w:t>（</w:t>
            </w:r>
            <w:r>
              <w:rPr>
                <w:sz w:val="24"/>
                <w:szCs w:val="24"/>
              </w:rPr>
              <w:t>20</w:t>
            </w:r>
            <w:r>
              <w:rPr>
                <w:rFonts w:ascii="宋体" w:hAnsi="宋体"/>
                <w:sz w:val="24"/>
                <w:szCs w:val="24"/>
              </w:rPr>
              <w:t>）</w:t>
            </w:r>
            <w:r>
              <w:rPr>
                <w:sz w:val="24"/>
                <w:szCs w:val="24"/>
              </w:rPr>
              <w:t>c</w:t>
            </w:r>
          </w:p>
        </w:tc>
        <w:tc>
          <w:tcPr>
            <w:tcW w:w="834"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15</w:t>
            </w:r>
            <w:r>
              <w:rPr>
                <w:rFonts w:ascii="宋体" w:hAnsi="宋体"/>
                <w:sz w:val="24"/>
                <w:szCs w:val="24"/>
              </w:rPr>
              <w:t>（</w:t>
            </w:r>
            <w:r>
              <w:rPr>
                <w:sz w:val="24"/>
                <w:szCs w:val="24"/>
              </w:rPr>
              <w:t>20</w:t>
            </w:r>
            <w:r>
              <w:rPr>
                <w:rFonts w:ascii="宋体" w:hAnsi="宋体"/>
                <w:sz w:val="24"/>
                <w:szCs w:val="24"/>
              </w:rPr>
              <w:t>）</w:t>
            </w:r>
            <w:r>
              <w:rPr>
                <w:sz w:val="24"/>
                <w:szCs w:val="24"/>
              </w:rPr>
              <w:t>b</w:t>
            </w:r>
          </w:p>
        </w:tc>
      </w:tr>
      <w:tr>
        <w:tblPrEx>
          <w:tblCellMar>
            <w:top w:w="0" w:type="dxa"/>
            <w:left w:w="108" w:type="dxa"/>
            <w:bottom w:w="0" w:type="dxa"/>
            <w:right w:w="108" w:type="dxa"/>
          </w:tblCellMar>
        </w:tblPrEx>
        <w:trPr>
          <w:trHeight w:val="327" w:hRule="atLeast"/>
          <w:jc w:val="center"/>
        </w:trPr>
        <w:tc>
          <w:tcPr>
            <w:tcW w:w="376" w:type="pc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5</w:t>
            </w:r>
          </w:p>
        </w:tc>
        <w:tc>
          <w:tcPr>
            <w:tcW w:w="1516"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总氮(以N计)，mg/L</w:t>
            </w:r>
          </w:p>
        </w:tc>
        <w:tc>
          <w:tcPr>
            <w:tcW w:w="68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20</w:t>
            </w:r>
          </w:p>
        </w:tc>
        <w:tc>
          <w:tcPr>
            <w:tcW w:w="683" w:type="pct"/>
            <w:tcBorders>
              <w:top w:val="nil"/>
              <w:left w:val="nil"/>
              <w:bottom w:val="single" w:color="auto" w:sz="4" w:space="0"/>
              <w:right w:val="single" w:color="auto" w:sz="4" w:space="0"/>
            </w:tcBorders>
            <w:vAlign w:val="bottom"/>
          </w:tcPr>
          <w:p>
            <w:pPr>
              <w:adjustRightInd w:val="0"/>
              <w:snapToGrid w:val="0"/>
              <w:spacing w:line="240" w:lineRule="auto"/>
              <w:ind w:firstLine="0" w:firstLineChars="0"/>
              <w:jc w:val="center"/>
              <w:rPr>
                <w:rFonts w:ascii="Calibri" w:hAnsi="Calibri"/>
                <w:sz w:val="24"/>
                <w:szCs w:val="24"/>
              </w:rPr>
            </w:pPr>
            <w:r>
              <w:rPr>
                <w:sz w:val="24"/>
                <w:szCs w:val="24"/>
              </w:rPr>
              <w:t>20 c</w:t>
            </w:r>
          </w:p>
        </w:tc>
        <w:tc>
          <w:tcPr>
            <w:tcW w:w="91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w:t>
            </w:r>
          </w:p>
        </w:tc>
        <w:tc>
          <w:tcPr>
            <w:tcW w:w="834"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w:t>
            </w:r>
          </w:p>
        </w:tc>
      </w:tr>
      <w:tr>
        <w:tblPrEx>
          <w:tblCellMar>
            <w:top w:w="0" w:type="dxa"/>
            <w:left w:w="108" w:type="dxa"/>
            <w:bottom w:w="0" w:type="dxa"/>
            <w:right w:w="108" w:type="dxa"/>
          </w:tblCellMar>
        </w:tblPrEx>
        <w:trPr>
          <w:trHeight w:val="327" w:hRule="atLeast"/>
          <w:jc w:val="center"/>
        </w:trPr>
        <w:tc>
          <w:tcPr>
            <w:tcW w:w="376" w:type="pc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6</w:t>
            </w:r>
          </w:p>
        </w:tc>
        <w:tc>
          <w:tcPr>
            <w:tcW w:w="1516"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总磷(以P计)，mg/L</w:t>
            </w:r>
          </w:p>
        </w:tc>
        <w:tc>
          <w:tcPr>
            <w:tcW w:w="681"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1</w:t>
            </w:r>
          </w:p>
        </w:tc>
        <w:tc>
          <w:tcPr>
            <w:tcW w:w="683" w:type="pct"/>
            <w:tcBorders>
              <w:top w:val="nil"/>
              <w:left w:val="nil"/>
              <w:bottom w:val="single" w:color="auto" w:sz="4" w:space="0"/>
              <w:right w:val="single" w:color="auto" w:sz="4" w:space="0"/>
            </w:tcBorders>
            <w:vAlign w:val="bottom"/>
          </w:tcPr>
          <w:p>
            <w:pPr>
              <w:adjustRightInd w:val="0"/>
              <w:snapToGrid w:val="0"/>
              <w:spacing w:line="240" w:lineRule="auto"/>
              <w:ind w:firstLine="0" w:firstLineChars="0"/>
              <w:jc w:val="center"/>
              <w:rPr>
                <w:rFonts w:ascii="Calibri" w:hAnsi="Calibri"/>
                <w:sz w:val="24"/>
                <w:szCs w:val="24"/>
              </w:rPr>
            </w:pPr>
            <w:r>
              <w:rPr>
                <w:sz w:val="24"/>
                <w:szCs w:val="24"/>
              </w:rPr>
              <w:t>1 c</w:t>
            </w:r>
          </w:p>
        </w:tc>
        <w:tc>
          <w:tcPr>
            <w:tcW w:w="91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3 c</w:t>
            </w:r>
          </w:p>
        </w:tc>
        <w:tc>
          <w:tcPr>
            <w:tcW w:w="834"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w:t>
            </w:r>
          </w:p>
        </w:tc>
      </w:tr>
      <w:tr>
        <w:tblPrEx>
          <w:tblCellMar>
            <w:top w:w="0" w:type="dxa"/>
            <w:left w:w="108" w:type="dxa"/>
            <w:bottom w:w="0" w:type="dxa"/>
            <w:right w:w="108" w:type="dxa"/>
          </w:tblCellMar>
        </w:tblPrEx>
        <w:trPr>
          <w:trHeight w:val="327" w:hRule="atLeast"/>
          <w:jc w:val="center"/>
        </w:trPr>
        <w:tc>
          <w:tcPr>
            <w:tcW w:w="376" w:type="pc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7</w:t>
            </w:r>
          </w:p>
        </w:tc>
        <w:tc>
          <w:tcPr>
            <w:tcW w:w="1516"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动植物油d，mg/L</w:t>
            </w:r>
          </w:p>
        </w:tc>
        <w:tc>
          <w:tcPr>
            <w:tcW w:w="1364" w:type="pct"/>
            <w:gridSpan w:val="2"/>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3</w:t>
            </w:r>
          </w:p>
        </w:tc>
        <w:tc>
          <w:tcPr>
            <w:tcW w:w="910"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5</w:t>
            </w:r>
          </w:p>
        </w:tc>
        <w:tc>
          <w:tcPr>
            <w:tcW w:w="834"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Calibri" w:hAnsi="Calibri"/>
                <w:sz w:val="24"/>
                <w:szCs w:val="24"/>
              </w:rPr>
            </w:pPr>
            <w:r>
              <w:rPr>
                <w:sz w:val="24"/>
                <w:szCs w:val="24"/>
              </w:rPr>
              <w:t>20</w:t>
            </w:r>
          </w:p>
        </w:tc>
      </w:tr>
      <w:tr>
        <w:tblPrEx>
          <w:tblCellMar>
            <w:top w:w="0" w:type="dxa"/>
            <w:left w:w="108" w:type="dxa"/>
            <w:bottom w:w="0" w:type="dxa"/>
            <w:right w:w="108" w:type="dxa"/>
          </w:tblCellMar>
        </w:tblPrEx>
        <w:trPr>
          <w:trHeight w:val="4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ascii="Calibri" w:hAnsi="Calibri"/>
                <w:sz w:val="24"/>
                <w:szCs w:val="24"/>
              </w:rPr>
            </w:pPr>
            <w:r>
              <w:rPr>
                <w:sz w:val="24"/>
                <w:szCs w:val="24"/>
              </w:rPr>
              <w:t xml:space="preserve">注：a </w:t>
            </w:r>
            <w:r>
              <w:rPr>
                <w:rFonts w:ascii="宋体" w:hAnsi="宋体"/>
                <w:sz w:val="24"/>
                <w:szCs w:val="24"/>
              </w:rPr>
              <w:t>括号外数值为水温＞</w:t>
            </w:r>
            <w:r>
              <w:rPr>
                <w:sz w:val="24"/>
                <w:szCs w:val="24"/>
              </w:rPr>
              <w:t>12</w:t>
            </w:r>
            <w:r>
              <w:rPr>
                <w:rFonts w:hint="eastAsia" w:ascii="宋体" w:hAnsi="宋体"/>
                <w:sz w:val="24"/>
                <w:szCs w:val="24"/>
              </w:rPr>
              <w:t>℃</w:t>
            </w:r>
            <w:r>
              <w:rPr>
                <w:sz w:val="24"/>
                <w:szCs w:val="24"/>
              </w:rPr>
              <w:t>时的控制指标，括号内数值为水温≤12</w:t>
            </w:r>
            <w:r>
              <w:rPr>
                <w:rFonts w:hint="eastAsia" w:ascii="宋体" w:hAnsi="宋体"/>
                <w:sz w:val="24"/>
                <w:szCs w:val="24"/>
              </w:rPr>
              <w:t>℃</w:t>
            </w:r>
            <w:r>
              <w:rPr>
                <w:sz w:val="24"/>
                <w:szCs w:val="24"/>
              </w:rPr>
              <w:t>时的控制指标。</w:t>
            </w:r>
          </w:p>
          <w:p>
            <w:pPr>
              <w:adjustRightInd w:val="0"/>
              <w:snapToGrid w:val="0"/>
              <w:spacing w:line="240" w:lineRule="auto"/>
              <w:ind w:firstLine="0" w:firstLineChars="0"/>
              <w:jc w:val="left"/>
              <w:rPr>
                <w:sz w:val="24"/>
                <w:szCs w:val="24"/>
              </w:rPr>
            </w:pPr>
            <w:r>
              <w:rPr>
                <w:sz w:val="24"/>
                <w:szCs w:val="24"/>
              </w:rPr>
              <w:t xml:space="preserve">b </w:t>
            </w:r>
            <w:r>
              <w:rPr>
                <w:rFonts w:ascii="宋体" w:hAnsi="宋体"/>
                <w:sz w:val="24"/>
                <w:szCs w:val="24"/>
              </w:rPr>
              <w:t>当出水直接排入村庄附近池塘等环境功能未明确水体时执行。</w:t>
            </w:r>
          </w:p>
          <w:p>
            <w:pPr>
              <w:adjustRightInd w:val="0"/>
              <w:snapToGrid w:val="0"/>
              <w:spacing w:line="240" w:lineRule="auto"/>
              <w:ind w:firstLine="0" w:firstLineChars="0"/>
              <w:jc w:val="left"/>
              <w:rPr>
                <w:sz w:val="24"/>
                <w:szCs w:val="24"/>
              </w:rPr>
            </w:pPr>
            <w:r>
              <w:rPr>
                <w:sz w:val="24"/>
                <w:szCs w:val="24"/>
              </w:rPr>
              <w:t xml:space="preserve">c </w:t>
            </w:r>
            <w:r>
              <w:rPr>
                <w:rFonts w:ascii="宋体" w:hAnsi="宋体"/>
                <w:sz w:val="24"/>
                <w:szCs w:val="24"/>
              </w:rPr>
              <w:t>当出水直接排入氮磷不达标水体时执行。</w:t>
            </w:r>
          </w:p>
          <w:p>
            <w:pPr>
              <w:adjustRightInd w:val="0"/>
              <w:snapToGrid w:val="0"/>
              <w:spacing w:line="240" w:lineRule="auto"/>
              <w:ind w:firstLine="0" w:firstLineChars="0"/>
              <w:jc w:val="left"/>
              <w:rPr>
                <w:rFonts w:ascii="Calibri" w:hAnsi="Calibri"/>
                <w:sz w:val="24"/>
                <w:szCs w:val="24"/>
              </w:rPr>
            </w:pPr>
            <w:r>
              <w:rPr>
                <w:sz w:val="24"/>
                <w:szCs w:val="24"/>
              </w:rPr>
              <w:t xml:space="preserve">d </w:t>
            </w:r>
            <w:r>
              <w:rPr>
                <w:rFonts w:ascii="宋体" w:hAnsi="宋体"/>
                <w:sz w:val="24"/>
                <w:szCs w:val="24"/>
              </w:rPr>
              <w:t>进水含餐饮服务的农村生活污水处理设施的控制指标。</w:t>
            </w:r>
          </w:p>
        </w:tc>
      </w:tr>
    </w:tbl>
    <w:p>
      <w:pPr>
        <w:adjustRightInd w:val="0"/>
        <w:snapToGrid w:val="0"/>
        <w:ind w:firstLine="560"/>
        <w:rPr>
          <w:rFonts w:ascii="方正仿宋_GBK" w:hAnsi="方正仿宋_GBK"/>
          <w:szCs w:val="28"/>
        </w:rPr>
      </w:pPr>
    </w:p>
    <w:p>
      <w:pPr>
        <w:adjustRightInd w:val="0"/>
        <w:snapToGrid w:val="0"/>
        <w:ind w:firstLine="560"/>
        <w:rPr>
          <w:rFonts w:ascii="方正仿宋_GBK" w:hAnsi="Calibri"/>
          <w:szCs w:val="28"/>
        </w:rPr>
      </w:pPr>
      <w:r>
        <w:rPr>
          <w:rFonts w:ascii="方正仿宋_GBK" w:hAnsi="方正仿宋_GBK"/>
          <w:szCs w:val="28"/>
        </w:rPr>
        <w:t>根据</w:t>
      </w:r>
      <w:r>
        <w:rPr>
          <w:rFonts w:hint="eastAsia" w:ascii="方正仿宋_GBK" w:hAnsi="方正仿宋_GBK"/>
          <w:szCs w:val="28"/>
        </w:rPr>
        <w:t>晋宁区</w:t>
      </w:r>
      <w:r>
        <w:rPr>
          <w:rFonts w:ascii="方正仿宋_GBK" w:hAnsi="方正仿宋_GBK"/>
          <w:szCs w:val="28"/>
        </w:rPr>
        <w:t>村庄特点以及对周边环境敏感度，不同村庄类型出水排放标准</w:t>
      </w:r>
      <w:r>
        <w:rPr>
          <w:rFonts w:hint="eastAsia" w:ascii="方正仿宋_GBK" w:hAnsi="方正仿宋_GBK"/>
          <w:szCs w:val="28"/>
        </w:rPr>
        <w:t>如</w:t>
      </w:r>
      <w:r>
        <w:rPr>
          <w:rFonts w:ascii="方正仿宋_GBK" w:hAnsi="方正仿宋_GBK" w:eastAsia="方正仿宋_GBK"/>
          <w:szCs w:val="28"/>
        </w:rPr>
        <w:t>表</w:t>
      </w:r>
      <w:r>
        <w:rPr>
          <w:rFonts w:hint="eastAsia" w:ascii="方正仿宋_GBK" w:hAnsi="方正仿宋_GBK" w:eastAsia="方正仿宋_GBK"/>
          <w:szCs w:val="28"/>
        </w:rPr>
        <w:t>4.5-2</w:t>
      </w:r>
      <w:r>
        <w:rPr>
          <w:rFonts w:ascii="方正仿宋_GBK" w:hAnsi="方正仿宋_GBK" w:eastAsia="方正仿宋_GBK"/>
          <w:szCs w:val="28"/>
        </w:rPr>
        <w:t>所示。各村庄详细出水水质要求见附表</w:t>
      </w:r>
      <w:r>
        <w:rPr>
          <w:rFonts w:hint="eastAsia" w:ascii="方正仿宋_GBK" w:hAnsi="方正仿宋_GBK" w:eastAsiaTheme="minorEastAsia"/>
          <w:szCs w:val="28"/>
        </w:rPr>
        <w:t>1</w:t>
      </w:r>
      <w:r>
        <w:rPr>
          <w:rFonts w:ascii="方正仿宋_GBK" w:hAnsi="方正仿宋_GBK" w:eastAsia="方正仿宋_GBK"/>
          <w:szCs w:val="28"/>
        </w:rPr>
        <w:t>。</w:t>
      </w:r>
    </w:p>
    <w:p>
      <w:pPr>
        <w:adjustRightInd w:val="0"/>
        <w:snapToGrid w:val="0"/>
        <w:ind w:firstLine="560"/>
        <w:jc w:val="center"/>
        <w:rPr>
          <w:rFonts w:ascii="方正仿宋_GBK"/>
          <w:szCs w:val="28"/>
        </w:rPr>
      </w:pPr>
    </w:p>
    <w:p>
      <w:pPr>
        <w:pStyle w:val="8"/>
        <w:keepNext/>
        <w:spacing w:line="360" w:lineRule="auto"/>
        <w:ind w:firstLine="480"/>
        <w:jc w:val="center"/>
        <w:rPr>
          <w:sz w:val="24"/>
          <w:szCs w:val="24"/>
        </w:rPr>
      </w:pPr>
      <w:r>
        <w:rPr>
          <w:rFonts w:hint="eastAsia"/>
          <w:sz w:val="24"/>
          <w:szCs w:val="24"/>
        </w:rPr>
        <w:t xml:space="preserve">表4.5- </w:t>
      </w:r>
      <w:r>
        <w:rPr>
          <w:sz w:val="24"/>
          <w:szCs w:val="24"/>
        </w:rPr>
        <w:fldChar w:fldCharType="begin"/>
      </w:r>
      <w:r>
        <w:rPr>
          <w:rFonts w:hint="eastAsia"/>
          <w:sz w:val="24"/>
          <w:szCs w:val="24"/>
        </w:rPr>
        <w:instrText xml:space="preserve">SEQ 表4.5- \* ARABIC</w:instrText>
      </w:r>
      <w:r>
        <w:rPr>
          <w:sz w:val="24"/>
          <w:szCs w:val="24"/>
        </w:rPr>
        <w:fldChar w:fldCharType="separate"/>
      </w:r>
      <w:r>
        <w:rPr>
          <w:sz w:val="24"/>
          <w:szCs w:val="24"/>
        </w:rPr>
        <w:t>2</w:t>
      </w:r>
      <w:r>
        <w:rPr>
          <w:sz w:val="24"/>
          <w:szCs w:val="24"/>
        </w:rPr>
        <w:fldChar w:fldCharType="end"/>
      </w:r>
      <w:r>
        <w:rPr>
          <w:rFonts w:hint="eastAsia"/>
          <w:sz w:val="24"/>
          <w:szCs w:val="24"/>
        </w:rPr>
        <w:t>各不同村庄出水排放标准要求表</w:t>
      </w:r>
    </w:p>
    <w:tbl>
      <w:tblPr>
        <w:tblStyle w:val="26"/>
        <w:tblW w:w="5000" w:type="pct"/>
        <w:tblInd w:w="0" w:type="dxa"/>
        <w:tblLayout w:type="autofit"/>
        <w:tblCellMar>
          <w:top w:w="0" w:type="dxa"/>
          <w:left w:w="108" w:type="dxa"/>
          <w:bottom w:w="0" w:type="dxa"/>
          <w:right w:w="108" w:type="dxa"/>
        </w:tblCellMar>
      </w:tblPr>
      <w:tblGrid>
        <w:gridCol w:w="881"/>
        <w:gridCol w:w="2856"/>
        <w:gridCol w:w="2566"/>
        <w:gridCol w:w="3807"/>
      </w:tblGrid>
      <w:tr>
        <w:tblPrEx>
          <w:tblCellMar>
            <w:top w:w="0" w:type="dxa"/>
            <w:left w:w="108" w:type="dxa"/>
            <w:bottom w:w="0" w:type="dxa"/>
            <w:right w:w="108" w:type="dxa"/>
          </w:tblCellMar>
        </w:tblPrEx>
        <w:trPr>
          <w:trHeight w:val="315" w:hRule="atLeast"/>
        </w:trPr>
        <w:tc>
          <w:tcPr>
            <w:tcW w:w="436" w:type="pct"/>
            <w:tcBorders>
              <w:top w:val="single" w:color="auto" w:sz="8" w:space="0"/>
              <w:left w:val="single" w:color="auto" w:sz="8" w:space="0"/>
              <w:bottom w:val="single" w:color="auto" w:sz="8" w:space="0"/>
              <w:right w:val="single" w:color="auto" w:sz="8" w:space="0"/>
            </w:tcBorders>
            <w:noWrap/>
            <w:vAlign w:val="center"/>
          </w:tcPr>
          <w:p>
            <w:pPr>
              <w:adjustRightInd w:val="0"/>
              <w:snapToGrid w:val="0"/>
              <w:spacing w:line="240" w:lineRule="auto"/>
              <w:ind w:firstLine="0" w:firstLineChars="0"/>
              <w:rPr>
                <w:rFonts w:eastAsia="方正仿宋_GBK"/>
                <w:b/>
                <w:bCs/>
                <w:sz w:val="24"/>
                <w:szCs w:val="24"/>
              </w:rPr>
            </w:pPr>
            <w:r>
              <w:rPr>
                <w:rFonts w:eastAsia="方正仿宋_GBK"/>
                <w:b/>
                <w:bCs/>
                <w:sz w:val="24"/>
                <w:szCs w:val="24"/>
              </w:rPr>
              <w:t>序号</w:t>
            </w:r>
          </w:p>
        </w:tc>
        <w:tc>
          <w:tcPr>
            <w:tcW w:w="1412" w:type="pct"/>
            <w:tcBorders>
              <w:top w:val="single" w:color="auto" w:sz="8" w:space="0"/>
              <w:left w:val="nil"/>
              <w:bottom w:val="single" w:color="auto" w:sz="8" w:space="0"/>
              <w:right w:val="single" w:color="auto" w:sz="8" w:space="0"/>
            </w:tcBorders>
            <w:noWrap/>
            <w:vAlign w:val="center"/>
          </w:tcPr>
          <w:p>
            <w:pPr>
              <w:adjustRightInd w:val="0"/>
              <w:snapToGrid w:val="0"/>
              <w:spacing w:line="240" w:lineRule="auto"/>
              <w:ind w:firstLine="0" w:firstLineChars="0"/>
              <w:jc w:val="center"/>
              <w:rPr>
                <w:rFonts w:eastAsia="方正仿宋_GBK"/>
                <w:b/>
                <w:bCs/>
                <w:sz w:val="24"/>
                <w:szCs w:val="24"/>
              </w:rPr>
            </w:pPr>
            <w:r>
              <w:rPr>
                <w:rFonts w:eastAsia="方正仿宋_GBK"/>
                <w:b/>
                <w:bCs/>
                <w:sz w:val="24"/>
                <w:szCs w:val="24"/>
              </w:rPr>
              <w:t>村庄类型</w:t>
            </w:r>
          </w:p>
        </w:tc>
        <w:tc>
          <w:tcPr>
            <w:tcW w:w="1269" w:type="pct"/>
            <w:tcBorders>
              <w:top w:val="single" w:color="auto" w:sz="8" w:space="0"/>
              <w:left w:val="nil"/>
              <w:bottom w:val="single" w:color="auto" w:sz="8" w:space="0"/>
              <w:right w:val="single" w:color="auto" w:sz="8" w:space="0"/>
            </w:tcBorders>
            <w:noWrap/>
            <w:vAlign w:val="center"/>
          </w:tcPr>
          <w:p>
            <w:pPr>
              <w:adjustRightInd w:val="0"/>
              <w:snapToGrid w:val="0"/>
              <w:spacing w:line="240" w:lineRule="auto"/>
              <w:ind w:firstLine="0" w:firstLineChars="0"/>
              <w:jc w:val="center"/>
              <w:rPr>
                <w:rFonts w:eastAsia="方正仿宋_GBK"/>
                <w:b/>
                <w:bCs/>
                <w:sz w:val="24"/>
                <w:szCs w:val="24"/>
              </w:rPr>
            </w:pPr>
            <w:r>
              <w:rPr>
                <w:rFonts w:eastAsia="方正仿宋_GBK"/>
                <w:b/>
                <w:bCs/>
                <w:sz w:val="24"/>
                <w:szCs w:val="24"/>
              </w:rPr>
              <w:t>排放标准</w:t>
            </w:r>
          </w:p>
        </w:tc>
        <w:tc>
          <w:tcPr>
            <w:tcW w:w="1883" w:type="pct"/>
            <w:tcBorders>
              <w:top w:val="single" w:color="auto" w:sz="8" w:space="0"/>
              <w:left w:val="nil"/>
              <w:bottom w:val="single" w:color="auto" w:sz="8" w:space="0"/>
              <w:right w:val="single" w:color="auto" w:sz="8" w:space="0"/>
            </w:tcBorders>
            <w:noWrap/>
            <w:vAlign w:val="center"/>
          </w:tcPr>
          <w:p>
            <w:pPr>
              <w:adjustRightInd w:val="0"/>
              <w:snapToGrid w:val="0"/>
              <w:spacing w:line="240" w:lineRule="auto"/>
              <w:ind w:firstLine="0" w:firstLineChars="0"/>
              <w:jc w:val="center"/>
              <w:rPr>
                <w:rFonts w:eastAsia="方正仿宋_GBK"/>
                <w:b/>
                <w:bCs/>
                <w:sz w:val="24"/>
                <w:szCs w:val="24"/>
              </w:rPr>
            </w:pPr>
            <w:r>
              <w:rPr>
                <w:rFonts w:eastAsia="方正仿宋_GBK"/>
                <w:b/>
                <w:bCs/>
                <w:sz w:val="24"/>
                <w:szCs w:val="24"/>
              </w:rPr>
              <w:t>备注</w:t>
            </w:r>
          </w:p>
        </w:tc>
      </w:tr>
      <w:tr>
        <w:tblPrEx>
          <w:tblCellMar>
            <w:top w:w="0" w:type="dxa"/>
            <w:left w:w="108" w:type="dxa"/>
            <w:bottom w:w="0" w:type="dxa"/>
            <w:right w:w="108" w:type="dxa"/>
          </w:tblCellMar>
        </w:tblPrEx>
        <w:trPr>
          <w:trHeight w:val="915" w:hRule="atLeast"/>
        </w:trPr>
        <w:tc>
          <w:tcPr>
            <w:tcW w:w="436" w:type="pct"/>
            <w:tcBorders>
              <w:top w:val="nil"/>
              <w:left w:val="single" w:color="auto" w:sz="8" w:space="0"/>
              <w:bottom w:val="single" w:color="auto" w:sz="8" w:space="0"/>
              <w:right w:val="single" w:color="auto" w:sz="8" w:space="0"/>
            </w:tcBorders>
            <w:noWrap/>
            <w:vAlign w:val="center"/>
          </w:tcPr>
          <w:p>
            <w:pPr>
              <w:widowControl/>
              <w:adjustRightInd w:val="0"/>
              <w:snapToGrid w:val="0"/>
              <w:spacing w:line="240" w:lineRule="auto"/>
              <w:ind w:firstLine="0" w:firstLineChars="0"/>
              <w:jc w:val="center"/>
              <w:rPr>
                <w:rFonts w:ascii="方正仿宋_GBK" w:hAnsi="宋体"/>
                <w:kern w:val="0"/>
                <w:sz w:val="24"/>
                <w:szCs w:val="24"/>
              </w:rPr>
            </w:pPr>
            <w:r>
              <w:rPr>
                <w:rFonts w:ascii="方正仿宋_GBK" w:hAnsi="宋体"/>
                <w:kern w:val="0"/>
                <w:sz w:val="24"/>
                <w:szCs w:val="24"/>
              </w:rPr>
              <w:t>1</w:t>
            </w:r>
          </w:p>
        </w:tc>
        <w:tc>
          <w:tcPr>
            <w:tcW w:w="1412" w:type="pct"/>
            <w:tcBorders>
              <w:top w:val="nil"/>
              <w:left w:val="nil"/>
              <w:bottom w:val="single" w:color="auto" w:sz="8" w:space="0"/>
              <w:right w:val="single" w:color="auto" w:sz="8" w:space="0"/>
            </w:tcBorders>
            <w:noWrap/>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纳管村庄</w:t>
            </w:r>
          </w:p>
        </w:tc>
        <w:tc>
          <w:tcPr>
            <w:tcW w:w="1269" w:type="pct"/>
            <w:tcBorders>
              <w:top w:val="nil"/>
              <w:left w:val="nil"/>
              <w:bottom w:val="single" w:color="auto" w:sz="8" w:space="0"/>
              <w:right w:val="single" w:color="auto" w:sz="8" w:space="0"/>
            </w:tcBorders>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按照接入污水处理厂设计出水标准执行</w:t>
            </w:r>
          </w:p>
        </w:tc>
        <w:tc>
          <w:tcPr>
            <w:tcW w:w="1883" w:type="pct"/>
            <w:tcBorders>
              <w:top w:val="nil"/>
              <w:left w:val="nil"/>
              <w:bottom w:val="single" w:color="auto" w:sz="8" w:space="0"/>
              <w:right w:val="single" w:color="auto" w:sz="8" w:space="0"/>
            </w:tcBorders>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生活污水能接入</w:t>
            </w:r>
            <w:r>
              <w:rPr>
                <w:rFonts w:hint="eastAsia" w:eastAsia="方正仿宋_GBK"/>
                <w:sz w:val="24"/>
                <w:szCs w:val="24"/>
              </w:rPr>
              <w:t>县城污水处理厂（晋宁清源排水有限公司）</w:t>
            </w:r>
          </w:p>
        </w:tc>
      </w:tr>
      <w:tr>
        <w:tblPrEx>
          <w:tblCellMar>
            <w:top w:w="0" w:type="dxa"/>
            <w:left w:w="108" w:type="dxa"/>
            <w:bottom w:w="0" w:type="dxa"/>
            <w:right w:w="108" w:type="dxa"/>
          </w:tblCellMar>
        </w:tblPrEx>
        <w:trPr>
          <w:trHeight w:val="315" w:hRule="atLeast"/>
        </w:trPr>
        <w:tc>
          <w:tcPr>
            <w:tcW w:w="436" w:type="pct"/>
            <w:tcBorders>
              <w:top w:val="nil"/>
              <w:left w:val="single" w:color="auto" w:sz="8" w:space="0"/>
              <w:bottom w:val="single" w:color="auto" w:sz="8" w:space="0"/>
              <w:right w:val="single" w:color="auto" w:sz="8" w:space="0"/>
            </w:tcBorders>
            <w:noWrap/>
            <w:vAlign w:val="center"/>
          </w:tcPr>
          <w:p>
            <w:pPr>
              <w:widowControl/>
              <w:adjustRightInd w:val="0"/>
              <w:snapToGrid w:val="0"/>
              <w:spacing w:line="240" w:lineRule="auto"/>
              <w:ind w:firstLine="0" w:firstLineChars="0"/>
              <w:jc w:val="center"/>
              <w:rPr>
                <w:rFonts w:ascii="方正仿宋_GBK" w:hAnsi="宋体"/>
                <w:kern w:val="0"/>
                <w:sz w:val="24"/>
                <w:szCs w:val="24"/>
              </w:rPr>
            </w:pPr>
            <w:r>
              <w:rPr>
                <w:rFonts w:ascii="方正仿宋_GBK" w:hAnsi="宋体"/>
                <w:kern w:val="0"/>
                <w:sz w:val="24"/>
                <w:szCs w:val="24"/>
              </w:rPr>
              <w:t>2</w:t>
            </w:r>
          </w:p>
        </w:tc>
        <w:tc>
          <w:tcPr>
            <w:tcW w:w="1412" w:type="pct"/>
            <w:tcBorders>
              <w:top w:val="nil"/>
              <w:left w:val="nil"/>
              <w:bottom w:val="single" w:color="auto" w:sz="8" w:space="0"/>
              <w:right w:val="single" w:color="auto" w:sz="8" w:space="0"/>
            </w:tcBorders>
            <w:noWrap/>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饮用水源地径流区内村庄</w:t>
            </w:r>
          </w:p>
        </w:tc>
        <w:tc>
          <w:tcPr>
            <w:tcW w:w="1269" w:type="pct"/>
            <w:tcBorders>
              <w:top w:val="nil"/>
              <w:left w:val="nil"/>
              <w:bottom w:val="single" w:color="auto" w:sz="8" w:space="0"/>
              <w:right w:val="single" w:color="auto" w:sz="8" w:space="0"/>
            </w:tcBorders>
            <w:noWrap/>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一级A标</w:t>
            </w:r>
            <w:r>
              <w:rPr>
                <w:rFonts w:hint="eastAsia" w:eastAsia="方正仿宋_GBK"/>
                <w:sz w:val="24"/>
                <w:szCs w:val="24"/>
              </w:rPr>
              <w:t>+</w:t>
            </w:r>
            <w:r>
              <w:rPr>
                <w:rFonts w:eastAsia="方正仿宋_GBK"/>
                <w:sz w:val="24"/>
                <w:szCs w:val="24"/>
              </w:rPr>
              <w:t>资源化利用</w:t>
            </w:r>
          </w:p>
        </w:tc>
        <w:tc>
          <w:tcPr>
            <w:tcW w:w="1883" w:type="pct"/>
            <w:tcBorders>
              <w:top w:val="nil"/>
              <w:left w:val="nil"/>
              <w:bottom w:val="single" w:color="auto" w:sz="8" w:space="0"/>
              <w:right w:val="single" w:color="auto" w:sz="8" w:space="0"/>
            </w:tcBorders>
            <w:vAlign w:val="center"/>
          </w:tcPr>
          <w:p>
            <w:pPr>
              <w:adjustRightInd w:val="0"/>
              <w:snapToGrid w:val="0"/>
              <w:spacing w:line="240" w:lineRule="auto"/>
              <w:ind w:firstLine="0" w:firstLineChars="0"/>
              <w:jc w:val="left"/>
              <w:rPr>
                <w:rFonts w:eastAsia="方正仿宋_GBK"/>
                <w:sz w:val="24"/>
                <w:szCs w:val="24"/>
              </w:rPr>
            </w:pPr>
            <w:r>
              <w:rPr>
                <w:rFonts w:eastAsia="方正仿宋_GBK"/>
                <w:sz w:val="24"/>
                <w:szCs w:val="24"/>
              </w:rPr>
              <w:t>乡镇级县城饮用水源地径流区内村庄</w:t>
            </w:r>
            <w:r>
              <w:rPr>
                <w:rFonts w:hint="eastAsia" w:eastAsia="方正仿宋_GBK"/>
                <w:sz w:val="24"/>
                <w:szCs w:val="24"/>
              </w:rPr>
              <w:t>，</w:t>
            </w:r>
            <w:r>
              <w:rPr>
                <w:rFonts w:eastAsia="方正仿宋_GBK"/>
                <w:sz w:val="24"/>
                <w:szCs w:val="24"/>
              </w:rPr>
              <w:t>水功能区划为《地表水环境质量标准》（GB 3838</w:t>
            </w:r>
            <w:r>
              <w:rPr>
                <w:rFonts w:hint="eastAsia" w:eastAsia="方正仿宋_GBK"/>
                <w:sz w:val="24"/>
                <w:szCs w:val="24"/>
              </w:rPr>
              <w:t>-2002</w:t>
            </w:r>
            <w:r>
              <w:rPr>
                <w:rFonts w:eastAsia="方正仿宋_GBK"/>
                <w:sz w:val="24"/>
                <w:szCs w:val="24"/>
              </w:rPr>
              <w:t>）</w:t>
            </w:r>
            <w:r>
              <w:rPr>
                <w:rFonts w:hint="eastAsia" w:eastAsia="方正仿宋_GBK"/>
                <w:sz w:val="24"/>
                <w:szCs w:val="24"/>
              </w:rPr>
              <w:t>II</w:t>
            </w:r>
            <w:r>
              <w:rPr>
                <w:rFonts w:eastAsia="方正仿宋_GBK"/>
                <w:sz w:val="24"/>
                <w:szCs w:val="24"/>
              </w:rPr>
              <w:t>类水体</w:t>
            </w:r>
          </w:p>
        </w:tc>
      </w:tr>
      <w:tr>
        <w:tblPrEx>
          <w:tblCellMar>
            <w:top w:w="0" w:type="dxa"/>
            <w:left w:w="108" w:type="dxa"/>
            <w:bottom w:w="0" w:type="dxa"/>
            <w:right w:w="108" w:type="dxa"/>
          </w:tblCellMar>
        </w:tblPrEx>
        <w:trPr>
          <w:trHeight w:val="615" w:hRule="atLeast"/>
        </w:trPr>
        <w:tc>
          <w:tcPr>
            <w:tcW w:w="436" w:type="pct"/>
            <w:tcBorders>
              <w:top w:val="nil"/>
              <w:left w:val="single" w:color="auto" w:sz="8" w:space="0"/>
              <w:bottom w:val="single" w:color="auto" w:sz="8" w:space="0"/>
              <w:right w:val="single" w:color="auto" w:sz="8" w:space="0"/>
            </w:tcBorders>
            <w:noWrap/>
            <w:vAlign w:val="center"/>
          </w:tcPr>
          <w:p>
            <w:pPr>
              <w:widowControl/>
              <w:adjustRightInd w:val="0"/>
              <w:snapToGrid w:val="0"/>
              <w:spacing w:line="240" w:lineRule="auto"/>
              <w:ind w:firstLine="0" w:firstLineChars="0"/>
              <w:jc w:val="center"/>
              <w:rPr>
                <w:rFonts w:ascii="方正仿宋_GBK" w:hAnsi="宋体"/>
                <w:kern w:val="0"/>
                <w:sz w:val="24"/>
                <w:szCs w:val="24"/>
                <w:shd w:val="pct10" w:color="auto" w:fill="FFFFFF"/>
              </w:rPr>
            </w:pPr>
            <w:r>
              <w:rPr>
                <w:rFonts w:ascii="方正仿宋_GBK" w:hAnsi="宋体"/>
                <w:kern w:val="0"/>
                <w:sz w:val="24"/>
                <w:szCs w:val="24"/>
              </w:rPr>
              <w:t>3</w:t>
            </w:r>
          </w:p>
        </w:tc>
        <w:tc>
          <w:tcPr>
            <w:tcW w:w="1412" w:type="pct"/>
            <w:tcBorders>
              <w:top w:val="nil"/>
              <w:left w:val="nil"/>
              <w:bottom w:val="single" w:color="auto" w:sz="8" w:space="0"/>
              <w:right w:val="single" w:color="auto" w:sz="8" w:space="0"/>
            </w:tcBorders>
            <w:vAlign w:val="center"/>
          </w:tcPr>
          <w:p>
            <w:pPr>
              <w:adjustRightInd w:val="0"/>
              <w:snapToGrid w:val="0"/>
              <w:spacing w:line="240" w:lineRule="auto"/>
              <w:ind w:firstLine="0" w:firstLineChars="0"/>
              <w:jc w:val="center"/>
              <w:rPr>
                <w:rFonts w:eastAsia="方正仿宋_GBK"/>
                <w:sz w:val="24"/>
                <w:szCs w:val="24"/>
              </w:rPr>
            </w:pPr>
            <w:r>
              <w:rPr>
                <w:rFonts w:hint="eastAsia" w:eastAsia="方正仿宋_GBK"/>
                <w:sz w:val="24"/>
                <w:szCs w:val="24"/>
              </w:rPr>
              <w:t>滇池流域</w:t>
            </w:r>
            <w:r>
              <w:rPr>
                <w:rFonts w:eastAsia="方正仿宋_GBK"/>
                <w:sz w:val="24"/>
                <w:szCs w:val="24"/>
              </w:rPr>
              <w:t>村庄</w:t>
            </w:r>
          </w:p>
        </w:tc>
        <w:tc>
          <w:tcPr>
            <w:tcW w:w="1269" w:type="pct"/>
            <w:tcBorders>
              <w:top w:val="nil"/>
              <w:left w:val="nil"/>
              <w:bottom w:val="single" w:color="auto" w:sz="8" w:space="0"/>
              <w:right w:val="single" w:color="auto" w:sz="8" w:space="0"/>
            </w:tcBorders>
            <w:noWrap/>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一级A标</w:t>
            </w:r>
          </w:p>
        </w:tc>
        <w:tc>
          <w:tcPr>
            <w:tcW w:w="1883" w:type="pct"/>
            <w:tcBorders>
              <w:top w:val="nil"/>
              <w:left w:val="nil"/>
              <w:bottom w:val="single" w:color="auto" w:sz="8" w:space="0"/>
              <w:right w:val="single" w:color="auto" w:sz="8" w:space="0"/>
            </w:tcBorders>
            <w:vAlign w:val="center"/>
          </w:tcPr>
          <w:p>
            <w:pPr>
              <w:adjustRightInd w:val="0"/>
              <w:snapToGrid w:val="0"/>
              <w:spacing w:line="240" w:lineRule="auto"/>
              <w:ind w:firstLine="0" w:firstLineChars="0"/>
              <w:jc w:val="left"/>
              <w:rPr>
                <w:rFonts w:eastAsia="方正仿宋_GBK"/>
                <w:sz w:val="24"/>
                <w:szCs w:val="24"/>
              </w:rPr>
            </w:pPr>
            <w:r>
              <w:rPr>
                <w:rFonts w:hint="eastAsia" w:eastAsia="方正仿宋_GBK"/>
                <w:sz w:val="24"/>
                <w:szCs w:val="24"/>
              </w:rPr>
              <w:t>滇池流域晋宁区</w:t>
            </w:r>
            <w:r>
              <w:rPr>
                <w:rFonts w:eastAsia="方正仿宋_GBK"/>
                <w:sz w:val="24"/>
                <w:szCs w:val="24"/>
              </w:rPr>
              <w:t>水功能区划为《地表水环境质量标准》（GB 3838</w:t>
            </w:r>
            <w:r>
              <w:rPr>
                <w:rFonts w:hint="eastAsia" w:eastAsia="方正仿宋_GBK"/>
                <w:sz w:val="24"/>
                <w:szCs w:val="24"/>
              </w:rPr>
              <w:t>-2002</w:t>
            </w:r>
            <w:r>
              <w:rPr>
                <w:rFonts w:eastAsia="方正仿宋_GBK"/>
                <w:sz w:val="24"/>
                <w:szCs w:val="24"/>
              </w:rPr>
              <w:t>）Ⅲ类水体</w:t>
            </w:r>
          </w:p>
        </w:tc>
      </w:tr>
      <w:tr>
        <w:tblPrEx>
          <w:tblCellMar>
            <w:top w:w="0" w:type="dxa"/>
            <w:left w:w="108" w:type="dxa"/>
            <w:bottom w:w="0" w:type="dxa"/>
            <w:right w:w="108" w:type="dxa"/>
          </w:tblCellMar>
        </w:tblPrEx>
        <w:trPr>
          <w:trHeight w:val="615" w:hRule="atLeast"/>
        </w:trPr>
        <w:tc>
          <w:tcPr>
            <w:tcW w:w="436" w:type="pct"/>
            <w:tcBorders>
              <w:top w:val="nil"/>
              <w:left w:val="single" w:color="auto" w:sz="8" w:space="0"/>
              <w:bottom w:val="single" w:color="auto" w:sz="8" w:space="0"/>
              <w:right w:val="single" w:color="auto" w:sz="8" w:space="0"/>
            </w:tcBorders>
            <w:noWrap/>
            <w:vAlign w:val="center"/>
          </w:tcPr>
          <w:p>
            <w:pPr>
              <w:widowControl/>
              <w:adjustRightInd w:val="0"/>
              <w:snapToGrid w:val="0"/>
              <w:spacing w:line="240" w:lineRule="auto"/>
              <w:ind w:firstLine="0" w:firstLineChars="0"/>
              <w:jc w:val="center"/>
              <w:rPr>
                <w:rFonts w:ascii="方正仿宋_GBK" w:hAnsi="宋体"/>
                <w:kern w:val="0"/>
                <w:sz w:val="24"/>
                <w:szCs w:val="24"/>
              </w:rPr>
            </w:pPr>
            <w:r>
              <w:rPr>
                <w:rFonts w:ascii="方正仿宋_GBK" w:hAnsi="宋体"/>
                <w:kern w:val="0"/>
                <w:sz w:val="24"/>
                <w:szCs w:val="24"/>
              </w:rPr>
              <w:t>4</w:t>
            </w:r>
          </w:p>
        </w:tc>
        <w:tc>
          <w:tcPr>
            <w:tcW w:w="1412" w:type="pct"/>
            <w:tcBorders>
              <w:top w:val="nil"/>
              <w:left w:val="nil"/>
              <w:bottom w:val="single" w:color="auto" w:sz="8" w:space="0"/>
              <w:right w:val="single" w:color="auto" w:sz="8" w:space="0"/>
            </w:tcBorders>
            <w:vAlign w:val="center"/>
          </w:tcPr>
          <w:p>
            <w:pPr>
              <w:adjustRightInd w:val="0"/>
              <w:snapToGrid w:val="0"/>
              <w:spacing w:line="240" w:lineRule="auto"/>
              <w:ind w:firstLine="0" w:firstLineChars="0"/>
              <w:jc w:val="center"/>
              <w:rPr>
                <w:rFonts w:eastAsia="方正仿宋_GBK"/>
                <w:sz w:val="24"/>
                <w:szCs w:val="24"/>
              </w:rPr>
            </w:pPr>
            <w:r>
              <w:rPr>
                <w:rFonts w:hint="eastAsia" w:eastAsia="方正仿宋_GBK"/>
                <w:sz w:val="24"/>
                <w:szCs w:val="24"/>
              </w:rPr>
              <w:t>非</w:t>
            </w:r>
            <w:r>
              <w:rPr>
                <w:rFonts w:eastAsia="方正仿宋_GBK"/>
                <w:sz w:val="24"/>
                <w:szCs w:val="24"/>
              </w:rPr>
              <w:t>滇池流域</w:t>
            </w:r>
            <w:r>
              <w:rPr>
                <w:rFonts w:hint="eastAsia" w:eastAsia="方正仿宋_GBK"/>
                <w:sz w:val="24"/>
                <w:szCs w:val="24"/>
              </w:rPr>
              <w:t>内</w:t>
            </w:r>
            <w:r>
              <w:rPr>
                <w:rFonts w:eastAsia="方正仿宋_GBK"/>
                <w:sz w:val="24"/>
                <w:szCs w:val="24"/>
              </w:rPr>
              <w:t>，但是属于</w:t>
            </w:r>
            <w:r>
              <w:rPr>
                <w:rFonts w:hint="eastAsia" w:eastAsia="方正仿宋_GBK"/>
                <w:sz w:val="24"/>
                <w:szCs w:val="24"/>
              </w:rPr>
              <w:t>重点建设</w:t>
            </w:r>
            <w:r>
              <w:rPr>
                <w:rFonts w:eastAsia="方正仿宋_GBK"/>
                <w:sz w:val="24"/>
                <w:szCs w:val="24"/>
              </w:rPr>
              <w:t>村庄</w:t>
            </w:r>
          </w:p>
        </w:tc>
        <w:tc>
          <w:tcPr>
            <w:tcW w:w="1269" w:type="pct"/>
            <w:tcBorders>
              <w:top w:val="nil"/>
              <w:left w:val="nil"/>
              <w:bottom w:val="single" w:color="auto" w:sz="8" w:space="0"/>
              <w:right w:val="single" w:color="auto" w:sz="8" w:space="0"/>
            </w:tcBorders>
            <w:noWrap/>
            <w:vAlign w:val="center"/>
          </w:tcPr>
          <w:p>
            <w:pPr>
              <w:adjustRightInd w:val="0"/>
              <w:snapToGrid w:val="0"/>
              <w:spacing w:line="240" w:lineRule="auto"/>
              <w:ind w:firstLine="0" w:firstLineChars="0"/>
              <w:jc w:val="center"/>
              <w:rPr>
                <w:rFonts w:eastAsia="方正仿宋_GBK"/>
                <w:sz w:val="24"/>
                <w:szCs w:val="24"/>
              </w:rPr>
            </w:pPr>
            <w:r>
              <w:rPr>
                <w:rFonts w:hint="eastAsia" w:eastAsia="方正仿宋_GBK"/>
                <w:sz w:val="24"/>
                <w:szCs w:val="24"/>
              </w:rPr>
              <w:t>一级B标</w:t>
            </w:r>
          </w:p>
        </w:tc>
        <w:tc>
          <w:tcPr>
            <w:tcW w:w="1883" w:type="pct"/>
            <w:tcBorders>
              <w:top w:val="nil"/>
              <w:left w:val="nil"/>
              <w:bottom w:val="single" w:color="auto" w:sz="8" w:space="0"/>
              <w:right w:val="single" w:color="auto" w:sz="8" w:space="0"/>
            </w:tcBorders>
            <w:vAlign w:val="center"/>
          </w:tcPr>
          <w:p>
            <w:pPr>
              <w:adjustRightInd w:val="0"/>
              <w:snapToGrid w:val="0"/>
              <w:spacing w:line="240" w:lineRule="auto"/>
              <w:ind w:firstLine="0" w:firstLineChars="0"/>
              <w:jc w:val="center"/>
              <w:rPr>
                <w:rFonts w:eastAsia="方正仿宋_GBK"/>
                <w:sz w:val="24"/>
                <w:szCs w:val="24"/>
              </w:rPr>
            </w:pPr>
            <w:r>
              <w:rPr>
                <w:rFonts w:hint="eastAsia" w:eastAsia="方正仿宋_GBK"/>
                <w:sz w:val="24"/>
                <w:szCs w:val="24"/>
              </w:rPr>
              <w:t>中心村</w:t>
            </w:r>
            <w:r>
              <w:rPr>
                <w:rFonts w:eastAsia="方正仿宋_GBK"/>
                <w:sz w:val="24"/>
                <w:szCs w:val="24"/>
              </w:rPr>
              <w:t>，传统村等</w:t>
            </w:r>
          </w:p>
        </w:tc>
      </w:tr>
      <w:tr>
        <w:tblPrEx>
          <w:tblCellMar>
            <w:top w:w="0" w:type="dxa"/>
            <w:left w:w="108" w:type="dxa"/>
            <w:bottom w:w="0" w:type="dxa"/>
            <w:right w:w="108" w:type="dxa"/>
          </w:tblCellMar>
        </w:tblPrEx>
        <w:trPr>
          <w:trHeight w:val="615" w:hRule="atLeast"/>
        </w:trPr>
        <w:tc>
          <w:tcPr>
            <w:tcW w:w="436" w:type="pct"/>
            <w:tcBorders>
              <w:top w:val="nil"/>
              <w:left w:val="single" w:color="auto" w:sz="8" w:space="0"/>
              <w:bottom w:val="single" w:color="auto" w:sz="8" w:space="0"/>
              <w:right w:val="single" w:color="auto" w:sz="8" w:space="0"/>
            </w:tcBorders>
            <w:noWrap/>
            <w:vAlign w:val="center"/>
          </w:tcPr>
          <w:p>
            <w:pPr>
              <w:widowControl/>
              <w:adjustRightInd w:val="0"/>
              <w:snapToGrid w:val="0"/>
              <w:spacing w:line="240" w:lineRule="auto"/>
              <w:ind w:firstLine="0" w:firstLineChars="0"/>
              <w:jc w:val="center"/>
              <w:rPr>
                <w:rFonts w:ascii="方正仿宋_GBK" w:hAnsi="宋体"/>
                <w:kern w:val="0"/>
                <w:sz w:val="24"/>
                <w:szCs w:val="24"/>
              </w:rPr>
            </w:pPr>
            <w:r>
              <w:rPr>
                <w:rFonts w:hint="eastAsia" w:ascii="方正仿宋_GBK" w:hAnsi="宋体"/>
                <w:kern w:val="0"/>
                <w:sz w:val="24"/>
                <w:szCs w:val="24"/>
              </w:rPr>
              <w:t>5</w:t>
            </w:r>
          </w:p>
        </w:tc>
        <w:tc>
          <w:tcPr>
            <w:tcW w:w="1412" w:type="pct"/>
            <w:tcBorders>
              <w:top w:val="nil"/>
              <w:left w:val="nil"/>
              <w:bottom w:val="single" w:color="auto" w:sz="8" w:space="0"/>
              <w:right w:val="single" w:color="auto" w:sz="8" w:space="0"/>
            </w:tcBorders>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其他距离水域较远，环境</w:t>
            </w:r>
            <w:r>
              <w:rPr>
                <w:rFonts w:hint="eastAsia" w:eastAsia="方正仿宋_GBK"/>
                <w:sz w:val="24"/>
                <w:szCs w:val="24"/>
              </w:rPr>
              <w:t>容量</w:t>
            </w:r>
            <w:r>
              <w:rPr>
                <w:rFonts w:eastAsia="方正仿宋_GBK"/>
                <w:sz w:val="24"/>
                <w:szCs w:val="24"/>
              </w:rPr>
              <w:t>较大村庄</w:t>
            </w:r>
          </w:p>
        </w:tc>
        <w:tc>
          <w:tcPr>
            <w:tcW w:w="1269" w:type="pct"/>
            <w:tcBorders>
              <w:top w:val="nil"/>
              <w:left w:val="nil"/>
              <w:bottom w:val="single" w:color="auto" w:sz="8" w:space="0"/>
              <w:right w:val="single" w:color="auto" w:sz="8" w:space="0"/>
            </w:tcBorders>
            <w:noWrap/>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二级标准</w:t>
            </w:r>
          </w:p>
        </w:tc>
        <w:tc>
          <w:tcPr>
            <w:tcW w:w="1883" w:type="pct"/>
            <w:tcBorders>
              <w:top w:val="nil"/>
              <w:left w:val="nil"/>
              <w:bottom w:val="single" w:color="auto" w:sz="8" w:space="0"/>
              <w:right w:val="single" w:color="auto" w:sz="8" w:space="0"/>
            </w:tcBorders>
            <w:vAlign w:val="center"/>
          </w:tcPr>
          <w:p>
            <w:pPr>
              <w:adjustRightInd w:val="0"/>
              <w:snapToGrid w:val="0"/>
              <w:spacing w:line="240" w:lineRule="auto"/>
              <w:ind w:firstLine="0" w:firstLineChars="0"/>
              <w:jc w:val="center"/>
              <w:rPr>
                <w:rFonts w:eastAsia="方正仿宋_GBK"/>
                <w:sz w:val="24"/>
                <w:szCs w:val="24"/>
              </w:rPr>
            </w:pPr>
          </w:p>
        </w:tc>
      </w:tr>
      <w:tr>
        <w:tblPrEx>
          <w:tblCellMar>
            <w:top w:w="0" w:type="dxa"/>
            <w:left w:w="108" w:type="dxa"/>
            <w:bottom w:w="0" w:type="dxa"/>
            <w:right w:w="108" w:type="dxa"/>
          </w:tblCellMar>
        </w:tblPrEx>
        <w:trPr>
          <w:trHeight w:val="615" w:hRule="atLeast"/>
        </w:trPr>
        <w:tc>
          <w:tcPr>
            <w:tcW w:w="436" w:type="pct"/>
            <w:tcBorders>
              <w:top w:val="nil"/>
              <w:left w:val="single" w:color="auto" w:sz="8" w:space="0"/>
              <w:bottom w:val="single" w:color="auto" w:sz="8" w:space="0"/>
              <w:right w:val="single" w:color="auto" w:sz="8" w:space="0"/>
            </w:tcBorders>
            <w:noWrap/>
            <w:vAlign w:val="center"/>
          </w:tcPr>
          <w:p>
            <w:pPr>
              <w:widowControl/>
              <w:adjustRightInd w:val="0"/>
              <w:snapToGrid w:val="0"/>
              <w:spacing w:line="240" w:lineRule="auto"/>
              <w:ind w:firstLine="0" w:firstLineChars="0"/>
              <w:jc w:val="center"/>
              <w:rPr>
                <w:rFonts w:ascii="方正仿宋_GBK" w:hAnsi="宋体"/>
                <w:kern w:val="0"/>
                <w:sz w:val="24"/>
                <w:szCs w:val="24"/>
              </w:rPr>
            </w:pPr>
            <w:r>
              <w:rPr>
                <w:rFonts w:ascii="方正仿宋_GBK" w:hAnsi="宋体"/>
                <w:kern w:val="0"/>
                <w:sz w:val="24"/>
                <w:szCs w:val="24"/>
              </w:rPr>
              <w:t>6</w:t>
            </w:r>
          </w:p>
        </w:tc>
        <w:tc>
          <w:tcPr>
            <w:tcW w:w="1412" w:type="pct"/>
            <w:tcBorders>
              <w:top w:val="nil"/>
              <w:left w:val="nil"/>
              <w:bottom w:val="single" w:color="auto" w:sz="8" w:space="0"/>
              <w:right w:val="single" w:color="auto" w:sz="8" w:space="0"/>
            </w:tcBorders>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分散型村庄，规模小于5m</w:t>
            </w:r>
            <w:r>
              <w:rPr>
                <w:rFonts w:eastAsia="方正仿宋_GBK"/>
                <w:sz w:val="24"/>
                <w:szCs w:val="24"/>
                <w:vertAlign w:val="superscript"/>
              </w:rPr>
              <w:t>3</w:t>
            </w:r>
            <w:r>
              <w:rPr>
                <w:rFonts w:eastAsia="方正仿宋_GBK"/>
                <w:sz w:val="24"/>
                <w:szCs w:val="24"/>
              </w:rPr>
              <w:t>/d</w:t>
            </w:r>
          </w:p>
        </w:tc>
        <w:tc>
          <w:tcPr>
            <w:tcW w:w="1269" w:type="pct"/>
            <w:tcBorders>
              <w:top w:val="nil"/>
              <w:left w:val="nil"/>
              <w:bottom w:val="single" w:color="auto" w:sz="8" w:space="0"/>
              <w:right w:val="single" w:color="auto" w:sz="8" w:space="0"/>
            </w:tcBorders>
            <w:noWrap/>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三</w:t>
            </w:r>
            <w:r>
              <w:rPr>
                <w:rFonts w:hint="eastAsia" w:eastAsia="方正仿宋_GBK"/>
                <w:sz w:val="24"/>
                <w:szCs w:val="24"/>
              </w:rPr>
              <w:t>级</w:t>
            </w:r>
            <w:r>
              <w:rPr>
                <w:rFonts w:eastAsia="方正仿宋_GBK"/>
                <w:sz w:val="24"/>
                <w:szCs w:val="24"/>
              </w:rPr>
              <w:t>标准</w:t>
            </w:r>
          </w:p>
        </w:tc>
        <w:tc>
          <w:tcPr>
            <w:tcW w:w="1883" w:type="pct"/>
            <w:tcBorders>
              <w:top w:val="nil"/>
              <w:left w:val="nil"/>
              <w:bottom w:val="single" w:color="auto" w:sz="8" w:space="0"/>
              <w:right w:val="single" w:color="auto" w:sz="8" w:space="0"/>
            </w:tcBorders>
            <w:noWrap/>
            <w:vAlign w:val="center"/>
          </w:tcPr>
          <w:p>
            <w:pPr>
              <w:adjustRightInd w:val="0"/>
              <w:snapToGrid w:val="0"/>
              <w:spacing w:line="240" w:lineRule="auto"/>
              <w:ind w:firstLine="0" w:firstLineChars="0"/>
              <w:jc w:val="center"/>
              <w:rPr>
                <w:rFonts w:eastAsia="方正仿宋_GBK"/>
                <w:sz w:val="24"/>
                <w:szCs w:val="24"/>
              </w:rPr>
            </w:pPr>
            <w:r>
              <w:rPr>
                <w:rFonts w:eastAsia="方正仿宋_GBK"/>
                <w:sz w:val="24"/>
                <w:szCs w:val="24"/>
              </w:rPr>
              <w:t>　</w:t>
            </w:r>
          </w:p>
        </w:tc>
      </w:tr>
    </w:tbl>
    <w:p>
      <w:pPr>
        <w:spacing w:beforeLines="50"/>
        <w:ind w:firstLine="198" w:firstLineChars="62"/>
        <w:jc w:val="left"/>
        <w:outlineLvl w:val="1"/>
        <w:rPr>
          <w:rFonts w:eastAsia="方正黑体_GBK"/>
          <w:b/>
          <w:sz w:val="32"/>
          <w:szCs w:val="32"/>
        </w:rPr>
      </w:pPr>
      <w:bookmarkStart w:id="59" w:name="_Toc43042538"/>
      <w:r>
        <w:rPr>
          <w:rFonts w:eastAsia="方正黑体_GBK"/>
          <w:b/>
          <w:sz w:val="32"/>
          <w:szCs w:val="32"/>
        </w:rPr>
        <w:t>4.6</w:t>
      </w:r>
      <w:r>
        <w:rPr>
          <w:rFonts w:hint="eastAsia" w:eastAsia="方正黑体_GBK"/>
          <w:b/>
          <w:sz w:val="32"/>
          <w:szCs w:val="32"/>
        </w:rPr>
        <w:t>收集系统建设</w:t>
      </w:r>
      <w:bookmarkEnd w:id="59"/>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（1）收集系统范围</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①入户管网建设</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对卫生间、厨房、洗涤池等接户管，存在接管混乱、大小管套接、入户管过小（采用DN40、DN50 接户管）、未有效设置“S”或“P”型存水弯，以及部分接户管存在户外管裸露、凌空，未采取保护和防冻防晒等措施；部分农户存在错接漏接现象，部分四水未全部接入，厕所污水、厨房污水、洗浴废水、洗涤废水未做到应纳尽纳的，均应进行梳理，按照横平竖直的原则和规范要求进行有效改造建设。</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②雨污管网分流建设</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需要进行雨污分流的村庄，须进行系统性改造，部分需切断房前屋后的雨水（屋面水、地坪水）进入污水管网，部分需增设地面、路面雨水导排设施，防止雨水通过检查井、化粪池等设施进入污水管网系统内。</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③农村化粪池改造</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对于仍采用原有地渗式老旧化粪池，及未建或建但未按照规范要求建设（三格式、防渗处理、停留时间符合人口要求等，达不到使用要求的化粪池，须进行新建或对原有化粪池进行提升改造，达到储粪、化粪及满足预处理的要求。</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农家乐、民宿等餐饮区改造</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对于部分农家乐、饭店及民宿等餐饮废水未经有效的隔油预处理直接排入村污水管网内的，则应增设隔油等预处理设施。对于未设置出户集水井的（2017 年前施工的站点均未设置）本次规划均进行增设。</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（2）管道建设标准</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①管道</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a、不同直径的管道在检查井内的连接，宜采用管顶平接或水面平接；</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b、管道基础应根据管道材质、接口形式和地质条件确定，对地基松软或不均匀沉降地段，管道基础应采取加固措施；</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c、管顶最小覆土深度，应根据管材强度、外部荷载、土壤冰冻深度和土壤性质等条件，结合当地埋管经验确定。管顶最小覆土深度宜为：人行道下0.6m，车行道下0.7m；</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d、管道的施工方法，应根据管道所处土层性质、管径、地下水位、附近地下和地上建筑物等因素，经技术经济比较，确定采用开槽、顶管或盾构施工等。</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②检查井</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a、检查井的位置，应设在管道交汇处、转弯处、管径或坡度改变处、跌水处以及直线管段上每隔一定距离处；</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b、检查井各部分尺寸，应符合下列要求：井口、井筒和井室的尺寸应便于养护和检修，爬梯和脚窝的尺寸、位置应便于检修和上下安全；检修室高度在管道埋深许可时宜为1.8m，污水检查井由流槽顶算起，雨水（合流）检查井由管底算起；</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c、在排水管道每隔适当距离的检查井内和泵站前一检查井内，宜设置沉泥槽，深度宜为0.3~0.5m。</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③出水口</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a、排水管渠出水口位置、形式和出口流速，应根据受纳水体的水质要求、水体的流量、水位变化幅度、水流方向、波浪状况、稀释自净能力、地形变迁和气候特征等因素确定；</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b、出水口应采取防冲刷、消能、加固等措施，并视需要设置标志。</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④管道综合</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a、排水管道与其他地下管渠、建筑物、构筑物等相互间的位置，应符合下列要求：敷设和检修管道时，不应互相影响；排水管道损坏时，不应影响附近建筑物、构筑物的基础，不应污染生活用水；</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b、污水管道、合流管道与生活给水管道相交时，应敷设在生活给水管道的下面。</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⑤管材选择</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a、小区室外排水管道，应优先采用埋地排水塑料管；</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b、建筑内部排水管道应采用建筑排水塑料管及管件或柔性接口机制排水铸铁管及相应管件；</w:t>
      </w:r>
    </w:p>
    <w:p>
      <w:pPr>
        <w:adjustRightInd w:val="0"/>
        <w:snapToGrid w:val="0"/>
        <w:ind w:firstLine="560"/>
        <w:rPr>
          <w:rFonts w:ascii="方正仿宋_GBK" w:hAnsi="方正仿宋_GBK" w:eastAsiaTheme="minorEastAsia"/>
          <w:szCs w:val="28"/>
        </w:rPr>
      </w:pPr>
      <w:r>
        <w:rPr>
          <w:rFonts w:ascii="方正仿宋_GBK" w:hAnsi="方正仿宋_GBK" w:eastAsia="方正仿宋_GBK"/>
          <w:szCs w:val="28"/>
        </w:rPr>
        <w:t>c、压力排水管道可采用耐压塑料管、金属管或钢塑复合管。</w:t>
      </w:r>
    </w:p>
    <w:p>
      <w:pPr>
        <w:adjustRightInd w:val="0"/>
        <w:snapToGrid w:val="0"/>
        <w:ind w:firstLine="560"/>
        <w:rPr>
          <w:rFonts w:ascii="方正仿宋_GBK" w:hAnsi="方正仿宋_GBK" w:eastAsiaTheme="minorEastAsia"/>
          <w:szCs w:val="28"/>
        </w:rPr>
      </w:pPr>
    </w:p>
    <w:p>
      <w:pPr>
        <w:pStyle w:val="8"/>
        <w:keepNext/>
        <w:spacing w:line="360" w:lineRule="auto"/>
        <w:ind w:firstLine="480"/>
        <w:jc w:val="center"/>
        <w:rPr>
          <w:sz w:val="24"/>
          <w:szCs w:val="24"/>
        </w:rPr>
      </w:pPr>
      <w:r>
        <w:rPr>
          <w:rFonts w:hint="eastAsia"/>
          <w:sz w:val="24"/>
          <w:szCs w:val="24"/>
        </w:rPr>
        <w:t xml:space="preserve">表4.6- </w:t>
      </w:r>
      <w:r>
        <w:rPr>
          <w:sz w:val="24"/>
          <w:szCs w:val="24"/>
        </w:rPr>
        <w:fldChar w:fldCharType="begin"/>
      </w:r>
      <w:r>
        <w:rPr>
          <w:rFonts w:hint="eastAsia"/>
          <w:sz w:val="24"/>
          <w:szCs w:val="24"/>
        </w:rPr>
        <w:instrText xml:space="preserve">SEQ 表4.6- \* ARABIC</w:instrText>
      </w:r>
      <w:r>
        <w:rPr>
          <w:sz w:val="24"/>
          <w:szCs w:val="24"/>
        </w:rPr>
        <w:fldChar w:fldCharType="separate"/>
      </w:r>
      <w:r>
        <w:rPr>
          <w:sz w:val="24"/>
          <w:szCs w:val="24"/>
        </w:rPr>
        <w:t>1</w:t>
      </w:r>
      <w:r>
        <w:rPr>
          <w:sz w:val="24"/>
          <w:szCs w:val="24"/>
        </w:rPr>
        <w:fldChar w:fldCharType="end"/>
      </w:r>
      <w:r>
        <w:rPr>
          <w:rFonts w:hint="eastAsia"/>
          <w:sz w:val="24"/>
          <w:szCs w:val="24"/>
        </w:rPr>
        <w:t>污水收集系统工程量汇总表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2841"/>
        <w:gridCol w:w="2685"/>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40" w:type="pct"/>
            <w:shd w:val="clear" w:color="DCE6F1" w:fill="DCE6F1"/>
            <w:noWrap/>
            <w:vAlign w:val="center"/>
          </w:tcPr>
          <w:p>
            <w:pPr>
              <w:widowControl/>
              <w:adjustRightInd w:val="0"/>
              <w:snapToGrid w:val="0"/>
              <w:spacing w:line="240" w:lineRule="auto"/>
              <w:ind w:firstLine="0" w:firstLineChars="0"/>
              <w:jc w:val="left"/>
              <w:rPr>
                <w:rFonts w:ascii="方正仿宋_GBK" w:hAnsi="宋体" w:eastAsia="方正仿宋_GBK" w:cs="宋体"/>
                <w:b/>
                <w:bCs/>
                <w:kern w:val="0"/>
                <w:sz w:val="24"/>
                <w:szCs w:val="24"/>
              </w:rPr>
            </w:pPr>
            <w:r>
              <w:rPr>
                <w:rFonts w:hint="eastAsia" w:ascii="方正仿宋_GBK" w:hAnsi="宋体" w:cs="宋体"/>
                <w:b/>
                <w:bCs/>
                <w:kern w:val="0"/>
                <w:sz w:val="24"/>
              </w:rPr>
              <w:t>乡镇</w:t>
            </w:r>
          </w:p>
        </w:tc>
        <w:tc>
          <w:tcPr>
            <w:tcW w:w="1405" w:type="pct"/>
            <w:shd w:val="clear" w:color="DCE6F1" w:fill="DCE6F1"/>
            <w:noWrap/>
            <w:vAlign w:val="center"/>
          </w:tcPr>
          <w:p>
            <w:pPr>
              <w:widowControl/>
              <w:adjustRightInd w:val="0"/>
              <w:snapToGrid w:val="0"/>
              <w:spacing w:line="240" w:lineRule="auto"/>
              <w:ind w:firstLine="0" w:firstLineChars="0"/>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入户支管（km)</w:t>
            </w:r>
          </w:p>
        </w:tc>
        <w:tc>
          <w:tcPr>
            <w:tcW w:w="1328" w:type="pct"/>
            <w:shd w:val="clear" w:color="DCE6F1" w:fill="DCE6F1"/>
            <w:noWrap/>
            <w:vAlign w:val="center"/>
          </w:tcPr>
          <w:p>
            <w:pPr>
              <w:widowControl/>
              <w:adjustRightInd w:val="0"/>
              <w:snapToGrid w:val="0"/>
              <w:spacing w:line="240" w:lineRule="auto"/>
              <w:ind w:firstLine="0" w:firstLineChars="0"/>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截污管（km）</w:t>
            </w:r>
          </w:p>
        </w:tc>
        <w:tc>
          <w:tcPr>
            <w:tcW w:w="1328" w:type="pct"/>
            <w:shd w:val="clear" w:color="DCE6F1" w:fill="DCE6F1"/>
            <w:noWrap/>
            <w:vAlign w:val="center"/>
          </w:tcPr>
          <w:p>
            <w:pPr>
              <w:widowControl/>
              <w:adjustRightInd w:val="0"/>
              <w:snapToGrid w:val="0"/>
              <w:spacing w:line="240" w:lineRule="auto"/>
              <w:ind w:firstLine="0" w:firstLineChars="0"/>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截污渠（km）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40" w:type="pct"/>
            <w:shd w:val="clear" w:color="auto" w:fill="auto"/>
            <w:noWrap/>
            <w:vAlign w:val="center"/>
          </w:tcPr>
          <w:p>
            <w:pPr>
              <w:widowControl/>
              <w:adjustRightInd w:val="0"/>
              <w:snapToGrid w:val="0"/>
              <w:spacing w:line="240" w:lineRule="auto"/>
              <w:ind w:firstLine="0" w:firstLineChars="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宝峰街道</w:t>
            </w:r>
          </w:p>
        </w:tc>
        <w:tc>
          <w:tcPr>
            <w:tcW w:w="1405"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24.25</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35.82</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40" w:type="pct"/>
            <w:shd w:val="clear" w:color="auto" w:fill="auto"/>
            <w:noWrap/>
            <w:vAlign w:val="center"/>
          </w:tcPr>
          <w:p>
            <w:pPr>
              <w:widowControl/>
              <w:adjustRightInd w:val="0"/>
              <w:snapToGrid w:val="0"/>
              <w:spacing w:line="240" w:lineRule="auto"/>
              <w:ind w:firstLine="0" w:firstLineChars="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二街镇</w:t>
            </w:r>
          </w:p>
        </w:tc>
        <w:tc>
          <w:tcPr>
            <w:tcW w:w="1405"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3.42</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2.63</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40" w:type="pct"/>
            <w:shd w:val="clear" w:color="auto" w:fill="auto"/>
            <w:noWrap/>
            <w:vAlign w:val="center"/>
          </w:tcPr>
          <w:p>
            <w:pPr>
              <w:widowControl/>
              <w:adjustRightInd w:val="0"/>
              <w:snapToGrid w:val="0"/>
              <w:spacing w:line="240" w:lineRule="auto"/>
              <w:ind w:firstLine="0" w:firstLineChars="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晋城镇</w:t>
            </w:r>
          </w:p>
        </w:tc>
        <w:tc>
          <w:tcPr>
            <w:tcW w:w="1405"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56.08</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69.03</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40" w:type="pct"/>
            <w:shd w:val="clear" w:color="auto" w:fill="auto"/>
            <w:noWrap/>
            <w:vAlign w:val="center"/>
          </w:tcPr>
          <w:p>
            <w:pPr>
              <w:widowControl/>
              <w:adjustRightInd w:val="0"/>
              <w:snapToGrid w:val="0"/>
              <w:spacing w:line="240" w:lineRule="auto"/>
              <w:ind w:firstLine="0" w:firstLineChars="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昆阳街道办事处</w:t>
            </w:r>
          </w:p>
        </w:tc>
        <w:tc>
          <w:tcPr>
            <w:tcW w:w="1405"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17.54</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22.97</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40" w:type="pct"/>
            <w:shd w:val="clear" w:color="auto" w:fill="auto"/>
            <w:noWrap/>
            <w:vAlign w:val="center"/>
          </w:tcPr>
          <w:p>
            <w:pPr>
              <w:widowControl/>
              <w:adjustRightInd w:val="0"/>
              <w:snapToGrid w:val="0"/>
              <w:spacing w:line="240" w:lineRule="auto"/>
              <w:ind w:firstLine="0" w:firstLineChars="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六街镇</w:t>
            </w:r>
          </w:p>
        </w:tc>
        <w:tc>
          <w:tcPr>
            <w:tcW w:w="1405"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12.96</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12.09</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40" w:type="pct"/>
            <w:shd w:val="clear" w:color="auto" w:fill="auto"/>
            <w:noWrap/>
            <w:vAlign w:val="center"/>
          </w:tcPr>
          <w:p>
            <w:pPr>
              <w:widowControl/>
              <w:adjustRightInd w:val="0"/>
              <w:snapToGrid w:val="0"/>
              <w:spacing w:line="240" w:lineRule="auto"/>
              <w:ind w:firstLine="0" w:firstLineChars="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上蒜镇</w:t>
            </w:r>
          </w:p>
        </w:tc>
        <w:tc>
          <w:tcPr>
            <w:tcW w:w="1405"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5.25</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7.88</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40" w:type="pct"/>
            <w:shd w:val="clear" w:color="auto" w:fill="auto"/>
            <w:noWrap/>
            <w:vAlign w:val="center"/>
          </w:tcPr>
          <w:p>
            <w:pPr>
              <w:widowControl/>
              <w:adjustRightInd w:val="0"/>
              <w:snapToGrid w:val="0"/>
              <w:spacing w:line="240" w:lineRule="auto"/>
              <w:ind w:firstLine="0" w:firstLineChars="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双河彝族乡</w:t>
            </w:r>
          </w:p>
        </w:tc>
        <w:tc>
          <w:tcPr>
            <w:tcW w:w="1405"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18.60</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6.01</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15.46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40" w:type="pct"/>
            <w:shd w:val="clear" w:color="auto" w:fill="auto"/>
            <w:noWrap/>
            <w:vAlign w:val="center"/>
          </w:tcPr>
          <w:p>
            <w:pPr>
              <w:widowControl/>
              <w:adjustRightInd w:val="0"/>
              <w:snapToGrid w:val="0"/>
              <w:spacing w:line="240" w:lineRule="auto"/>
              <w:ind w:firstLine="0" w:firstLineChars="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夕阳彝族乡</w:t>
            </w:r>
          </w:p>
        </w:tc>
        <w:tc>
          <w:tcPr>
            <w:tcW w:w="1405"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23.62</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10.90</w:t>
            </w:r>
          </w:p>
        </w:tc>
        <w:tc>
          <w:tcPr>
            <w:tcW w:w="1328" w:type="pct"/>
            <w:shd w:val="clear" w:color="auto" w:fill="auto"/>
            <w:noWrap/>
            <w:vAlign w:val="center"/>
          </w:tcPr>
          <w:p>
            <w:pPr>
              <w:widowControl/>
              <w:adjustRightInd w:val="0"/>
              <w:snapToGrid w:val="0"/>
              <w:spacing w:line="240" w:lineRule="auto"/>
              <w:ind w:firstLine="0" w:firstLineChars="0"/>
              <w:jc w:val="center"/>
              <w:rPr>
                <w:rFonts w:ascii="方正仿宋_GBK" w:hAnsi="宋体" w:eastAsia="方正仿宋_GBK" w:cs="宋体"/>
                <w:kern w:val="0"/>
                <w:sz w:val="24"/>
                <w:szCs w:val="24"/>
              </w:rPr>
            </w:pPr>
            <w:r>
              <w:rPr>
                <w:rFonts w:hint="eastAsia"/>
                <w:sz w:val="22"/>
              </w:rPr>
              <w:t>22.61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40" w:type="pct"/>
            <w:shd w:val="clear" w:color="DCE6F1" w:fill="DCE6F1"/>
            <w:noWrap/>
            <w:vAlign w:val="center"/>
          </w:tcPr>
          <w:p>
            <w:pPr>
              <w:widowControl/>
              <w:adjustRightInd w:val="0"/>
              <w:snapToGrid w:val="0"/>
              <w:spacing w:line="240" w:lineRule="auto"/>
              <w:ind w:firstLine="0" w:firstLineChars="0"/>
              <w:jc w:val="left"/>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总计</w:t>
            </w:r>
          </w:p>
        </w:tc>
        <w:tc>
          <w:tcPr>
            <w:tcW w:w="1405" w:type="pct"/>
            <w:shd w:val="clear" w:color="DCE6F1" w:fill="DCE6F1"/>
            <w:noWrap/>
            <w:vAlign w:val="center"/>
          </w:tcPr>
          <w:p>
            <w:pPr>
              <w:widowControl/>
              <w:adjustRightInd w:val="0"/>
              <w:snapToGrid w:val="0"/>
              <w:spacing w:line="240" w:lineRule="auto"/>
              <w:ind w:firstLine="0" w:firstLineChars="0"/>
              <w:jc w:val="center"/>
              <w:rPr>
                <w:rFonts w:ascii="方正仿宋_GBK" w:hAnsi="宋体" w:eastAsia="方正仿宋_GBK" w:cs="宋体"/>
                <w:b/>
                <w:bCs/>
                <w:kern w:val="0"/>
                <w:sz w:val="24"/>
                <w:szCs w:val="24"/>
              </w:rPr>
            </w:pPr>
            <w:r>
              <w:rPr>
                <w:rFonts w:hint="eastAsia"/>
                <w:b/>
                <w:bCs/>
                <w:sz w:val="22"/>
              </w:rPr>
              <w:t>161.72</w:t>
            </w:r>
          </w:p>
        </w:tc>
        <w:tc>
          <w:tcPr>
            <w:tcW w:w="1328" w:type="pct"/>
            <w:shd w:val="clear" w:color="DCE6F1" w:fill="DCE6F1"/>
            <w:noWrap/>
            <w:vAlign w:val="center"/>
          </w:tcPr>
          <w:p>
            <w:pPr>
              <w:widowControl/>
              <w:adjustRightInd w:val="0"/>
              <w:snapToGrid w:val="0"/>
              <w:spacing w:line="240" w:lineRule="auto"/>
              <w:ind w:firstLine="0" w:firstLineChars="0"/>
              <w:jc w:val="center"/>
              <w:rPr>
                <w:rFonts w:ascii="方正仿宋_GBK" w:hAnsi="宋体" w:eastAsia="方正仿宋_GBK" w:cs="宋体"/>
                <w:b/>
                <w:bCs/>
                <w:kern w:val="0"/>
                <w:sz w:val="24"/>
                <w:szCs w:val="24"/>
              </w:rPr>
            </w:pPr>
            <w:r>
              <w:rPr>
                <w:rFonts w:hint="eastAsia"/>
                <w:b/>
                <w:bCs/>
                <w:sz w:val="22"/>
              </w:rPr>
              <w:t>167.34</w:t>
            </w:r>
          </w:p>
        </w:tc>
        <w:tc>
          <w:tcPr>
            <w:tcW w:w="1328" w:type="pct"/>
            <w:shd w:val="clear" w:color="DCE6F1" w:fill="DCE6F1"/>
            <w:noWrap/>
            <w:vAlign w:val="center"/>
          </w:tcPr>
          <w:p>
            <w:pPr>
              <w:widowControl/>
              <w:adjustRightInd w:val="0"/>
              <w:snapToGrid w:val="0"/>
              <w:spacing w:line="240" w:lineRule="auto"/>
              <w:ind w:firstLine="0" w:firstLineChars="0"/>
              <w:jc w:val="center"/>
              <w:rPr>
                <w:rFonts w:ascii="方正仿宋_GBK" w:hAnsi="宋体" w:eastAsia="方正仿宋_GBK" w:cs="宋体"/>
                <w:b/>
                <w:bCs/>
                <w:kern w:val="0"/>
                <w:sz w:val="24"/>
                <w:szCs w:val="24"/>
              </w:rPr>
            </w:pPr>
            <w:r>
              <w:rPr>
                <w:rFonts w:hint="eastAsia"/>
                <w:b/>
                <w:bCs/>
                <w:sz w:val="22"/>
              </w:rPr>
              <w:t>56.63</w:t>
            </w:r>
          </w:p>
        </w:tc>
      </w:tr>
    </w:tbl>
    <w:p>
      <w:pPr>
        <w:adjustRightInd w:val="0"/>
        <w:snapToGrid w:val="0"/>
        <w:ind w:firstLine="643"/>
        <w:jc w:val="center"/>
        <w:rPr>
          <w:rFonts w:eastAsiaTheme="minorEastAsia"/>
          <w:b/>
          <w:sz w:val="32"/>
          <w:szCs w:val="32"/>
        </w:rPr>
      </w:pPr>
    </w:p>
    <w:p>
      <w:pPr>
        <w:spacing w:beforeLines="50"/>
        <w:ind w:firstLine="640"/>
        <w:jc w:val="left"/>
        <w:outlineLvl w:val="1"/>
        <w:rPr>
          <w:rFonts w:eastAsia="方正黑体_GBK"/>
          <w:b/>
          <w:sz w:val="32"/>
          <w:szCs w:val="32"/>
        </w:rPr>
      </w:pPr>
      <w:bookmarkStart w:id="60" w:name="_Toc43042539"/>
      <w:r>
        <w:rPr>
          <w:rFonts w:eastAsia="方正黑体_GBK"/>
          <w:b/>
          <w:sz w:val="32"/>
          <w:szCs w:val="32"/>
        </w:rPr>
        <w:t>4.7</w:t>
      </w:r>
      <w:r>
        <w:rPr>
          <w:rFonts w:hint="eastAsia" w:eastAsia="方正黑体_GBK"/>
          <w:b/>
          <w:sz w:val="32"/>
          <w:szCs w:val="32"/>
        </w:rPr>
        <w:t>处理技术工艺选择及处理设施规划</w:t>
      </w:r>
      <w:bookmarkEnd w:id="60"/>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农村生活污水的处理工艺技术主要包括预处理、生物处理技术和生态处理技术。详见《云南省农村生活污水治理</w:t>
      </w:r>
      <w:r>
        <w:rPr>
          <w:rFonts w:hint="eastAsia" w:ascii="方正仿宋_GBK" w:hAnsi="方正仿宋_GBK" w:eastAsia="方正仿宋_GBK"/>
          <w:szCs w:val="28"/>
        </w:rPr>
        <w:t>模式</w:t>
      </w:r>
      <w:r>
        <w:rPr>
          <w:rFonts w:ascii="方正仿宋_GBK" w:hAnsi="方正仿宋_GBK" w:eastAsia="方正仿宋_GBK"/>
          <w:szCs w:val="28"/>
        </w:rPr>
        <w:t>与技术指南》（试行）。</w:t>
      </w:r>
    </w:p>
    <w:p>
      <w:pPr>
        <w:pStyle w:val="4"/>
        <w:widowControl/>
        <w:tabs>
          <w:tab w:val="left" w:pos="425"/>
        </w:tabs>
        <w:adjustRightInd w:val="0"/>
        <w:snapToGrid w:val="0"/>
        <w:spacing w:before="0" w:after="0" w:line="600" w:lineRule="exact"/>
        <w:jc w:val="left"/>
        <w:rPr>
          <w:rFonts w:eastAsia="方正楷体_GBK"/>
          <w:kern w:val="0"/>
          <w:sz w:val="30"/>
        </w:rPr>
      </w:pPr>
      <w:bookmarkStart w:id="61" w:name="_Toc43042540"/>
      <w:r>
        <w:rPr>
          <w:rFonts w:eastAsia="方正楷体_GBK"/>
          <w:kern w:val="0"/>
          <w:sz w:val="30"/>
        </w:rPr>
        <w:t>4.7.1</w:t>
      </w:r>
      <w:r>
        <w:rPr>
          <w:rFonts w:hint="eastAsia" w:eastAsia="方正楷体_GBK"/>
          <w:kern w:val="0"/>
          <w:sz w:val="30"/>
        </w:rPr>
        <w:t>技术介绍</w:t>
      </w:r>
      <w:bookmarkEnd w:id="61"/>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（1）预处理技术</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预处理技术是在污水进入处理设施之前，设置户用集水井、格栅、化粪池、调节池等作为处理单元，主要作用是去除悬浮颗粒物和部分有机污染物。</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（2）生物处理技术</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生物处理技术是利用微生物在好氧或厌氧的条件下对污水中的有机物和氮磷进行分解吸收。农村生活污水有机物含量相对偏高，有毒有害物质含量少，处理工艺常常以生物处理为核心。目前生物单元处理生活污水技术已经较成熟，常见的农村生活污水生物处理技术包括：厌氧生物膜池、生物接触氧化池、A</w:t>
      </w:r>
      <w:r>
        <w:rPr>
          <w:rFonts w:ascii="方正仿宋_GBK" w:hAnsi="方正仿宋_GBK" w:eastAsia="方正仿宋_GBK"/>
          <w:szCs w:val="28"/>
          <w:vertAlign w:val="superscript"/>
        </w:rPr>
        <w:t>2</w:t>
      </w:r>
      <w:r>
        <w:rPr>
          <w:rFonts w:ascii="方正仿宋_GBK" w:hAnsi="方正仿宋_GBK" w:eastAsia="方正仿宋_GBK"/>
          <w:szCs w:val="28"/>
        </w:rPr>
        <w:t>/O法和MBR法等。</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（3）生态处理技术</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生态处理技术是利用土壤－植物－微生物复合系统共同作用的原理，通过过滤、吸收和分解作用使污水得到净化，主要分为人工湿地、稳定塘及土壤渗滤技术等。</w:t>
      </w:r>
    </w:p>
    <w:p>
      <w:pPr>
        <w:keepNext/>
        <w:adjustRightInd w:val="0"/>
        <w:snapToGrid w:val="0"/>
        <w:spacing w:line="276" w:lineRule="auto"/>
        <w:ind w:firstLine="198" w:firstLineChars="71"/>
        <w:jc w:val="center"/>
      </w:pPr>
      <w:r>
        <w:drawing>
          <wp:inline distT="0" distB="0" distL="0" distR="0">
            <wp:extent cx="4720590" cy="4699635"/>
            <wp:effectExtent l="19050" t="0" r="3810" b="0"/>
            <wp:docPr id="1" name="图片 1" descr="C:\Users\ADMINI~1\AppData\Local\Temp\ksohtml1183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11832\wps1.jpg"/>
                    <pic:cNvPicPr>
                      <a:picLocks noChangeAspect="1" noChangeArrowheads="1"/>
                    </pic:cNvPicPr>
                  </pic:nvPicPr>
                  <pic:blipFill>
                    <a:blip r:embed="rId14"/>
                    <a:srcRect/>
                    <a:stretch>
                      <a:fillRect/>
                    </a:stretch>
                  </pic:blipFill>
                  <pic:spPr>
                    <a:xfrm>
                      <a:off x="0" y="0"/>
                      <a:ext cx="4720590" cy="4699635"/>
                    </a:xfrm>
                    <a:prstGeom prst="rect">
                      <a:avLst/>
                    </a:prstGeom>
                    <a:noFill/>
                    <a:ln w="9525">
                      <a:noFill/>
                      <a:miter lim="800000"/>
                      <a:headEnd/>
                      <a:tailEnd/>
                    </a:ln>
                  </pic:spPr>
                </pic:pic>
              </a:graphicData>
            </a:graphic>
          </wp:inline>
        </w:drawing>
      </w:r>
    </w:p>
    <w:p>
      <w:pPr>
        <w:pStyle w:val="8"/>
        <w:keepNext/>
        <w:spacing w:line="360" w:lineRule="auto"/>
        <w:ind w:firstLine="480"/>
        <w:jc w:val="center"/>
        <w:rPr>
          <w:sz w:val="24"/>
          <w:szCs w:val="24"/>
        </w:rPr>
      </w:pPr>
      <w:r>
        <w:rPr>
          <w:rFonts w:hint="eastAsia"/>
          <w:sz w:val="24"/>
          <w:szCs w:val="24"/>
        </w:rPr>
        <w:t xml:space="preserve">图4.7- </w:t>
      </w:r>
      <w:r>
        <w:rPr>
          <w:sz w:val="24"/>
          <w:szCs w:val="24"/>
        </w:rPr>
        <w:fldChar w:fldCharType="begin"/>
      </w:r>
      <w:r>
        <w:rPr>
          <w:rFonts w:hint="eastAsia"/>
          <w:sz w:val="24"/>
          <w:szCs w:val="24"/>
        </w:rPr>
        <w:instrText xml:space="preserve">SEQ 图4.7- \* ARABIC</w:instrText>
      </w:r>
      <w:r>
        <w:rPr>
          <w:sz w:val="24"/>
          <w:szCs w:val="24"/>
        </w:rPr>
        <w:fldChar w:fldCharType="separate"/>
      </w:r>
      <w:r>
        <w:rPr>
          <w:sz w:val="24"/>
          <w:szCs w:val="24"/>
        </w:rPr>
        <w:t>1</w:t>
      </w:r>
      <w:r>
        <w:rPr>
          <w:sz w:val="24"/>
          <w:szCs w:val="24"/>
        </w:rPr>
        <w:fldChar w:fldCharType="end"/>
      </w:r>
      <w:r>
        <w:rPr>
          <w:rFonts w:hint="eastAsia"/>
          <w:sz w:val="24"/>
          <w:szCs w:val="24"/>
        </w:rPr>
        <w:t>污水处理技术模式</w:t>
      </w:r>
    </w:p>
    <w:p>
      <w:pPr>
        <w:adjustRightInd w:val="0"/>
        <w:snapToGrid w:val="0"/>
        <w:ind w:firstLine="560"/>
        <w:jc w:val="center"/>
      </w:pPr>
    </w:p>
    <w:p>
      <w:pPr>
        <w:pStyle w:val="4"/>
        <w:widowControl/>
        <w:tabs>
          <w:tab w:val="left" w:pos="425"/>
        </w:tabs>
        <w:adjustRightInd w:val="0"/>
        <w:snapToGrid w:val="0"/>
        <w:spacing w:before="0" w:after="0" w:line="600" w:lineRule="exact"/>
        <w:jc w:val="left"/>
        <w:rPr>
          <w:rFonts w:eastAsia="方正楷体_GBK"/>
          <w:kern w:val="0"/>
          <w:sz w:val="30"/>
        </w:rPr>
      </w:pPr>
      <w:bookmarkStart w:id="62" w:name="_Toc43042541"/>
      <w:r>
        <w:rPr>
          <w:rFonts w:eastAsia="方正楷体_GBK"/>
          <w:kern w:val="0"/>
          <w:sz w:val="30"/>
        </w:rPr>
        <w:t>4.7.2</w:t>
      </w:r>
      <w:r>
        <w:rPr>
          <w:rFonts w:hint="eastAsia" w:eastAsia="方正楷体_GBK"/>
          <w:kern w:val="0"/>
          <w:sz w:val="30"/>
        </w:rPr>
        <w:t>新建污水处理设施处理技术模式选择及规划</w:t>
      </w:r>
      <w:bookmarkEnd w:id="62"/>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根据各地区村庄人口规模、村落分散程度、距离城市远近情况等实际情况，农村生活污水治理模式与收集模式相对应，主要有纳入污水处理厂处理、集中处理和分散处理等三种方式。农村生活污水处理方式的选择见表4.7-</w:t>
      </w:r>
      <w:r>
        <w:rPr>
          <w:rFonts w:hint="eastAsia" w:ascii="方正仿宋_GBK" w:hAnsi="方正仿宋_GBK" w:eastAsiaTheme="minorEastAsia"/>
          <w:szCs w:val="28"/>
        </w:rPr>
        <w:t>1</w:t>
      </w:r>
      <w:r>
        <w:rPr>
          <w:rFonts w:ascii="方正仿宋_GBK" w:hAnsi="方正仿宋_GBK" w:eastAsia="方正仿宋_GBK"/>
          <w:szCs w:val="28"/>
        </w:rPr>
        <w:t>。</w:t>
      </w:r>
    </w:p>
    <w:p>
      <w:pPr>
        <w:adjustRightInd w:val="0"/>
        <w:snapToGrid w:val="0"/>
        <w:ind w:firstLine="560"/>
        <w:rPr>
          <w:rFonts w:ascii="方正仿宋_GBK" w:hAnsi="方正仿宋_GBK" w:eastAsiaTheme="minorEastAsia"/>
          <w:szCs w:val="28"/>
        </w:rPr>
      </w:pPr>
      <w:r>
        <w:rPr>
          <w:rFonts w:ascii="方正仿宋_GBK" w:hAnsi="方正仿宋_GBK" w:eastAsia="方正仿宋_GBK"/>
          <w:szCs w:val="28"/>
        </w:rPr>
        <w:t>根据人口集聚程度、经济条件、地理气候因素、排水去向，具体的处理设施的技术选择又分为简单、常规和强化模式。农村生活污水治理适用技术模式见附</w:t>
      </w:r>
      <w:r>
        <w:rPr>
          <w:rFonts w:hint="eastAsia" w:ascii="方正仿宋_GBK" w:hAnsi="方正仿宋_GBK" w:eastAsiaTheme="minorEastAsia"/>
          <w:szCs w:val="28"/>
        </w:rPr>
        <w:t>表</w:t>
      </w:r>
      <w:r>
        <w:rPr>
          <w:rFonts w:ascii="方正仿宋_GBK" w:hAnsi="方正仿宋_GBK" w:eastAsia="方正仿宋_GBK"/>
          <w:szCs w:val="28"/>
        </w:rPr>
        <w:t>2。农村生活污水处理组合技术模式的选择见图</w:t>
      </w:r>
      <w:r>
        <w:rPr>
          <w:rFonts w:hint="eastAsia" w:ascii="方正仿宋_GBK" w:hAnsi="方正仿宋_GBK" w:eastAsiaTheme="minorEastAsia"/>
          <w:szCs w:val="28"/>
        </w:rPr>
        <w:t>4.</w:t>
      </w:r>
      <w:r>
        <w:rPr>
          <w:rFonts w:ascii="方正仿宋_GBK" w:hAnsi="方正仿宋_GBK" w:eastAsia="方正仿宋_GBK"/>
          <w:szCs w:val="28"/>
        </w:rPr>
        <w:t>7-1。</w:t>
      </w:r>
    </w:p>
    <w:p>
      <w:pPr>
        <w:adjustRightInd w:val="0"/>
        <w:snapToGrid w:val="0"/>
        <w:ind w:firstLine="560"/>
        <w:rPr>
          <w:rFonts w:ascii="方正仿宋_GBK" w:hAnsi="方正仿宋_GBK" w:eastAsiaTheme="minorEastAsia"/>
          <w:szCs w:val="28"/>
        </w:rPr>
      </w:pPr>
    </w:p>
    <w:p>
      <w:pPr>
        <w:pStyle w:val="8"/>
        <w:keepNext/>
        <w:spacing w:line="360" w:lineRule="auto"/>
        <w:ind w:firstLine="480"/>
        <w:jc w:val="center"/>
        <w:rPr>
          <w:sz w:val="24"/>
          <w:szCs w:val="24"/>
        </w:rPr>
      </w:pPr>
      <w:r>
        <w:rPr>
          <w:rFonts w:hint="eastAsia"/>
          <w:sz w:val="24"/>
          <w:szCs w:val="24"/>
        </w:rPr>
        <w:t xml:space="preserve">表4.7- </w:t>
      </w:r>
      <w:r>
        <w:rPr>
          <w:sz w:val="24"/>
          <w:szCs w:val="24"/>
        </w:rPr>
        <w:fldChar w:fldCharType="begin"/>
      </w:r>
      <w:r>
        <w:rPr>
          <w:rFonts w:hint="eastAsia"/>
          <w:sz w:val="24"/>
          <w:szCs w:val="24"/>
        </w:rPr>
        <w:instrText xml:space="preserve">SEQ 表4.7- \* ARABIC</w:instrText>
      </w:r>
      <w:r>
        <w:rPr>
          <w:sz w:val="24"/>
          <w:szCs w:val="24"/>
        </w:rPr>
        <w:fldChar w:fldCharType="separate"/>
      </w:r>
      <w:r>
        <w:rPr>
          <w:sz w:val="24"/>
          <w:szCs w:val="24"/>
        </w:rPr>
        <w:t>1</w:t>
      </w:r>
      <w:r>
        <w:rPr>
          <w:sz w:val="24"/>
          <w:szCs w:val="24"/>
        </w:rPr>
        <w:fldChar w:fldCharType="end"/>
      </w:r>
      <w:r>
        <w:rPr>
          <w:rFonts w:hint="eastAsia"/>
          <w:sz w:val="24"/>
          <w:szCs w:val="24"/>
        </w:rPr>
        <w:t>农村生活污水处理方式</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59"/>
        <w:gridCol w:w="1765"/>
        <w:gridCol w:w="2171"/>
        <w:gridCol w:w="2037"/>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88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80" w:firstLineChars="0"/>
              <w:jc w:val="center"/>
              <w:rPr>
                <w:rFonts w:eastAsia="方正仿宋_GBK"/>
                <w:b/>
                <w:bCs/>
              </w:rPr>
            </w:pPr>
            <w:r>
              <w:rPr>
                <w:rFonts w:eastAsia="方正仿宋_GBK"/>
                <w:b/>
                <w:bCs/>
              </w:rPr>
              <w:t>工程类型</w:t>
            </w:r>
          </w:p>
        </w:tc>
        <w:tc>
          <w:tcPr>
            <w:tcW w:w="89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480" w:firstLineChars="0"/>
              <w:jc w:val="center"/>
              <w:rPr>
                <w:rFonts w:eastAsia="方正仿宋_GBK"/>
                <w:b/>
                <w:bCs/>
              </w:rPr>
            </w:pPr>
            <w:r>
              <w:rPr>
                <w:rFonts w:eastAsia="方正仿宋_GBK"/>
                <w:b/>
                <w:bCs/>
              </w:rPr>
              <w:t>水量（m3/d）</w:t>
            </w:r>
          </w:p>
        </w:tc>
        <w:tc>
          <w:tcPr>
            <w:tcW w:w="1096"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480" w:firstLineChars="0"/>
              <w:jc w:val="center"/>
              <w:rPr>
                <w:rFonts w:eastAsia="方正仿宋_GBK"/>
                <w:b/>
                <w:bCs/>
              </w:rPr>
            </w:pPr>
            <w:r>
              <w:rPr>
                <w:rFonts w:eastAsia="方正仿宋_GBK"/>
                <w:b/>
                <w:bCs/>
              </w:rPr>
              <w:t>家庭数（户）</w:t>
            </w:r>
          </w:p>
        </w:tc>
        <w:tc>
          <w:tcPr>
            <w:tcW w:w="1028"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480" w:firstLineChars="0"/>
              <w:jc w:val="center"/>
              <w:rPr>
                <w:rFonts w:eastAsia="方正仿宋_GBK"/>
                <w:b/>
                <w:bCs/>
              </w:rPr>
            </w:pPr>
            <w:r>
              <w:rPr>
                <w:rFonts w:eastAsia="方正仿宋_GBK"/>
                <w:b/>
                <w:bCs/>
              </w:rPr>
              <w:t>人口数（人）</w:t>
            </w:r>
          </w:p>
        </w:tc>
        <w:tc>
          <w:tcPr>
            <w:tcW w:w="1096"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480" w:firstLineChars="0"/>
              <w:jc w:val="center"/>
              <w:rPr>
                <w:rFonts w:eastAsia="方正仿宋_GBK"/>
                <w:b/>
                <w:bCs/>
              </w:rPr>
            </w:pPr>
            <w:r>
              <w:rPr>
                <w:rFonts w:eastAsia="方正仿宋_GBK"/>
                <w:b/>
                <w:bCs/>
              </w:rPr>
              <w:t>距离要求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88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eastAsia="方正仿宋_GBK"/>
              </w:rPr>
              <w:t>单户分散型</w:t>
            </w:r>
          </w:p>
        </w:tc>
        <w:tc>
          <w:tcPr>
            <w:tcW w:w="89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eastAsia="方正仿宋_GBK"/>
              </w:rPr>
              <w:t>≤5.0</w:t>
            </w:r>
          </w:p>
        </w:tc>
        <w:tc>
          <w:tcPr>
            <w:tcW w:w="1096"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eastAsia="方正仿宋_GBK"/>
              </w:rPr>
              <w:t>1～10</w:t>
            </w:r>
          </w:p>
        </w:tc>
        <w:tc>
          <w:tcPr>
            <w:tcW w:w="1028"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eastAsia="方正仿宋_GBK"/>
              </w:rPr>
              <w:t>＜100</w:t>
            </w:r>
          </w:p>
        </w:tc>
        <w:tc>
          <w:tcPr>
            <w:tcW w:w="1096"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eastAsia="方正仿宋_GBK"/>
              </w:rPr>
              <w:t>原位就地处理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88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eastAsia="方正仿宋_GBK"/>
              </w:rPr>
              <w:t>单村集中型</w:t>
            </w:r>
          </w:p>
        </w:tc>
        <w:tc>
          <w:tcPr>
            <w:tcW w:w="89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eastAsia="方正仿宋_GBK"/>
              </w:rPr>
              <w:t>5.0～200</w:t>
            </w:r>
          </w:p>
        </w:tc>
        <w:tc>
          <w:tcPr>
            <w:tcW w:w="1096"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eastAsia="方正仿宋_GBK"/>
              </w:rPr>
              <w:t>10～500</w:t>
            </w:r>
          </w:p>
        </w:tc>
        <w:tc>
          <w:tcPr>
            <w:tcW w:w="1028"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eastAsia="方正仿宋_GBK"/>
              </w:rPr>
              <w:t>100～2500</w:t>
            </w:r>
          </w:p>
        </w:tc>
        <w:tc>
          <w:tcPr>
            <w:tcW w:w="1096"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eastAsia="方正仿宋_GBK"/>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88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eastAsia="方正仿宋_GBK"/>
              </w:rPr>
              <w:t>连片集中型</w:t>
            </w:r>
          </w:p>
        </w:tc>
        <w:tc>
          <w:tcPr>
            <w:tcW w:w="89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eastAsia="方正仿宋_GBK"/>
              </w:rPr>
              <w:t>＞200</w:t>
            </w:r>
          </w:p>
        </w:tc>
        <w:tc>
          <w:tcPr>
            <w:tcW w:w="1096"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eastAsia="方正仿宋_GBK"/>
              </w:rPr>
              <w:t>＞500</w:t>
            </w:r>
          </w:p>
        </w:tc>
        <w:tc>
          <w:tcPr>
            <w:tcW w:w="1028"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eastAsia="方正仿宋_GBK"/>
              </w:rPr>
              <w:t>2500～10000</w:t>
            </w:r>
          </w:p>
        </w:tc>
        <w:tc>
          <w:tcPr>
            <w:tcW w:w="1096"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方正仿宋_GBK"/>
              </w:rPr>
            </w:pPr>
            <w:r>
              <w:rPr>
                <w:rFonts w:eastAsia="方正仿宋_GBK"/>
              </w:rPr>
              <w:t>村村距离＜3 km</w:t>
            </w:r>
          </w:p>
        </w:tc>
      </w:tr>
    </w:tbl>
    <w:p>
      <w:pPr>
        <w:adjustRightInd w:val="0"/>
        <w:snapToGrid w:val="0"/>
        <w:ind w:firstLine="0" w:firstLineChars="0"/>
        <w:rPr>
          <w:rFonts w:ascii="宋体" w:hAnsi="宋体"/>
        </w:rPr>
      </w:pPr>
      <w:r>
        <w:rPr>
          <w:rFonts w:eastAsia="方正仿宋_GBK"/>
        </w:rPr>
        <w:t>注：分散型、集中型主要用距离要求区分，不能以水量、家庭数及人</w:t>
      </w:r>
      <w:r>
        <w:rPr>
          <w:rFonts w:ascii="宋体" w:hAnsi="宋体"/>
        </w:rPr>
        <w:t>口数区分。</w:t>
      </w:r>
    </w:p>
    <w:p>
      <w:pPr>
        <w:adjustRightInd w:val="0"/>
        <w:snapToGrid w:val="0"/>
        <w:ind w:firstLine="420"/>
        <w:jc w:val="center"/>
        <w:rPr>
          <w:rFonts w:ascii="Calibri" w:hAnsi="Calibri"/>
          <w:sz w:val="21"/>
          <w:szCs w:val="21"/>
        </w:rPr>
      </w:pP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综合考虑</w:t>
      </w:r>
      <w:r>
        <w:rPr>
          <w:rFonts w:hint="eastAsia" w:ascii="方正仿宋_GBK" w:hAnsi="方正仿宋_GBK" w:eastAsia="方正仿宋_GBK"/>
          <w:szCs w:val="28"/>
        </w:rPr>
        <w:t>晋宁县</w:t>
      </w:r>
      <w:r>
        <w:rPr>
          <w:rFonts w:ascii="方正仿宋_GBK" w:hAnsi="方正仿宋_GBK" w:eastAsia="方正仿宋_GBK"/>
          <w:szCs w:val="28"/>
        </w:rPr>
        <w:t>农村地区的村庄分布、经济水平、地形地势、污水排放情况、污水水质等，本规划建议接近城区或离县城/城镇污水处理厂较近的村庄接入污水处理厂处理。各乡镇主要推荐工艺详见表</w:t>
      </w:r>
      <w:r>
        <w:rPr>
          <w:rFonts w:hint="eastAsia" w:ascii="方正仿宋_GBK" w:hAnsi="方正仿宋_GBK" w:eastAsia="方正仿宋_GBK"/>
          <w:szCs w:val="28"/>
        </w:rPr>
        <w:t>4.7-2</w:t>
      </w:r>
      <w:r>
        <w:rPr>
          <w:rFonts w:ascii="方正仿宋_GBK" w:hAnsi="方正仿宋_GBK" w:eastAsia="方正仿宋_GBK"/>
          <w:szCs w:val="28"/>
        </w:rPr>
        <w:t>所示。</w:t>
      </w:r>
    </w:p>
    <w:p>
      <w:pPr>
        <w:adjustRightInd w:val="0"/>
        <w:snapToGrid w:val="0"/>
        <w:ind w:firstLine="560"/>
      </w:pPr>
    </w:p>
    <w:p>
      <w:pPr>
        <w:pStyle w:val="8"/>
        <w:keepNext/>
        <w:spacing w:line="360" w:lineRule="auto"/>
        <w:ind w:firstLine="480"/>
        <w:jc w:val="center"/>
        <w:rPr>
          <w:sz w:val="24"/>
          <w:szCs w:val="24"/>
        </w:rPr>
      </w:pPr>
      <w:r>
        <w:rPr>
          <w:rFonts w:hint="eastAsia"/>
          <w:sz w:val="24"/>
          <w:szCs w:val="24"/>
        </w:rPr>
        <w:t xml:space="preserve">表4.7- </w:t>
      </w:r>
      <w:r>
        <w:rPr>
          <w:sz w:val="24"/>
          <w:szCs w:val="24"/>
        </w:rPr>
        <w:fldChar w:fldCharType="begin"/>
      </w:r>
      <w:r>
        <w:rPr>
          <w:rFonts w:hint="eastAsia"/>
          <w:sz w:val="24"/>
          <w:szCs w:val="24"/>
        </w:rPr>
        <w:instrText xml:space="preserve">SEQ 表4.7- \* ARABIC</w:instrText>
      </w:r>
      <w:r>
        <w:rPr>
          <w:sz w:val="24"/>
          <w:szCs w:val="24"/>
        </w:rPr>
        <w:fldChar w:fldCharType="separate"/>
      </w:r>
      <w:r>
        <w:rPr>
          <w:sz w:val="24"/>
          <w:szCs w:val="24"/>
        </w:rPr>
        <w:t>2</w:t>
      </w:r>
      <w:r>
        <w:rPr>
          <w:sz w:val="24"/>
          <w:szCs w:val="24"/>
        </w:rPr>
        <w:fldChar w:fldCharType="end"/>
      </w:r>
      <w:r>
        <w:rPr>
          <w:rFonts w:hint="eastAsia"/>
          <w:sz w:val="24"/>
          <w:szCs w:val="24"/>
        </w:rPr>
        <w:t>各行政村建议工艺汇总表</w:t>
      </w:r>
    </w:p>
    <w:tbl>
      <w:tblPr>
        <w:tblStyle w:val="26"/>
        <w:tblW w:w="5000" w:type="pct"/>
        <w:tblInd w:w="0" w:type="dxa"/>
        <w:tblLayout w:type="autofit"/>
        <w:tblCellMar>
          <w:top w:w="0" w:type="dxa"/>
          <w:left w:w="108" w:type="dxa"/>
          <w:bottom w:w="0" w:type="dxa"/>
          <w:right w:w="108" w:type="dxa"/>
        </w:tblCellMar>
      </w:tblPr>
      <w:tblGrid>
        <w:gridCol w:w="1153"/>
        <w:gridCol w:w="2859"/>
        <w:gridCol w:w="1961"/>
        <w:gridCol w:w="4137"/>
      </w:tblGrid>
      <w:tr>
        <w:tblPrEx>
          <w:tblCellMar>
            <w:top w:w="0" w:type="dxa"/>
            <w:left w:w="108" w:type="dxa"/>
            <w:bottom w:w="0" w:type="dxa"/>
            <w:right w:w="108" w:type="dxa"/>
          </w:tblCellMar>
        </w:tblPrEx>
        <w:trPr>
          <w:trHeight w:val="608" w:hRule="atLeast"/>
          <w:tblHeader/>
        </w:trPr>
        <w:tc>
          <w:tcPr>
            <w:tcW w:w="570"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b/>
                <w:bCs/>
                <w:kern w:val="0"/>
                <w:sz w:val="24"/>
              </w:rPr>
            </w:pPr>
            <w:r>
              <w:rPr>
                <w:rFonts w:hint="eastAsia" w:ascii="方正仿宋_GB2312" w:hAnsi="方正仿宋_GB2312" w:eastAsia="方正仿宋_GB2312" w:cs="方正仿宋_GB2312"/>
                <w:b/>
                <w:bCs/>
                <w:kern w:val="0"/>
                <w:sz w:val="24"/>
              </w:rPr>
              <w:t>序号</w:t>
            </w:r>
          </w:p>
        </w:tc>
        <w:tc>
          <w:tcPr>
            <w:tcW w:w="1414" w:type="pct"/>
            <w:tcBorders>
              <w:top w:val="single" w:color="auto" w:sz="8" w:space="0"/>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b/>
                <w:bCs/>
                <w:kern w:val="0"/>
                <w:sz w:val="24"/>
              </w:rPr>
            </w:pPr>
            <w:r>
              <w:rPr>
                <w:rFonts w:hint="eastAsia" w:ascii="方正仿宋_GB2312" w:hAnsi="方正仿宋_GB2312" w:eastAsia="方正仿宋_GB2312" w:cs="方正仿宋_GB2312"/>
                <w:b/>
                <w:bCs/>
                <w:kern w:val="0"/>
                <w:sz w:val="24"/>
              </w:rPr>
              <w:t>村庄类型</w:t>
            </w:r>
          </w:p>
        </w:tc>
        <w:tc>
          <w:tcPr>
            <w:tcW w:w="970" w:type="pct"/>
            <w:tcBorders>
              <w:top w:val="single" w:color="auto" w:sz="8" w:space="0"/>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b/>
                <w:bCs/>
                <w:kern w:val="0"/>
                <w:sz w:val="24"/>
              </w:rPr>
            </w:pPr>
            <w:r>
              <w:rPr>
                <w:rFonts w:hint="eastAsia" w:ascii="方正仿宋_GB2312" w:hAnsi="方正仿宋_GB2312" w:eastAsia="方正仿宋_GB2312" w:cs="方正仿宋_GB2312"/>
                <w:b/>
                <w:bCs/>
                <w:kern w:val="0"/>
                <w:sz w:val="24"/>
              </w:rPr>
              <w:t>排放标准</w:t>
            </w:r>
          </w:p>
        </w:tc>
        <w:tc>
          <w:tcPr>
            <w:tcW w:w="2046" w:type="pct"/>
            <w:tcBorders>
              <w:top w:val="single" w:color="auto" w:sz="8" w:space="0"/>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b/>
                <w:bCs/>
                <w:kern w:val="0"/>
                <w:sz w:val="24"/>
              </w:rPr>
            </w:pPr>
            <w:r>
              <w:rPr>
                <w:rFonts w:hint="eastAsia" w:ascii="方正仿宋_GB2312" w:hAnsi="方正仿宋_GB2312" w:eastAsia="方正仿宋_GB2312" w:cs="方正仿宋_GB2312"/>
                <w:b/>
                <w:bCs/>
                <w:kern w:val="0"/>
                <w:sz w:val="24"/>
              </w:rPr>
              <w:t>治理模式及推荐工艺</w:t>
            </w:r>
          </w:p>
        </w:tc>
      </w:tr>
      <w:tr>
        <w:tblPrEx>
          <w:tblCellMar>
            <w:top w:w="0" w:type="dxa"/>
            <w:left w:w="108" w:type="dxa"/>
            <w:bottom w:w="0" w:type="dxa"/>
            <w:right w:w="108" w:type="dxa"/>
          </w:tblCellMar>
        </w:tblPrEx>
        <w:trPr>
          <w:trHeight w:val="960" w:hRule="atLeast"/>
        </w:trPr>
        <w:tc>
          <w:tcPr>
            <w:tcW w:w="570" w:type="pct"/>
            <w:tcBorders>
              <w:top w:val="nil"/>
              <w:left w:val="single" w:color="auto" w:sz="8" w:space="0"/>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1</w:t>
            </w:r>
          </w:p>
        </w:tc>
        <w:tc>
          <w:tcPr>
            <w:tcW w:w="1414" w:type="pct"/>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eastAsia="方正仿宋_GBK"/>
                <w:sz w:val="24"/>
                <w:szCs w:val="24"/>
              </w:rPr>
              <w:t>纳管村庄</w:t>
            </w:r>
          </w:p>
        </w:tc>
        <w:tc>
          <w:tcPr>
            <w:tcW w:w="970" w:type="pct"/>
            <w:tcBorders>
              <w:top w:val="nil"/>
              <w:left w:val="nil"/>
              <w:bottom w:val="single" w:color="auto" w:sz="8" w:space="0"/>
              <w:right w:val="single" w:color="auto" w:sz="8" w:space="0"/>
            </w:tcBorders>
            <w:shd w:val="clear" w:color="auto" w:fill="auto"/>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按照接入污水处理厂设计出水标准执行</w:t>
            </w:r>
          </w:p>
        </w:tc>
        <w:tc>
          <w:tcPr>
            <w:tcW w:w="2046" w:type="pct"/>
            <w:tcBorders>
              <w:top w:val="nil"/>
              <w:left w:val="nil"/>
              <w:bottom w:val="single" w:color="auto" w:sz="8" w:space="0"/>
              <w:right w:val="single" w:color="auto" w:sz="8" w:space="0"/>
            </w:tcBorders>
            <w:shd w:val="clear" w:color="auto" w:fill="auto"/>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强化模式，以纳管的污水处理厂工艺为准</w:t>
            </w:r>
          </w:p>
        </w:tc>
      </w:tr>
      <w:tr>
        <w:tblPrEx>
          <w:tblCellMar>
            <w:top w:w="0" w:type="dxa"/>
            <w:left w:w="108" w:type="dxa"/>
            <w:bottom w:w="0" w:type="dxa"/>
            <w:right w:w="108" w:type="dxa"/>
          </w:tblCellMar>
        </w:tblPrEx>
        <w:trPr>
          <w:trHeight w:val="1080" w:hRule="atLeast"/>
        </w:trPr>
        <w:tc>
          <w:tcPr>
            <w:tcW w:w="570" w:type="pct"/>
            <w:tcBorders>
              <w:top w:val="nil"/>
              <w:left w:val="single" w:color="auto" w:sz="8" w:space="0"/>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2</w:t>
            </w:r>
          </w:p>
        </w:tc>
        <w:tc>
          <w:tcPr>
            <w:tcW w:w="1414" w:type="pct"/>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eastAsia="方正仿宋_GBK"/>
                <w:sz w:val="24"/>
                <w:szCs w:val="24"/>
              </w:rPr>
              <w:t>饮用水源地径流区内村庄</w:t>
            </w:r>
          </w:p>
        </w:tc>
        <w:tc>
          <w:tcPr>
            <w:tcW w:w="970" w:type="pct"/>
            <w:vMerge w:val="restart"/>
            <w:tcBorders>
              <w:top w:val="nil"/>
              <w:left w:val="nil"/>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一级A标</w:t>
            </w:r>
          </w:p>
        </w:tc>
        <w:tc>
          <w:tcPr>
            <w:tcW w:w="2046" w:type="pct"/>
            <w:tcBorders>
              <w:top w:val="nil"/>
              <w:left w:val="nil"/>
              <w:bottom w:val="single" w:color="auto" w:sz="8" w:space="0"/>
              <w:right w:val="single" w:color="auto" w:sz="8" w:space="0"/>
            </w:tcBorders>
            <w:shd w:val="clear" w:color="auto" w:fill="auto"/>
            <w:vAlign w:val="center"/>
          </w:tcPr>
          <w:p>
            <w:pPr>
              <w:widowControl/>
              <w:adjustRightInd w:val="0"/>
              <w:snapToGrid w:val="0"/>
              <w:spacing w:line="240" w:lineRule="auto"/>
              <w:ind w:firstLine="0" w:firstLineChars="0"/>
              <w:jc w:val="left"/>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强化模式，处理规模较大村庄以 A</w:t>
            </w:r>
            <w:r>
              <w:rPr>
                <w:rFonts w:hint="eastAsia" w:ascii="方正仿宋_GB2312" w:hAnsi="方正仿宋_GB2312" w:eastAsia="方正仿宋_GB2312" w:cs="方正仿宋_GB2312"/>
                <w:kern w:val="0"/>
                <w:sz w:val="24"/>
                <w:vertAlign w:val="superscript"/>
              </w:rPr>
              <w:t>2</w:t>
            </w:r>
            <w:r>
              <w:rPr>
                <w:rFonts w:hint="eastAsia" w:ascii="方正仿宋_GB2312" w:hAnsi="方正仿宋_GB2312" w:eastAsia="方正仿宋_GB2312" w:cs="方正仿宋_GB2312"/>
                <w:kern w:val="0"/>
                <w:sz w:val="24"/>
              </w:rPr>
              <w:t>/O工艺为主，较小村庄以一体化A</w:t>
            </w:r>
            <w:r>
              <w:rPr>
                <w:rFonts w:hint="eastAsia" w:ascii="方正仿宋_GB2312" w:hAnsi="方正仿宋_GB2312" w:eastAsia="方正仿宋_GB2312" w:cs="方正仿宋_GB2312"/>
                <w:kern w:val="0"/>
                <w:sz w:val="24"/>
                <w:vertAlign w:val="superscript"/>
              </w:rPr>
              <w:t>2</w:t>
            </w:r>
            <w:r>
              <w:rPr>
                <w:rFonts w:hint="eastAsia" w:ascii="方正仿宋_GB2312" w:hAnsi="方正仿宋_GB2312" w:eastAsia="方正仿宋_GB2312" w:cs="方正仿宋_GB2312"/>
                <w:kern w:val="0"/>
                <w:sz w:val="24"/>
              </w:rPr>
              <w:t>/O工艺+人工湿地为主。</w:t>
            </w:r>
          </w:p>
        </w:tc>
      </w:tr>
      <w:tr>
        <w:tblPrEx>
          <w:tblCellMar>
            <w:top w:w="0" w:type="dxa"/>
            <w:left w:w="108" w:type="dxa"/>
            <w:bottom w:w="0" w:type="dxa"/>
            <w:right w:w="108" w:type="dxa"/>
          </w:tblCellMar>
        </w:tblPrEx>
        <w:trPr>
          <w:trHeight w:val="960" w:hRule="atLeast"/>
        </w:trPr>
        <w:tc>
          <w:tcPr>
            <w:tcW w:w="570" w:type="pct"/>
            <w:tcBorders>
              <w:top w:val="nil"/>
              <w:left w:val="single" w:color="auto" w:sz="8" w:space="0"/>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3</w:t>
            </w:r>
          </w:p>
        </w:tc>
        <w:tc>
          <w:tcPr>
            <w:tcW w:w="1414" w:type="pct"/>
            <w:tcBorders>
              <w:top w:val="nil"/>
              <w:left w:val="nil"/>
              <w:bottom w:val="single" w:color="auto" w:sz="8" w:space="0"/>
              <w:right w:val="single" w:color="auto" w:sz="8" w:space="0"/>
            </w:tcBorders>
            <w:shd w:val="clear" w:color="auto" w:fill="auto"/>
            <w:vAlign w:val="center"/>
          </w:tcPr>
          <w:p>
            <w:pPr>
              <w:widowControl/>
              <w:adjustRightInd w:val="0"/>
              <w:snapToGrid w:val="0"/>
              <w:spacing w:line="240" w:lineRule="auto"/>
              <w:ind w:firstLine="0" w:firstLineChars="0"/>
              <w:jc w:val="left"/>
              <w:rPr>
                <w:rFonts w:ascii="方正仿宋_GB2312" w:hAnsi="方正仿宋_GB2312" w:eastAsia="方正仿宋_GB2312" w:cs="方正仿宋_GB2312"/>
                <w:kern w:val="0"/>
                <w:sz w:val="24"/>
              </w:rPr>
            </w:pPr>
            <w:r>
              <w:rPr>
                <w:rFonts w:hint="eastAsia" w:eastAsia="方正仿宋_GBK"/>
                <w:sz w:val="24"/>
                <w:szCs w:val="24"/>
              </w:rPr>
              <w:t>滇池流域</w:t>
            </w:r>
            <w:r>
              <w:rPr>
                <w:rFonts w:eastAsia="方正仿宋_GBK"/>
                <w:sz w:val="24"/>
                <w:szCs w:val="24"/>
              </w:rPr>
              <w:t>村庄</w:t>
            </w:r>
          </w:p>
        </w:tc>
        <w:tc>
          <w:tcPr>
            <w:tcW w:w="970" w:type="pct"/>
            <w:vMerge w:val="continue"/>
            <w:tcBorders>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p>
        </w:tc>
        <w:tc>
          <w:tcPr>
            <w:tcW w:w="2046" w:type="pct"/>
            <w:tcBorders>
              <w:top w:val="nil"/>
              <w:left w:val="nil"/>
              <w:bottom w:val="single" w:color="auto" w:sz="8" w:space="0"/>
              <w:right w:val="single" w:color="auto" w:sz="8" w:space="0"/>
            </w:tcBorders>
            <w:shd w:val="clear" w:color="auto" w:fill="auto"/>
            <w:vAlign w:val="center"/>
          </w:tcPr>
          <w:p>
            <w:pPr>
              <w:widowControl/>
              <w:adjustRightInd w:val="0"/>
              <w:snapToGrid w:val="0"/>
              <w:spacing w:line="240" w:lineRule="auto"/>
              <w:ind w:firstLine="0" w:firstLineChars="0"/>
              <w:jc w:val="left"/>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针对土地紧张村庄采用沉淀塘+人工快渗工艺，有闲置地村庄采用沉淀塘+人工湿地</w:t>
            </w:r>
          </w:p>
        </w:tc>
      </w:tr>
      <w:tr>
        <w:tblPrEx>
          <w:tblCellMar>
            <w:top w:w="0" w:type="dxa"/>
            <w:left w:w="108" w:type="dxa"/>
            <w:bottom w:w="0" w:type="dxa"/>
            <w:right w:w="108" w:type="dxa"/>
          </w:tblCellMar>
        </w:tblPrEx>
        <w:trPr>
          <w:trHeight w:val="960" w:hRule="atLeast"/>
        </w:trPr>
        <w:tc>
          <w:tcPr>
            <w:tcW w:w="570" w:type="pct"/>
            <w:tcBorders>
              <w:top w:val="nil"/>
              <w:left w:val="single" w:color="auto" w:sz="8" w:space="0"/>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4</w:t>
            </w:r>
          </w:p>
        </w:tc>
        <w:tc>
          <w:tcPr>
            <w:tcW w:w="1414" w:type="pct"/>
            <w:tcBorders>
              <w:top w:val="nil"/>
              <w:left w:val="nil"/>
              <w:bottom w:val="single" w:color="auto" w:sz="8" w:space="0"/>
              <w:right w:val="single" w:color="auto" w:sz="8" w:space="0"/>
            </w:tcBorders>
            <w:shd w:val="clear" w:color="auto" w:fill="auto"/>
            <w:vAlign w:val="center"/>
          </w:tcPr>
          <w:p>
            <w:pPr>
              <w:widowControl/>
              <w:adjustRightInd w:val="0"/>
              <w:snapToGrid w:val="0"/>
              <w:spacing w:line="240" w:lineRule="auto"/>
              <w:ind w:firstLine="0" w:firstLineChars="0"/>
              <w:jc w:val="left"/>
              <w:rPr>
                <w:sz w:val="24"/>
              </w:rPr>
            </w:pPr>
            <w:r>
              <w:rPr>
                <w:rFonts w:hint="eastAsia" w:ascii="方正仿宋_GB2312" w:hAnsi="方正仿宋_GB2312" w:eastAsia="方正仿宋_GB2312" w:cs="方正仿宋_GB2312"/>
                <w:kern w:val="0"/>
                <w:sz w:val="24"/>
              </w:rPr>
              <w:t>非滇池流域内，但是属于重点建设村庄</w:t>
            </w:r>
          </w:p>
        </w:tc>
        <w:tc>
          <w:tcPr>
            <w:tcW w:w="970" w:type="pct"/>
            <w:tcBorders>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一级</w:t>
            </w:r>
            <w:r>
              <w:rPr>
                <w:rFonts w:ascii="方正仿宋_GB2312" w:hAnsi="方正仿宋_GB2312" w:eastAsia="方正仿宋_GB2312" w:cs="方正仿宋_GB2312"/>
                <w:kern w:val="0"/>
                <w:sz w:val="24"/>
              </w:rPr>
              <w:t>B</w:t>
            </w:r>
            <w:r>
              <w:rPr>
                <w:rFonts w:hint="eastAsia" w:ascii="方正仿宋_GB2312" w:hAnsi="方正仿宋_GB2312" w:eastAsia="方正仿宋_GB2312" w:cs="方正仿宋_GB2312"/>
                <w:kern w:val="0"/>
                <w:sz w:val="24"/>
              </w:rPr>
              <w:t>标</w:t>
            </w:r>
          </w:p>
        </w:tc>
        <w:tc>
          <w:tcPr>
            <w:tcW w:w="2046" w:type="pct"/>
            <w:tcBorders>
              <w:top w:val="nil"/>
              <w:left w:val="nil"/>
              <w:bottom w:val="single" w:color="auto" w:sz="8" w:space="0"/>
              <w:right w:val="single" w:color="auto" w:sz="8" w:space="0"/>
            </w:tcBorders>
            <w:shd w:val="clear" w:color="auto" w:fill="auto"/>
            <w:vAlign w:val="center"/>
          </w:tcPr>
          <w:p>
            <w:pPr>
              <w:widowControl/>
              <w:adjustRightInd w:val="0"/>
              <w:snapToGrid w:val="0"/>
              <w:spacing w:line="240" w:lineRule="auto"/>
              <w:ind w:firstLine="0" w:firstLineChars="0"/>
              <w:jc w:val="left"/>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针对土地紧张村庄采用沉淀塘+人工快渗工艺，有闲置地村庄采用沉淀塘+人工湿地</w:t>
            </w:r>
          </w:p>
        </w:tc>
      </w:tr>
      <w:tr>
        <w:tblPrEx>
          <w:tblCellMar>
            <w:top w:w="0" w:type="dxa"/>
            <w:left w:w="108" w:type="dxa"/>
            <w:bottom w:w="0" w:type="dxa"/>
            <w:right w:w="108" w:type="dxa"/>
          </w:tblCellMar>
        </w:tblPrEx>
        <w:trPr>
          <w:trHeight w:val="1275" w:hRule="atLeast"/>
        </w:trPr>
        <w:tc>
          <w:tcPr>
            <w:tcW w:w="570" w:type="pct"/>
            <w:tcBorders>
              <w:top w:val="nil"/>
              <w:left w:val="single" w:color="auto" w:sz="8" w:space="0"/>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ascii="方正仿宋_GB2312" w:hAnsi="方正仿宋_GB2312" w:eastAsia="方正仿宋_GB2312" w:cs="方正仿宋_GB2312"/>
                <w:kern w:val="0"/>
                <w:sz w:val="24"/>
              </w:rPr>
              <w:t>5</w:t>
            </w:r>
          </w:p>
        </w:tc>
        <w:tc>
          <w:tcPr>
            <w:tcW w:w="1414" w:type="pct"/>
            <w:tcBorders>
              <w:top w:val="nil"/>
              <w:left w:val="nil"/>
              <w:bottom w:val="single" w:color="auto" w:sz="8" w:space="0"/>
              <w:right w:val="single" w:color="auto" w:sz="8" w:space="0"/>
            </w:tcBorders>
            <w:shd w:val="clear" w:color="auto" w:fill="auto"/>
            <w:vAlign w:val="center"/>
          </w:tcPr>
          <w:p>
            <w:pPr>
              <w:widowControl/>
              <w:adjustRightInd w:val="0"/>
              <w:snapToGrid w:val="0"/>
              <w:spacing w:line="240" w:lineRule="auto"/>
              <w:ind w:firstLine="0" w:firstLineChars="0"/>
              <w:jc w:val="left"/>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其他距离水域较远，但环境较好村庄</w:t>
            </w:r>
          </w:p>
        </w:tc>
        <w:tc>
          <w:tcPr>
            <w:tcW w:w="970" w:type="pct"/>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二级标准</w:t>
            </w:r>
          </w:p>
        </w:tc>
        <w:tc>
          <w:tcPr>
            <w:tcW w:w="2046" w:type="pct"/>
            <w:tcBorders>
              <w:top w:val="nil"/>
              <w:left w:val="nil"/>
              <w:bottom w:val="single" w:color="auto" w:sz="8" w:space="0"/>
              <w:right w:val="single" w:color="auto" w:sz="8" w:space="0"/>
            </w:tcBorders>
            <w:shd w:val="clear" w:color="auto" w:fill="auto"/>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针对土地紧张村庄采用沉淀塘+人工快渗工艺，有闲置地村庄采用沉淀塘+人工湿地，部分缺水村庄采用化粪池+氧化塘</w:t>
            </w:r>
          </w:p>
        </w:tc>
      </w:tr>
      <w:tr>
        <w:tblPrEx>
          <w:tblCellMar>
            <w:top w:w="0" w:type="dxa"/>
            <w:left w:w="108" w:type="dxa"/>
            <w:bottom w:w="0" w:type="dxa"/>
            <w:right w:w="108" w:type="dxa"/>
          </w:tblCellMar>
        </w:tblPrEx>
        <w:trPr>
          <w:trHeight w:val="705" w:hRule="atLeast"/>
        </w:trPr>
        <w:tc>
          <w:tcPr>
            <w:tcW w:w="570" w:type="pct"/>
            <w:tcBorders>
              <w:top w:val="nil"/>
              <w:left w:val="single" w:color="auto" w:sz="8" w:space="0"/>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ascii="方正仿宋_GB2312" w:hAnsi="方正仿宋_GB2312" w:eastAsia="方正仿宋_GB2312" w:cs="方正仿宋_GB2312"/>
                <w:kern w:val="0"/>
                <w:sz w:val="24"/>
              </w:rPr>
              <w:t>6</w:t>
            </w:r>
          </w:p>
        </w:tc>
        <w:tc>
          <w:tcPr>
            <w:tcW w:w="1414" w:type="pct"/>
            <w:tcBorders>
              <w:top w:val="nil"/>
              <w:left w:val="nil"/>
              <w:bottom w:val="single" w:color="auto" w:sz="8" w:space="0"/>
              <w:right w:val="single" w:color="auto" w:sz="8" w:space="0"/>
            </w:tcBorders>
            <w:shd w:val="clear" w:color="auto" w:fill="auto"/>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分散型村庄，规模小于5m</w:t>
            </w:r>
            <w:r>
              <w:rPr>
                <w:rFonts w:hint="eastAsia" w:ascii="方正仿宋_GB2312" w:hAnsi="方正仿宋_GB2312" w:eastAsia="方正仿宋_GB2312" w:cs="方正仿宋_GB2312"/>
                <w:kern w:val="0"/>
                <w:sz w:val="24"/>
                <w:vertAlign w:val="superscript"/>
              </w:rPr>
              <w:t>3</w:t>
            </w:r>
            <w:r>
              <w:rPr>
                <w:rFonts w:hint="eastAsia" w:ascii="方正仿宋_GB2312" w:hAnsi="方正仿宋_GB2312" w:eastAsia="方正仿宋_GB2312" w:cs="方正仿宋_GB2312"/>
                <w:kern w:val="0"/>
                <w:sz w:val="24"/>
              </w:rPr>
              <w:t>/d</w:t>
            </w:r>
          </w:p>
        </w:tc>
        <w:tc>
          <w:tcPr>
            <w:tcW w:w="970" w:type="pct"/>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三级标准</w:t>
            </w:r>
          </w:p>
        </w:tc>
        <w:tc>
          <w:tcPr>
            <w:tcW w:w="2046" w:type="pct"/>
            <w:tcBorders>
              <w:top w:val="nil"/>
              <w:left w:val="nil"/>
              <w:bottom w:val="single" w:color="auto" w:sz="8" w:space="0"/>
              <w:right w:val="single" w:color="auto" w:sz="8" w:space="0"/>
            </w:tcBorders>
            <w:shd w:val="clear" w:color="auto" w:fill="auto"/>
            <w:noWrap/>
            <w:vAlign w:val="center"/>
          </w:tcPr>
          <w:p>
            <w:pPr>
              <w:widowControl/>
              <w:adjustRightInd w:val="0"/>
              <w:snapToGrid w:val="0"/>
              <w:spacing w:line="240" w:lineRule="auto"/>
              <w:ind w:firstLine="0" w:firstLineChars="0"/>
              <w:jc w:val="center"/>
              <w:rPr>
                <w:rFonts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污水</w:t>
            </w:r>
            <w:r>
              <w:rPr>
                <w:rFonts w:ascii="方正仿宋_GB2312" w:hAnsi="方正仿宋_GB2312" w:eastAsia="方正仿宋_GB2312" w:cs="方正仿宋_GB2312"/>
                <w:kern w:val="0"/>
                <w:sz w:val="24"/>
              </w:rPr>
              <w:t>有效管控为主</w:t>
            </w:r>
          </w:p>
        </w:tc>
      </w:tr>
    </w:tbl>
    <w:p>
      <w:pPr>
        <w:adjustRightInd w:val="0"/>
        <w:snapToGrid w:val="0"/>
        <w:ind w:firstLine="198" w:firstLineChars="71"/>
        <w:rPr>
          <w:rFonts w:ascii="方正仿宋_GBK" w:hAnsi="Calibri"/>
          <w:szCs w:val="28"/>
        </w:rPr>
      </w:pPr>
    </w:p>
    <w:p>
      <w:pPr>
        <w:pStyle w:val="4"/>
        <w:widowControl/>
        <w:tabs>
          <w:tab w:val="left" w:pos="425"/>
        </w:tabs>
        <w:adjustRightInd w:val="0"/>
        <w:snapToGrid w:val="0"/>
        <w:spacing w:before="0" w:after="0" w:line="600" w:lineRule="exact"/>
        <w:jc w:val="left"/>
        <w:rPr>
          <w:rFonts w:eastAsia="方正楷体_GBK"/>
          <w:kern w:val="0"/>
          <w:sz w:val="30"/>
        </w:rPr>
      </w:pPr>
      <w:bookmarkStart w:id="63" w:name="_Toc43042542"/>
      <w:r>
        <w:rPr>
          <w:rFonts w:eastAsia="方正楷体_GBK"/>
          <w:kern w:val="0"/>
          <w:sz w:val="30"/>
        </w:rPr>
        <w:t>4.7.3</w:t>
      </w:r>
      <w:r>
        <w:rPr>
          <w:rFonts w:hint="eastAsia" w:eastAsia="方正楷体_GBK"/>
          <w:kern w:val="0"/>
          <w:sz w:val="30"/>
        </w:rPr>
        <w:t>改造污水处理设施处理技术模式选择及规划</w:t>
      </w:r>
      <w:bookmarkEnd w:id="63"/>
    </w:p>
    <w:p>
      <w:pPr>
        <w:adjustRightInd w:val="0"/>
        <w:snapToGrid w:val="0"/>
        <w:ind w:firstLine="560"/>
        <w:rPr>
          <w:rFonts w:ascii="方正仿宋_GBK" w:hAnsi="Calibri"/>
          <w:szCs w:val="28"/>
        </w:rPr>
      </w:pPr>
      <w:r>
        <w:rPr>
          <w:rFonts w:ascii="方正仿宋_GBK" w:hAnsi="方正仿宋_GBK" w:eastAsia="方正仿宋_GBK"/>
          <w:szCs w:val="28"/>
        </w:rPr>
        <w:t>根据现场实际调研，</w:t>
      </w:r>
      <w:r>
        <w:rPr>
          <w:rFonts w:hint="eastAsia" w:ascii="方正仿宋_GBK" w:hAnsi="方正仿宋_GBK" w:eastAsiaTheme="minorEastAsia"/>
          <w:szCs w:val="28"/>
        </w:rPr>
        <w:t>晋宁</w:t>
      </w:r>
      <w:r>
        <w:rPr>
          <w:rFonts w:ascii="方正仿宋_GBK" w:hAnsi="方正仿宋_GBK" w:eastAsia="方正仿宋_GBK"/>
          <w:szCs w:val="28"/>
        </w:rPr>
        <w:t>县现有污水处理设施站点中，相当部分污水设施采用的是动力</w:t>
      </w:r>
      <w:r>
        <w:rPr>
          <w:rFonts w:hint="eastAsia" w:ascii="方正仿宋_GBK" w:hAnsi="方正仿宋_GBK" w:eastAsiaTheme="minorEastAsia"/>
          <w:szCs w:val="28"/>
        </w:rPr>
        <w:t>式</w:t>
      </w:r>
      <w:r>
        <w:rPr>
          <w:rFonts w:ascii="方正仿宋_GBK" w:hAnsi="方正仿宋_GBK" w:eastAsia="方正仿宋_GBK"/>
          <w:szCs w:val="28"/>
        </w:rPr>
        <w:t>处理工艺，运行管理跟不上，还有部分污水处理设施进水</w:t>
      </w:r>
      <w:r>
        <w:rPr>
          <w:rFonts w:hint="eastAsia" w:ascii="方正仿宋_GBK" w:hAnsi="方正仿宋_GBK" w:eastAsiaTheme="minorEastAsia"/>
          <w:szCs w:val="28"/>
        </w:rPr>
        <w:t>管、厌氧系统堵塞</w:t>
      </w:r>
      <w:r>
        <w:rPr>
          <w:rFonts w:ascii="方正仿宋_GBK" w:hAnsi="方正仿宋_GBK" w:eastAsia="方正仿宋_GBK"/>
          <w:szCs w:val="28"/>
        </w:rPr>
        <w:t>，导致处理系统的水体停留时间过长而发生黑臭</w:t>
      </w:r>
      <w:r>
        <w:rPr>
          <w:rFonts w:hint="eastAsia" w:ascii="方正仿宋_GBK" w:hAnsi="方正仿宋_GBK" w:eastAsiaTheme="minorEastAsia"/>
          <w:szCs w:val="28"/>
        </w:rPr>
        <w:t>。部分污水处理设施围栏有损坏情况且沟渠自净污水能力处理效果不佳。</w:t>
      </w:r>
      <w:r>
        <w:rPr>
          <w:rFonts w:ascii="方正仿宋_GBK" w:hAnsi="方正仿宋_GBK" w:eastAsiaTheme="minorEastAsia"/>
          <w:szCs w:val="28"/>
        </w:rPr>
        <w:t>其他污水处理设施出水指标中对于pH 值、COD、SS 等指标一般情况下均能达标，但部分站点对于氨氮及总磷有超标现象。对于氨氮超标站点，可采用将现</w:t>
      </w:r>
      <w:r>
        <w:rPr>
          <w:rFonts w:ascii="方正仿宋_GBK" w:hAnsi="方正仿宋_GBK" w:eastAsia="方正仿宋_GBK"/>
          <w:szCs w:val="28"/>
        </w:rPr>
        <w:t>有部分湿地增设曝气充氧装置改造提升为好氧处理工艺，以加强现有设施的脱氮功能。对于总磷超标站点设施，可采用在现有人工湿地出水段中增设锁磷滤料段，以强化除磷功能。如个别自然村、污水处理设施有特殊要求，可另行考虑其它处理工艺进行设计及提升改造处理。需要改造的自然村有</w:t>
      </w:r>
      <w:r>
        <w:rPr>
          <w:rFonts w:hint="eastAsia" w:ascii="方正仿宋_GBK" w:hAnsi="方正仿宋_GBK" w:eastAsiaTheme="minorEastAsia"/>
          <w:szCs w:val="28"/>
        </w:rPr>
        <w:t>18</w:t>
      </w:r>
      <w:r>
        <w:rPr>
          <w:rFonts w:ascii="方正仿宋_GBK" w:hAnsi="方正仿宋_GBK" w:eastAsia="方正仿宋_GBK"/>
          <w:szCs w:val="28"/>
        </w:rPr>
        <w:t>个。</w:t>
      </w:r>
    </w:p>
    <w:p>
      <w:pPr>
        <w:adjustRightInd w:val="0"/>
        <w:snapToGrid w:val="0"/>
        <w:ind w:firstLine="560"/>
        <w:jc w:val="center"/>
        <w:rPr>
          <w:rFonts w:ascii="方正仿宋_GBK"/>
          <w:szCs w:val="28"/>
        </w:rPr>
      </w:pPr>
      <w:r>
        <w:rPr>
          <w:rFonts w:ascii="方正仿宋_GBK" w:hAnsi="方正仿宋_GBK"/>
          <w:szCs w:val="28"/>
        </w:rPr>
        <w:t>表</w:t>
      </w:r>
      <w:r>
        <w:rPr>
          <w:rFonts w:ascii="方正仿宋_GBK"/>
          <w:szCs w:val="28"/>
        </w:rPr>
        <w:t>4.7-3  需要改造的村庄统计表</w:t>
      </w:r>
    </w:p>
    <w:tbl>
      <w:tblPr>
        <w:tblStyle w:val="26"/>
        <w:tblW w:w="5000" w:type="pct"/>
        <w:tblInd w:w="0" w:type="dxa"/>
        <w:tblLayout w:type="autofit"/>
        <w:tblCellMar>
          <w:top w:w="0" w:type="dxa"/>
          <w:left w:w="108" w:type="dxa"/>
          <w:bottom w:w="0" w:type="dxa"/>
          <w:right w:w="108" w:type="dxa"/>
        </w:tblCellMar>
      </w:tblPr>
      <w:tblGrid>
        <w:gridCol w:w="1425"/>
        <w:gridCol w:w="1826"/>
        <w:gridCol w:w="2093"/>
        <w:gridCol w:w="4766"/>
      </w:tblGrid>
      <w:tr>
        <w:tblPrEx>
          <w:tblCellMar>
            <w:top w:w="0" w:type="dxa"/>
            <w:left w:w="108" w:type="dxa"/>
            <w:bottom w:w="0" w:type="dxa"/>
            <w:right w:w="108" w:type="dxa"/>
          </w:tblCellMar>
        </w:tblPrEx>
        <w:trPr>
          <w:trHeight w:val="165" w:hRule="atLeast"/>
        </w:trPr>
        <w:tc>
          <w:tcPr>
            <w:tcW w:w="705"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方正仿宋_GBK"/>
                <w:b/>
                <w:bCs/>
                <w:kern w:val="0"/>
              </w:rPr>
            </w:pPr>
            <w:r>
              <w:rPr>
                <w:rFonts w:hint="eastAsia" w:ascii="MS Mincho" w:hAnsi="MS Mincho" w:eastAsia="MS Mincho" w:cs="MS Mincho"/>
                <w:b/>
                <w:bCs/>
                <w:kern w:val="0"/>
              </w:rPr>
              <w:t>序号</w:t>
            </w:r>
          </w:p>
        </w:tc>
        <w:tc>
          <w:tcPr>
            <w:tcW w:w="903" w:type="pct"/>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方正仿宋_GBK"/>
                <w:b/>
                <w:bCs/>
                <w:kern w:val="0"/>
              </w:rPr>
            </w:pPr>
            <w:r>
              <w:rPr>
                <w:rFonts w:hint="eastAsia" w:ascii="PMingLiU" w:hAnsi="PMingLiU" w:eastAsia="PMingLiU" w:cs="PMingLiU"/>
                <w:b/>
                <w:bCs/>
                <w:kern w:val="0"/>
              </w:rPr>
              <w:t>县</w:t>
            </w:r>
          </w:p>
        </w:tc>
        <w:tc>
          <w:tcPr>
            <w:tcW w:w="1035" w:type="pct"/>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方正仿宋_GBK"/>
                <w:b/>
                <w:bCs/>
                <w:kern w:val="0"/>
              </w:rPr>
            </w:pPr>
            <w:r>
              <w:rPr>
                <w:rFonts w:hint="eastAsia" w:ascii="PMingLiU" w:hAnsi="PMingLiU" w:eastAsia="PMingLiU" w:cs="PMingLiU"/>
                <w:b/>
                <w:bCs/>
                <w:kern w:val="0"/>
              </w:rPr>
              <w:t>乡镇</w:t>
            </w:r>
          </w:p>
        </w:tc>
        <w:tc>
          <w:tcPr>
            <w:tcW w:w="2357" w:type="pct"/>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方正仿宋_GBK"/>
                <w:b/>
                <w:bCs/>
                <w:kern w:val="0"/>
              </w:rPr>
            </w:pPr>
            <w:r>
              <w:rPr>
                <w:rFonts w:hint="eastAsia" w:ascii="MS Mincho" w:hAnsi="MS Mincho" w:eastAsia="MS Mincho" w:cs="MS Mincho"/>
                <w:b/>
                <w:bCs/>
                <w:kern w:val="0"/>
              </w:rPr>
              <w:t>行政村</w:t>
            </w:r>
          </w:p>
        </w:tc>
      </w:tr>
      <w:tr>
        <w:tblPrEx>
          <w:tblCellMar>
            <w:top w:w="0" w:type="dxa"/>
            <w:left w:w="108" w:type="dxa"/>
            <w:bottom w:w="0" w:type="dxa"/>
            <w:right w:w="108" w:type="dxa"/>
          </w:tblCellMar>
        </w:tblPrEx>
        <w:trPr>
          <w:trHeight w:val="270" w:hRule="atLeast"/>
        </w:trPr>
        <w:tc>
          <w:tcPr>
            <w:tcW w:w="705"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方正仿宋_GBK"/>
                <w:kern w:val="0"/>
              </w:rPr>
            </w:pPr>
            <w:r>
              <w:rPr>
                <w:rFonts w:eastAsia="方正仿宋_GBK"/>
                <w:kern w:val="0"/>
              </w:rPr>
              <w:t>1</w:t>
            </w:r>
          </w:p>
        </w:tc>
        <w:tc>
          <w:tcPr>
            <w:tcW w:w="903"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宝峰街道</w:t>
            </w:r>
          </w:p>
        </w:tc>
        <w:tc>
          <w:tcPr>
            <w:tcW w:w="1035"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小河口村委会</w:t>
            </w:r>
          </w:p>
        </w:tc>
        <w:tc>
          <w:tcPr>
            <w:tcW w:w="2357"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鸡房</w:t>
            </w:r>
          </w:p>
        </w:tc>
      </w:tr>
      <w:tr>
        <w:tblPrEx>
          <w:tblCellMar>
            <w:top w:w="0" w:type="dxa"/>
            <w:left w:w="108" w:type="dxa"/>
            <w:bottom w:w="0" w:type="dxa"/>
            <w:right w:w="108" w:type="dxa"/>
          </w:tblCellMar>
        </w:tblPrEx>
        <w:trPr>
          <w:trHeight w:val="270" w:hRule="atLeast"/>
        </w:trPr>
        <w:tc>
          <w:tcPr>
            <w:tcW w:w="705"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方正仿宋_GBK"/>
                <w:kern w:val="0"/>
              </w:rPr>
            </w:pPr>
            <w:r>
              <w:rPr>
                <w:rFonts w:eastAsia="方正仿宋_GBK"/>
                <w:kern w:val="0"/>
              </w:rPr>
              <w:t>2</w:t>
            </w:r>
          </w:p>
        </w:tc>
        <w:tc>
          <w:tcPr>
            <w:tcW w:w="903"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宝峰街道</w:t>
            </w:r>
          </w:p>
        </w:tc>
        <w:tc>
          <w:tcPr>
            <w:tcW w:w="1035"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中和铺村委会</w:t>
            </w:r>
          </w:p>
        </w:tc>
        <w:tc>
          <w:tcPr>
            <w:tcW w:w="2357"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下大村</w:t>
            </w:r>
          </w:p>
        </w:tc>
      </w:tr>
      <w:tr>
        <w:tblPrEx>
          <w:tblCellMar>
            <w:top w:w="0" w:type="dxa"/>
            <w:left w:w="108" w:type="dxa"/>
            <w:bottom w:w="0" w:type="dxa"/>
            <w:right w:w="108" w:type="dxa"/>
          </w:tblCellMar>
        </w:tblPrEx>
        <w:trPr>
          <w:trHeight w:val="209" w:hRule="atLeast"/>
        </w:trPr>
        <w:tc>
          <w:tcPr>
            <w:tcW w:w="705"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方正仿宋_GBK"/>
                <w:kern w:val="0"/>
              </w:rPr>
            </w:pPr>
            <w:r>
              <w:rPr>
                <w:rFonts w:eastAsia="方正仿宋_GBK"/>
                <w:kern w:val="0"/>
              </w:rPr>
              <w:t>3</w:t>
            </w:r>
          </w:p>
        </w:tc>
        <w:tc>
          <w:tcPr>
            <w:tcW w:w="903"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宝峰街道</w:t>
            </w:r>
          </w:p>
        </w:tc>
        <w:tc>
          <w:tcPr>
            <w:tcW w:w="1035"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昌家营村委会</w:t>
            </w:r>
          </w:p>
        </w:tc>
        <w:tc>
          <w:tcPr>
            <w:tcW w:w="2357"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迎香村</w:t>
            </w:r>
          </w:p>
        </w:tc>
      </w:tr>
      <w:tr>
        <w:tblPrEx>
          <w:tblCellMar>
            <w:top w:w="0" w:type="dxa"/>
            <w:left w:w="108" w:type="dxa"/>
            <w:bottom w:w="0" w:type="dxa"/>
            <w:right w:w="108" w:type="dxa"/>
          </w:tblCellMar>
        </w:tblPrEx>
        <w:trPr>
          <w:trHeight w:val="270" w:hRule="atLeast"/>
        </w:trPr>
        <w:tc>
          <w:tcPr>
            <w:tcW w:w="705"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方正仿宋_GBK"/>
                <w:kern w:val="0"/>
              </w:rPr>
            </w:pPr>
            <w:r>
              <w:rPr>
                <w:rFonts w:eastAsia="方正仿宋_GBK"/>
                <w:kern w:val="0"/>
              </w:rPr>
              <w:t>4</w:t>
            </w:r>
          </w:p>
        </w:tc>
        <w:tc>
          <w:tcPr>
            <w:tcW w:w="903"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宝峰街道</w:t>
            </w:r>
          </w:p>
        </w:tc>
        <w:tc>
          <w:tcPr>
            <w:tcW w:w="1035"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昌家营村委会</w:t>
            </w:r>
          </w:p>
        </w:tc>
        <w:tc>
          <w:tcPr>
            <w:tcW w:w="2357"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昌家营</w:t>
            </w:r>
          </w:p>
        </w:tc>
      </w:tr>
      <w:tr>
        <w:tblPrEx>
          <w:tblCellMar>
            <w:top w:w="0" w:type="dxa"/>
            <w:left w:w="108" w:type="dxa"/>
            <w:bottom w:w="0" w:type="dxa"/>
            <w:right w:w="108" w:type="dxa"/>
          </w:tblCellMar>
        </w:tblPrEx>
        <w:trPr>
          <w:trHeight w:val="270" w:hRule="atLeast"/>
        </w:trPr>
        <w:tc>
          <w:tcPr>
            <w:tcW w:w="705"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方正仿宋_GBK"/>
                <w:kern w:val="0"/>
              </w:rPr>
            </w:pPr>
            <w:r>
              <w:rPr>
                <w:rFonts w:eastAsia="方正仿宋_GBK"/>
                <w:kern w:val="0"/>
              </w:rPr>
              <w:t>5</w:t>
            </w:r>
          </w:p>
        </w:tc>
        <w:tc>
          <w:tcPr>
            <w:tcW w:w="903"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宝峰街道</w:t>
            </w:r>
          </w:p>
        </w:tc>
        <w:tc>
          <w:tcPr>
            <w:tcW w:w="1035"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酸水塘村委会</w:t>
            </w:r>
          </w:p>
        </w:tc>
        <w:tc>
          <w:tcPr>
            <w:tcW w:w="2357"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酸水塘下村</w:t>
            </w:r>
          </w:p>
        </w:tc>
      </w:tr>
      <w:tr>
        <w:tblPrEx>
          <w:tblCellMar>
            <w:top w:w="0" w:type="dxa"/>
            <w:left w:w="108" w:type="dxa"/>
            <w:bottom w:w="0" w:type="dxa"/>
            <w:right w:w="108" w:type="dxa"/>
          </w:tblCellMar>
        </w:tblPrEx>
        <w:trPr>
          <w:trHeight w:val="270" w:hRule="atLeast"/>
        </w:trPr>
        <w:tc>
          <w:tcPr>
            <w:tcW w:w="705"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方正仿宋_GBK"/>
                <w:kern w:val="0"/>
              </w:rPr>
            </w:pPr>
            <w:r>
              <w:rPr>
                <w:rFonts w:eastAsia="方正仿宋_GBK"/>
                <w:kern w:val="0"/>
              </w:rPr>
              <w:t>6</w:t>
            </w:r>
          </w:p>
        </w:tc>
        <w:tc>
          <w:tcPr>
            <w:tcW w:w="903"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二街镇</w:t>
            </w:r>
          </w:p>
        </w:tc>
        <w:tc>
          <w:tcPr>
            <w:tcW w:w="1035"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肖家村委会</w:t>
            </w:r>
          </w:p>
        </w:tc>
        <w:tc>
          <w:tcPr>
            <w:tcW w:w="2357"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螃蟹河</w:t>
            </w:r>
          </w:p>
        </w:tc>
      </w:tr>
      <w:tr>
        <w:tblPrEx>
          <w:tblCellMar>
            <w:top w:w="0" w:type="dxa"/>
            <w:left w:w="108" w:type="dxa"/>
            <w:bottom w:w="0" w:type="dxa"/>
            <w:right w:w="108" w:type="dxa"/>
          </w:tblCellMar>
        </w:tblPrEx>
        <w:trPr>
          <w:trHeight w:val="270" w:hRule="atLeast"/>
        </w:trPr>
        <w:tc>
          <w:tcPr>
            <w:tcW w:w="705"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方正仿宋_GBK"/>
                <w:kern w:val="0"/>
              </w:rPr>
            </w:pPr>
            <w:r>
              <w:rPr>
                <w:rFonts w:eastAsia="方正仿宋_GBK"/>
                <w:kern w:val="0"/>
              </w:rPr>
              <w:t>7</w:t>
            </w:r>
          </w:p>
        </w:tc>
        <w:tc>
          <w:tcPr>
            <w:tcW w:w="903"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二街镇</w:t>
            </w:r>
          </w:p>
        </w:tc>
        <w:tc>
          <w:tcPr>
            <w:tcW w:w="1035"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朱家村委会</w:t>
            </w:r>
          </w:p>
        </w:tc>
        <w:tc>
          <w:tcPr>
            <w:tcW w:w="2357"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顺民村</w:t>
            </w:r>
          </w:p>
        </w:tc>
      </w:tr>
      <w:tr>
        <w:tblPrEx>
          <w:tblCellMar>
            <w:top w:w="0" w:type="dxa"/>
            <w:left w:w="108" w:type="dxa"/>
            <w:bottom w:w="0" w:type="dxa"/>
            <w:right w:w="108" w:type="dxa"/>
          </w:tblCellMar>
        </w:tblPrEx>
        <w:trPr>
          <w:trHeight w:val="270" w:hRule="atLeast"/>
        </w:trPr>
        <w:tc>
          <w:tcPr>
            <w:tcW w:w="705"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方正仿宋_GBK"/>
                <w:kern w:val="0"/>
              </w:rPr>
            </w:pPr>
            <w:r>
              <w:rPr>
                <w:rFonts w:eastAsia="方正仿宋_GBK"/>
                <w:kern w:val="0"/>
              </w:rPr>
              <w:t>8</w:t>
            </w:r>
          </w:p>
        </w:tc>
        <w:tc>
          <w:tcPr>
            <w:tcW w:w="903"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二街镇</w:t>
            </w:r>
          </w:p>
        </w:tc>
        <w:tc>
          <w:tcPr>
            <w:tcW w:w="1035"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甸头村委会</w:t>
            </w:r>
          </w:p>
        </w:tc>
        <w:tc>
          <w:tcPr>
            <w:tcW w:w="2357"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甸头村</w:t>
            </w:r>
          </w:p>
        </w:tc>
      </w:tr>
      <w:tr>
        <w:tblPrEx>
          <w:tblCellMar>
            <w:top w:w="0" w:type="dxa"/>
            <w:left w:w="108" w:type="dxa"/>
            <w:bottom w:w="0" w:type="dxa"/>
            <w:right w:w="108" w:type="dxa"/>
          </w:tblCellMar>
        </w:tblPrEx>
        <w:trPr>
          <w:trHeight w:val="270" w:hRule="atLeast"/>
        </w:trPr>
        <w:tc>
          <w:tcPr>
            <w:tcW w:w="705"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方正仿宋_GBK"/>
                <w:kern w:val="0"/>
              </w:rPr>
            </w:pPr>
            <w:r>
              <w:rPr>
                <w:rFonts w:eastAsia="方正仿宋_GBK"/>
                <w:kern w:val="0"/>
              </w:rPr>
              <w:t>9</w:t>
            </w:r>
          </w:p>
        </w:tc>
        <w:tc>
          <w:tcPr>
            <w:tcW w:w="903"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六街镇</w:t>
            </w:r>
          </w:p>
        </w:tc>
        <w:tc>
          <w:tcPr>
            <w:tcW w:w="1035"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大营村委会</w:t>
            </w:r>
          </w:p>
        </w:tc>
        <w:tc>
          <w:tcPr>
            <w:tcW w:w="2357"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大营村</w:t>
            </w:r>
          </w:p>
        </w:tc>
      </w:tr>
      <w:tr>
        <w:tblPrEx>
          <w:tblCellMar>
            <w:top w:w="0" w:type="dxa"/>
            <w:left w:w="108" w:type="dxa"/>
            <w:bottom w:w="0" w:type="dxa"/>
            <w:right w:w="108" w:type="dxa"/>
          </w:tblCellMar>
        </w:tblPrEx>
        <w:trPr>
          <w:trHeight w:val="77" w:hRule="atLeast"/>
        </w:trPr>
        <w:tc>
          <w:tcPr>
            <w:tcW w:w="705" w:type="pc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方正仿宋_GBK"/>
                <w:kern w:val="0"/>
              </w:rPr>
            </w:pPr>
            <w:r>
              <w:rPr>
                <w:rFonts w:eastAsia="方正仿宋_GBK"/>
                <w:kern w:val="0"/>
              </w:rPr>
              <w:t>10</w:t>
            </w:r>
          </w:p>
        </w:tc>
        <w:tc>
          <w:tcPr>
            <w:tcW w:w="903"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六街镇</w:t>
            </w:r>
          </w:p>
        </w:tc>
        <w:tc>
          <w:tcPr>
            <w:tcW w:w="1035"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龙王塘村委会</w:t>
            </w:r>
          </w:p>
        </w:tc>
        <w:tc>
          <w:tcPr>
            <w:tcW w:w="2357" w:type="pct"/>
            <w:tcBorders>
              <w:top w:val="nil"/>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大沟箐村</w:t>
            </w:r>
          </w:p>
        </w:tc>
      </w:tr>
      <w:tr>
        <w:tblPrEx>
          <w:tblCellMar>
            <w:top w:w="0" w:type="dxa"/>
            <w:left w:w="108" w:type="dxa"/>
            <w:bottom w:w="0" w:type="dxa"/>
            <w:right w:w="108" w:type="dxa"/>
          </w:tblCellMar>
        </w:tblPrEx>
        <w:trPr>
          <w:trHeight w:val="270" w:hRule="atLeast"/>
        </w:trPr>
        <w:tc>
          <w:tcPr>
            <w:tcW w:w="705"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方正仿宋_GBK"/>
                <w:kern w:val="0"/>
              </w:rPr>
            </w:pPr>
            <w:r>
              <w:rPr>
                <w:rFonts w:eastAsia="方正仿宋_GBK"/>
                <w:kern w:val="0"/>
              </w:rPr>
              <w:t>11</w:t>
            </w:r>
          </w:p>
        </w:tc>
        <w:tc>
          <w:tcPr>
            <w:tcW w:w="903"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六街镇</w:t>
            </w:r>
          </w:p>
        </w:tc>
        <w:tc>
          <w:tcPr>
            <w:tcW w:w="1035"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干海村委会</w:t>
            </w:r>
          </w:p>
        </w:tc>
        <w:tc>
          <w:tcPr>
            <w:tcW w:w="2357"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eastAsia="方正仿宋_GBK"/>
                <w:kern w:val="0"/>
              </w:rPr>
            </w:pPr>
            <w:r>
              <w:rPr>
                <w:rFonts w:hint="eastAsia"/>
                <w:sz w:val="22"/>
              </w:rPr>
              <w:t>长地心村</w:t>
            </w:r>
          </w:p>
        </w:tc>
      </w:tr>
      <w:tr>
        <w:tblPrEx>
          <w:tblCellMar>
            <w:top w:w="0" w:type="dxa"/>
            <w:left w:w="108" w:type="dxa"/>
            <w:bottom w:w="0" w:type="dxa"/>
            <w:right w:w="108" w:type="dxa"/>
          </w:tblCellMar>
        </w:tblPrEx>
        <w:trPr>
          <w:trHeight w:val="270" w:hRule="atLeast"/>
        </w:trPr>
        <w:tc>
          <w:tcPr>
            <w:tcW w:w="705"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Theme="minorEastAsia"/>
                <w:kern w:val="0"/>
              </w:rPr>
            </w:pPr>
            <w:r>
              <w:rPr>
                <w:rFonts w:hint="eastAsia" w:eastAsiaTheme="minorEastAsia"/>
                <w:kern w:val="0"/>
              </w:rPr>
              <w:t>12</w:t>
            </w:r>
          </w:p>
        </w:tc>
        <w:tc>
          <w:tcPr>
            <w:tcW w:w="903"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ascii="PMingLiU" w:hAnsi="PMingLiU" w:cs="PMingLiU" w:eastAsiaTheme="minorEastAsia"/>
                <w:kern w:val="0"/>
              </w:rPr>
            </w:pPr>
            <w:r>
              <w:rPr>
                <w:rFonts w:hint="eastAsia"/>
                <w:sz w:val="22"/>
              </w:rPr>
              <w:t>六街镇</w:t>
            </w:r>
          </w:p>
        </w:tc>
        <w:tc>
          <w:tcPr>
            <w:tcW w:w="1035"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ascii="MS Mincho" w:hAnsi="MS Mincho" w:eastAsia="MS Mincho" w:cs="MS Mincho"/>
                <w:kern w:val="0"/>
              </w:rPr>
            </w:pPr>
            <w:r>
              <w:rPr>
                <w:rFonts w:hint="eastAsia"/>
                <w:sz w:val="22"/>
              </w:rPr>
              <w:t>青菜村委会</w:t>
            </w:r>
          </w:p>
        </w:tc>
        <w:tc>
          <w:tcPr>
            <w:tcW w:w="2357"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ascii="MS Mincho" w:hAnsi="MS Mincho" w:eastAsia="MS Mincho" w:cs="MS Mincho"/>
                <w:kern w:val="0"/>
              </w:rPr>
            </w:pPr>
            <w:r>
              <w:rPr>
                <w:rFonts w:hint="eastAsia"/>
                <w:sz w:val="22"/>
              </w:rPr>
              <w:t>小湾山村</w:t>
            </w:r>
          </w:p>
        </w:tc>
      </w:tr>
      <w:tr>
        <w:tblPrEx>
          <w:tblCellMar>
            <w:top w:w="0" w:type="dxa"/>
            <w:left w:w="108" w:type="dxa"/>
            <w:bottom w:w="0" w:type="dxa"/>
            <w:right w:w="108" w:type="dxa"/>
          </w:tblCellMar>
        </w:tblPrEx>
        <w:trPr>
          <w:trHeight w:val="270" w:hRule="atLeast"/>
        </w:trPr>
        <w:tc>
          <w:tcPr>
            <w:tcW w:w="705"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Theme="minorEastAsia"/>
                <w:kern w:val="0"/>
              </w:rPr>
            </w:pPr>
            <w:r>
              <w:rPr>
                <w:rFonts w:hint="eastAsia" w:eastAsiaTheme="minorEastAsia"/>
                <w:kern w:val="0"/>
              </w:rPr>
              <w:t>13</w:t>
            </w:r>
          </w:p>
        </w:tc>
        <w:tc>
          <w:tcPr>
            <w:tcW w:w="903"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ascii="PMingLiU" w:hAnsi="PMingLiU" w:cs="PMingLiU" w:eastAsiaTheme="minorEastAsia"/>
                <w:kern w:val="0"/>
              </w:rPr>
            </w:pPr>
            <w:r>
              <w:rPr>
                <w:rFonts w:hint="eastAsia"/>
                <w:sz w:val="22"/>
              </w:rPr>
              <w:t>六街镇</w:t>
            </w:r>
          </w:p>
        </w:tc>
        <w:tc>
          <w:tcPr>
            <w:tcW w:w="1035"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ascii="MS Mincho" w:hAnsi="MS Mincho" w:cs="MS Mincho" w:eastAsiaTheme="minorEastAsia"/>
                <w:kern w:val="0"/>
              </w:rPr>
            </w:pPr>
            <w:r>
              <w:rPr>
                <w:rFonts w:hint="eastAsia"/>
                <w:sz w:val="22"/>
              </w:rPr>
              <w:t>青菜村委会</w:t>
            </w:r>
          </w:p>
        </w:tc>
        <w:tc>
          <w:tcPr>
            <w:tcW w:w="2357"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ascii="MS Mincho" w:hAnsi="MS Mincho" w:eastAsia="MS Mincho" w:cs="MS Mincho"/>
                <w:kern w:val="0"/>
              </w:rPr>
            </w:pPr>
            <w:r>
              <w:rPr>
                <w:rFonts w:hint="eastAsia"/>
                <w:sz w:val="22"/>
              </w:rPr>
              <w:t>菜子塘村</w:t>
            </w:r>
          </w:p>
        </w:tc>
      </w:tr>
      <w:tr>
        <w:tblPrEx>
          <w:tblCellMar>
            <w:top w:w="0" w:type="dxa"/>
            <w:left w:w="108" w:type="dxa"/>
            <w:bottom w:w="0" w:type="dxa"/>
            <w:right w:w="108" w:type="dxa"/>
          </w:tblCellMar>
        </w:tblPrEx>
        <w:trPr>
          <w:trHeight w:val="270" w:hRule="atLeast"/>
        </w:trPr>
        <w:tc>
          <w:tcPr>
            <w:tcW w:w="705"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Theme="minorEastAsia"/>
                <w:kern w:val="0"/>
              </w:rPr>
            </w:pPr>
            <w:r>
              <w:rPr>
                <w:rFonts w:hint="eastAsia" w:eastAsiaTheme="minorEastAsia"/>
                <w:kern w:val="0"/>
              </w:rPr>
              <w:t>14</w:t>
            </w:r>
          </w:p>
        </w:tc>
        <w:tc>
          <w:tcPr>
            <w:tcW w:w="903"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ascii="PMingLiU" w:hAnsi="PMingLiU" w:cs="PMingLiU" w:eastAsiaTheme="minorEastAsia"/>
                <w:kern w:val="0"/>
              </w:rPr>
            </w:pPr>
            <w:r>
              <w:rPr>
                <w:rFonts w:hint="eastAsia"/>
                <w:sz w:val="22"/>
              </w:rPr>
              <w:t>六街镇</w:t>
            </w:r>
          </w:p>
        </w:tc>
        <w:tc>
          <w:tcPr>
            <w:tcW w:w="1035"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ascii="MS Mincho" w:hAnsi="MS Mincho" w:eastAsia="MS Mincho" w:cs="MS Mincho"/>
                <w:kern w:val="0"/>
              </w:rPr>
            </w:pPr>
            <w:r>
              <w:rPr>
                <w:rFonts w:hint="eastAsia"/>
                <w:sz w:val="22"/>
              </w:rPr>
              <w:t>王家湾村委会</w:t>
            </w:r>
          </w:p>
        </w:tc>
        <w:tc>
          <w:tcPr>
            <w:tcW w:w="2357"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rFonts w:ascii="MS Mincho" w:hAnsi="MS Mincho" w:eastAsia="MS Mincho" w:cs="MS Mincho"/>
                <w:kern w:val="0"/>
              </w:rPr>
            </w:pPr>
            <w:r>
              <w:rPr>
                <w:rFonts w:hint="eastAsia"/>
                <w:sz w:val="22"/>
              </w:rPr>
              <w:t>东杨建村</w:t>
            </w:r>
          </w:p>
        </w:tc>
      </w:tr>
      <w:tr>
        <w:tblPrEx>
          <w:tblCellMar>
            <w:top w:w="0" w:type="dxa"/>
            <w:left w:w="108" w:type="dxa"/>
            <w:bottom w:w="0" w:type="dxa"/>
            <w:right w:w="108" w:type="dxa"/>
          </w:tblCellMar>
        </w:tblPrEx>
        <w:trPr>
          <w:trHeight w:val="270" w:hRule="atLeast"/>
        </w:trPr>
        <w:tc>
          <w:tcPr>
            <w:tcW w:w="705"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Theme="minorEastAsia"/>
                <w:kern w:val="0"/>
              </w:rPr>
            </w:pPr>
            <w:r>
              <w:rPr>
                <w:rFonts w:hint="eastAsia" w:eastAsiaTheme="minorEastAsia"/>
                <w:kern w:val="0"/>
              </w:rPr>
              <w:t>15</w:t>
            </w:r>
          </w:p>
        </w:tc>
        <w:tc>
          <w:tcPr>
            <w:tcW w:w="903"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sz w:val="22"/>
              </w:rPr>
            </w:pPr>
            <w:r>
              <w:rPr>
                <w:rFonts w:hint="eastAsia"/>
                <w:sz w:val="22"/>
              </w:rPr>
              <w:t>六街镇</w:t>
            </w:r>
          </w:p>
        </w:tc>
        <w:tc>
          <w:tcPr>
            <w:tcW w:w="1035"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sz w:val="22"/>
              </w:rPr>
            </w:pPr>
            <w:r>
              <w:rPr>
                <w:rFonts w:hint="eastAsia"/>
                <w:sz w:val="22"/>
              </w:rPr>
              <w:t>王家湾村委会</w:t>
            </w:r>
          </w:p>
        </w:tc>
        <w:tc>
          <w:tcPr>
            <w:tcW w:w="2357"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sz w:val="22"/>
              </w:rPr>
            </w:pPr>
            <w:r>
              <w:rPr>
                <w:rFonts w:hint="eastAsia"/>
                <w:sz w:val="22"/>
              </w:rPr>
              <w:t>大柳树村</w:t>
            </w:r>
          </w:p>
        </w:tc>
      </w:tr>
      <w:tr>
        <w:tblPrEx>
          <w:tblCellMar>
            <w:top w:w="0" w:type="dxa"/>
            <w:left w:w="108" w:type="dxa"/>
            <w:bottom w:w="0" w:type="dxa"/>
            <w:right w:w="108" w:type="dxa"/>
          </w:tblCellMar>
        </w:tblPrEx>
        <w:trPr>
          <w:trHeight w:val="270" w:hRule="atLeast"/>
        </w:trPr>
        <w:tc>
          <w:tcPr>
            <w:tcW w:w="705"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Theme="minorEastAsia"/>
                <w:kern w:val="0"/>
              </w:rPr>
            </w:pPr>
            <w:r>
              <w:rPr>
                <w:rFonts w:hint="eastAsia" w:eastAsiaTheme="minorEastAsia"/>
                <w:kern w:val="0"/>
              </w:rPr>
              <w:t>16</w:t>
            </w:r>
          </w:p>
        </w:tc>
        <w:tc>
          <w:tcPr>
            <w:tcW w:w="903"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sz w:val="22"/>
              </w:rPr>
            </w:pPr>
            <w:r>
              <w:rPr>
                <w:rFonts w:hint="eastAsia"/>
                <w:sz w:val="22"/>
              </w:rPr>
              <w:t>双河彝族乡</w:t>
            </w:r>
          </w:p>
        </w:tc>
        <w:tc>
          <w:tcPr>
            <w:tcW w:w="1035"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sz w:val="22"/>
              </w:rPr>
            </w:pPr>
            <w:r>
              <w:rPr>
                <w:rFonts w:hint="eastAsia"/>
                <w:sz w:val="22"/>
              </w:rPr>
              <w:t>双河村委会</w:t>
            </w:r>
          </w:p>
        </w:tc>
        <w:tc>
          <w:tcPr>
            <w:tcW w:w="2357"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sz w:val="22"/>
              </w:rPr>
            </w:pPr>
            <w:r>
              <w:rPr>
                <w:rFonts w:hint="eastAsia"/>
                <w:sz w:val="22"/>
              </w:rPr>
              <w:t>椿树营村</w:t>
            </w:r>
          </w:p>
        </w:tc>
      </w:tr>
      <w:tr>
        <w:tblPrEx>
          <w:tblCellMar>
            <w:top w:w="0" w:type="dxa"/>
            <w:left w:w="108" w:type="dxa"/>
            <w:bottom w:w="0" w:type="dxa"/>
            <w:right w:w="108" w:type="dxa"/>
          </w:tblCellMar>
        </w:tblPrEx>
        <w:trPr>
          <w:trHeight w:val="270" w:hRule="atLeast"/>
        </w:trPr>
        <w:tc>
          <w:tcPr>
            <w:tcW w:w="705"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Theme="minorEastAsia"/>
                <w:kern w:val="0"/>
              </w:rPr>
            </w:pPr>
            <w:r>
              <w:rPr>
                <w:rFonts w:hint="eastAsia" w:eastAsiaTheme="minorEastAsia"/>
                <w:kern w:val="0"/>
              </w:rPr>
              <w:t>17</w:t>
            </w:r>
          </w:p>
        </w:tc>
        <w:tc>
          <w:tcPr>
            <w:tcW w:w="903"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sz w:val="22"/>
              </w:rPr>
            </w:pPr>
            <w:r>
              <w:rPr>
                <w:rFonts w:hint="eastAsia"/>
                <w:sz w:val="22"/>
              </w:rPr>
              <w:t>双河彝族乡</w:t>
            </w:r>
          </w:p>
        </w:tc>
        <w:tc>
          <w:tcPr>
            <w:tcW w:w="1035"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sz w:val="22"/>
              </w:rPr>
            </w:pPr>
            <w:r>
              <w:rPr>
                <w:rFonts w:hint="eastAsia"/>
                <w:sz w:val="22"/>
              </w:rPr>
              <w:t>双河村委会</w:t>
            </w:r>
          </w:p>
        </w:tc>
        <w:tc>
          <w:tcPr>
            <w:tcW w:w="2357"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sz w:val="22"/>
              </w:rPr>
            </w:pPr>
            <w:r>
              <w:rPr>
                <w:rFonts w:hint="eastAsia"/>
                <w:sz w:val="22"/>
              </w:rPr>
              <w:t>下庄河村</w:t>
            </w:r>
          </w:p>
        </w:tc>
      </w:tr>
      <w:tr>
        <w:tblPrEx>
          <w:tblCellMar>
            <w:top w:w="0" w:type="dxa"/>
            <w:left w:w="108" w:type="dxa"/>
            <w:bottom w:w="0" w:type="dxa"/>
            <w:right w:w="108" w:type="dxa"/>
          </w:tblCellMar>
        </w:tblPrEx>
        <w:trPr>
          <w:trHeight w:val="270" w:hRule="atLeast"/>
        </w:trPr>
        <w:tc>
          <w:tcPr>
            <w:tcW w:w="705"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eastAsiaTheme="minorEastAsia"/>
                <w:kern w:val="0"/>
              </w:rPr>
            </w:pPr>
            <w:r>
              <w:rPr>
                <w:rFonts w:hint="eastAsia" w:eastAsiaTheme="minorEastAsia"/>
                <w:kern w:val="0"/>
              </w:rPr>
              <w:t>18</w:t>
            </w:r>
          </w:p>
        </w:tc>
        <w:tc>
          <w:tcPr>
            <w:tcW w:w="903"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sz w:val="22"/>
              </w:rPr>
            </w:pPr>
            <w:r>
              <w:rPr>
                <w:rFonts w:hint="eastAsia"/>
                <w:sz w:val="22"/>
              </w:rPr>
              <w:t>双河彝族乡</w:t>
            </w:r>
          </w:p>
        </w:tc>
        <w:tc>
          <w:tcPr>
            <w:tcW w:w="1035"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sz w:val="22"/>
              </w:rPr>
            </w:pPr>
            <w:r>
              <w:rPr>
                <w:rFonts w:hint="eastAsia"/>
                <w:sz w:val="22"/>
              </w:rPr>
              <w:t>老江河村委会</w:t>
            </w:r>
          </w:p>
        </w:tc>
        <w:tc>
          <w:tcPr>
            <w:tcW w:w="2357" w:type="pct"/>
            <w:tcBorders>
              <w:top w:val="single" w:color="auto" w:sz="4" w:space="0"/>
              <w:left w:val="nil"/>
              <w:bottom w:val="single" w:color="auto" w:sz="4" w:space="0"/>
              <w:right w:val="single" w:color="auto" w:sz="4" w:space="0"/>
            </w:tcBorders>
            <w:noWrap/>
            <w:vAlign w:val="bottom"/>
          </w:tcPr>
          <w:p>
            <w:pPr>
              <w:widowControl/>
              <w:adjustRightInd w:val="0"/>
              <w:snapToGrid w:val="0"/>
              <w:spacing w:line="240" w:lineRule="auto"/>
              <w:ind w:firstLine="0" w:firstLineChars="0"/>
              <w:jc w:val="center"/>
              <w:rPr>
                <w:sz w:val="22"/>
              </w:rPr>
            </w:pPr>
            <w:r>
              <w:rPr>
                <w:rFonts w:hint="eastAsia"/>
                <w:sz w:val="22"/>
              </w:rPr>
              <w:t>法古甸村</w:t>
            </w:r>
          </w:p>
        </w:tc>
      </w:tr>
    </w:tbl>
    <w:p>
      <w:pPr>
        <w:adjustRightInd w:val="0"/>
        <w:snapToGrid w:val="0"/>
        <w:ind w:firstLine="560"/>
        <w:jc w:val="center"/>
        <w:rPr>
          <w:rFonts w:ascii="方正仿宋_GBK" w:hAnsi="Calibri"/>
          <w:szCs w:val="28"/>
        </w:rPr>
      </w:pPr>
    </w:p>
    <w:p>
      <w:pPr>
        <w:pStyle w:val="8"/>
        <w:keepNext/>
        <w:spacing w:line="360" w:lineRule="auto"/>
        <w:ind w:firstLine="480"/>
        <w:jc w:val="center"/>
        <w:rPr>
          <w:sz w:val="24"/>
          <w:szCs w:val="24"/>
        </w:rPr>
      </w:pPr>
      <w:r>
        <w:rPr>
          <w:rFonts w:hint="eastAsia"/>
          <w:sz w:val="24"/>
          <w:szCs w:val="24"/>
        </w:rPr>
        <w:t xml:space="preserve">表4.7- </w:t>
      </w:r>
      <w:r>
        <w:rPr>
          <w:sz w:val="24"/>
          <w:szCs w:val="24"/>
        </w:rPr>
        <w:fldChar w:fldCharType="begin"/>
      </w:r>
      <w:r>
        <w:rPr>
          <w:rFonts w:hint="eastAsia"/>
          <w:sz w:val="24"/>
          <w:szCs w:val="24"/>
        </w:rPr>
        <w:instrText xml:space="preserve">SEQ 表4.7- \* ARABIC</w:instrText>
      </w:r>
      <w:r>
        <w:rPr>
          <w:sz w:val="24"/>
          <w:szCs w:val="24"/>
        </w:rPr>
        <w:fldChar w:fldCharType="separate"/>
      </w:r>
      <w:r>
        <w:rPr>
          <w:sz w:val="24"/>
          <w:szCs w:val="24"/>
        </w:rPr>
        <w:t>3</w:t>
      </w:r>
      <w:r>
        <w:rPr>
          <w:sz w:val="24"/>
          <w:szCs w:val="24"/>
        </w:rPr>
        <w:fldChar w:fldCharType="end"/>
      </w:r>
      <w:r>
        <w:rPr>
          <w:rFonts w:hint="eastAsia"/>
          <w:sz w:val="24"/>
          <w:szCs w:val="24"/>
        </w:rPr>
        <w:t>污水处理设施改造技术方法</w:t>
      </w:r>
    </w:p>
    <w:tbl>
      <w:tblPr>
        <w:tblStyle w:val="26"/>
        <w:tblW w:w="5000" w:type="pct"/>
        <w:jc w:val="center"/>
        <w:tblLayout w:type="autofit"/>
        <w:tblCellMar>
          <w:top w:w="0" w:type="dxa"/>
          <w:left w:w="108" w:type="dxa"/>
          <w:bottom w:w="0" w:type="dxa"/>
          <w:right w:w="108" w:type="dxa"/>
        </w:tblCellMar>
      </w:tblPr>
      <w:tblGrid>
        <w:gridCol w:w="936"/>
        <w:gridCol w:w="2376"/>
        <w:gridCol w:w="6798"/>
      </w:tblGrid>
      <w:tr>
        <w:tblPrEx>
          <w:tblCellMar>
            <w:top w:w="0" w:type="dxa"/>
            <w:left w:w="108" w:type="dxa"/>
            <w:bottom w:w="0" w:type="dxa"/>
            <w:right w:w="108" w:type="dxa"/>
          </w:tblCellMar>
        </w:tblPrEx>
        <w:trPr>
          <w:trHeight w:val="285"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sz w:val="24"/>
              </w:rPr>
            </w:pPr>
            <w:r>
              <w:rPr>
                <w:rFonts w:hint="eastAsia" w:eastAsia="方正仿宋_GBK"/>
                <w:b/>
                <w:bCs/>
                <w:sz w:val="24"/>
              </w:rPr>
              <w:t>序号</w:t>
            </w:r>
          </w:p>
        </w:tc>
        <w:tc>
          <w:tcPr>
            <w:tcW w:w="1175" w:type="pct"/>
            <w:tcBorders>
              <w:top w:val="single" w:color="auto" w:sz="4" w:space="0"/>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sz w:val="24"/>
              </w:rPr>
            </w:pPr>
            <w:r>
              <w:rPr>
                <w:rFonts w:hint="eastAsia" w:eastAsia="方正仿宋_GBK"/>
                <w:b/>
                <w:bCs/>
                <w:sz w:val="24"/>
              </w:rPr>
              <w:t>改造技术</w:t>
            </w:r>
          </w:p>
        </w:tc>
        <w:tc>
          <w:tcPr>
            <w:tcW w:w="3362" w:type="pct"/>
            <w:tcBorders>
              <w:top w:val="single" w:color="auto" w:sz="4" w:space="0"/>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b/>
                <w:bCs/>
                <w:sz w:val="24"/>
              </w:rPr>
            </w:pPr>
            <w:r>
              <w:rPr>
                <w:rFonts w:hint="eastAsia" w:eastAsia="方正仿宋_GBK"/>
                <w:b/>
                <w:bCs/>
                <w:sz w:val="24"/>
              </w:rPr>
              <w:t>具体方法</w:t>
            </w:r>
          </w:p>
        </w:tc>
      </w:tr>
      <w:tr>
        <w:tblPrEx>
          <w:tblCellMar>
            <w:top w:w="0" w:type="dxa"/>
            <w:left w:w="108" w:type="dxa"/>
            <w:bottom w:w="0" w:type="dxa"/>
            <w:right w:w="108" w:type="dxa"/>
          </w:tblCellMar>
        </w:tblPrEx>
        <w:trPr>
          <w:trHeight w:val="795" w:hRule="atLeast"/>
          <w:jc w:val="center"/>
        </w:trPr>
        <w:tc>
          <w:tcPr>
            <w:tcW w:w="463" w:type="pct"/>
            <w:tcBorders>
              <w:top w:val="nil"/>
              <w:left w:val="single" w:color="auto" w:sz="4" w:space="0"/>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sz w:val="24"/>
              </w:rPr>
            </w:pPr>
            <w:r>
              <w:rPr>
                <w:rFonts w:eastAsia="方正仿宋_GBK"/>
                <w:sz w:val="24"/>
              </w:rPr>
              <w:t>1</w:t>
            </w:r>
          </w:p>
        </w:tc>
        <w:tc>
          <w:tcPr>
            <w:tcW w:w="1175"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sz w:val="24"/>
              </w:rPr>
            </w:pPr>
            <w:r>
              <w:rPr>
                <w:rFonts w:hint="eastAsia" w:eastAsia="方正仿宋_GBK"/>
                <w:sz w:val="24"/>
              </w:rPr>
              <w:t>人工湿地抗堵改造</w:t>
            </w:r>
          </w:p>
        </w:tc>
        <w:tc>
          <w:tcPr>
            <w:tcW w:w="3362"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left"/>
              <w:rPr>
                <w:rFonts w:eastAsia="方正仿宋_GBK"/>
                <w:sz w:val="24"/>
              </w:rPr>
            </w:pPr>
            <w:r>
              <w:rPr>
                <w:rFonts w:hint="eastAsia" w:eastAsia="方正仿宋_GBK"/>
                <w:sz w:val="24"/>
              </w:rPr>
              <w:t>水平潜流湿地填料按照水流方向，以大、中、小、中、大粒径级配铺设；垂直流湿地填料宜按水流方向，以从小到大的粒径级配铺设</w:t>
            </w:r>
          </w:p>
        </w:tc>
      </w:tr>
      <w:tr>
        <w:tblPrEx>
          <w:tblCellMar>
            <w:top w:w="0" w:type="dxa"/>
            <w:left w:w="108" w:type="dxa"/>
            <w:bottom w:w="0" w:type="dxa"/>
            <w:right w:w="108" w:type="dxa"/>
          </w:tblCellMar>
        </w:tblPrEx>
        <w:trPr>
          <w:trHeight w:val="570" w:hRule="atLeast"/>
          <w:jc w:val="center"/>
        </w:trPr>
        <w:tc>
          <w:tcPr>
            <w:tcW w:w="463" w:type="pct"/>
            <w:tcBorders>
              <w:top w:val="nil"/>
              <w:left w:val="single" w:color="auto" w:sz="4" w:space="0"/>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sz w:val="24"/>
              </w:rPr>
            </w:pPr>
            <w:r>
              <w:rPr>
                <w:rFonts w:eastAsia="方正仿宋_GBK"/>
                <w:sz w:val="24"/>
              </w:rPr>
              <w:t>2</w:t>
            </w:r>
          </w:p>
        </w:tc>
        <w:tc>
          <w:tcPr>
            <w:tcW w:w="1175"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sz w:val="24"/>
              </w:rPr>
            </w:pPr>
            <w:r>
              <w:rPr>
                <w:rFonts w:hint="eastAsia" w:eastAsia="方正仿宋_GBK"/>
                <w:sz w:val="24"/>
              </w:rPr>
              <w:t>增设曝气系统</w:t>
            </w:r>
          </w:p>
        </w:tc>
        <w:tc>
          <w:tcPr>
            <w:tcW w:w="3362"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left"/>
              <w:rPr>
                <w:rFonts w:eastAsia="方正仿宋_GBK"/>
                <w:sz w:val="24"/>
              </w:rPr>
            </w:pPr>
            <w:r>
              <w:rPr>
                <w:rFonts w:hint="eastAsia" w:eastAsia="方正仿宋_GBK"/>
                <w:sz w:val="24"/>
              </w:rPr>
              <w:t>部分人工湿地水质氨氮等指标不达标，可以将沉淀塘后面其中一级湿地增加曝气装置，增加充氧量。</w:t>
            </w:r>
          </w:p>
        </w:tc>
      </w:tr>
      <w:tr>
        <w:tblPrEx>
          <w:tblCellMar>
            <w:top w:w="0" w:type="dxa"/>
            <w:left w:w="108" w:type="dxa"/>
            <w:bottom w:w="0" w:type="dxa"/>
            <w:right w:w="108" w:type="dxa"/>
          </w:tblCellMar>
        </w:tblPrEx>
        <w:trPr>
          <w:trHeight w:val="795" w:hRule="atLeast"/>
          <w:jc w:val="center"/>
        </w:trPr>
        <w:tc>
          <w:tcPr>
            <w:tcW w:w="463" w:type="pct"/>
            <w:tcBorders>
              <w:top w:val="nil"/>
              <w:left w:val="single" w:color="auto" w:sz="4" w:space="0"/>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sz w:val="24"/>
              </w:rPr>
            </w:pPr>
            <w:r>
              <w:rPr>
                <w:rFonts w:eastAsia="方正仿宋_GBK"/>
                <w:sz w:val="24"/>
              </w:rPr>
              <w:t>3</w:t>
            </w:r>
          </w:p>
        </w:tc>
        <w:tc>
          <w:tcPr>
            <w:tcW w:w="1175"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sz w:val="24"/>
              </w:rPr>
            </w:pPr>
            <w:r>
              <w:rPr>
                <w:rFonts w:hint="eastAsia" w:eastAsia="方正仿宋_GBK"/>
                <w:sz w:val="24"/>
              </w:rPr>
              <w:t>增设生物滤池（床）</w:t>
            </w:r>
          </w:p>
        </w:tc>
        <w:tc>
          <w:tcPr>
            <w:tcW w:w="3362"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left"/>
              <w:rPr>
                <w:rFonts w:eastAsia="方正仿宋_GBK"/>
                <w:sz w:val="24"/>
              </w:rPr>
            </w:pPr>
            <w:r>
              <w:rPr>
                <w:rFonts w:hint="eastAsia" w:eastAsia="方正仿宋_GBK"/>
                <w:sz w:val="24"/>
              </w:rPr>
              <w:t>部分人工湿地水质氮磷等指标不达标，可以将沉淀塘后面其中一级湿地增加复合介质生物滤池（床）。</w:t>
            </w:r>
          </w:p>
        </w:tc>
      </w:tr>
      <w:tr>
        <w:tblPrEx>
          <w:tblCellMar>
            <w:top w:w="0" w:type="dxa"/>
            <w:left w:w="108" w:type="dxa"/>
            <w:bottom w:w="0" w:type="dxa"/>
            <w:right w:w="108" w:type="dxa"/>
          </w:tblCellMar>
        </w:tblPrEx>
        <w:trPr>
          <w:trHeight w:val="570" w:hRule="atLeast"/>
          <w:jc w:val="center"/>
        </w:trPr>
        <w:tc>
          <w:tcPr>
            <w:tcW w:w="463" w:type="pct"/>
            <w:tcBorders>
              <w:top w:val="nil"/>
              <w:left w:val="single" w:color="auto" w:sz="4" w:space="0"/>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sz w:val="24"/>
              </w:rPr>
            </w:pPr>
            <w:r>
              <w:rPr>
                <w:rFonts w:eastAsia="方正仿宋_GBK"/>
                <w:sz w:val="24"/>
              </w:rPr>
              <w:t>4</w:t>
            </w:r>
          </w:p>
        </w:tc>
        <w:tc>
          <w:tcPr>
            <w:tcW w:w="1175" w:type="pct"/>
            <w:tcBorders>
              <w:top w:val="nil"/>
              <w:left w:val="nil"/>
              <w:bottom w:val="single" w:color="auto" w:sz="4" w:space="0"/>
              <w:right w:val="single" w:color="auto" w:sz="4" w:space="0"/>
            </w:tcBorders>
            <w:noWrap/>
            <w:vAlign w:val="center"/>
          </w:tcPr>
          <w:p>
            <w:pPr>
              <w:adjustRightInd w:val="0"/>
              <w:snapToGrid w:val="0"/>
              <w:spacing w:line="240" w:lineRule="auto"/>
              <w:ind w:firstLine="0" w:firstLineChars="0"/>
              <w:jc w:val="center"/>
              <w:rPr>
                <w:rFonts w:eastAsia="方正仿宋_GBK"/>
                <w:sz w:val="24"/>
              </w:rPr>
            </w:pPr>
            <w:r>
              <w:rPr>
                <w:rFonts w:hint="eastAsia" w:eastAsia="方正仿宋_GBK"/>
                <w:sz w:val="24"/>
              </w:rPr>
              <w:t>增设一体化装置</w:t>
            </w:r>
          </w:p>
        </w:tc>
        <w:tc>
          <w:tcPr>
            <w:tcW w:w="3362" w:type="pc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left"/>
              <w:rPr>
                <w:rFonts w:eastAsia="方正仿宋_GBK"/>
                <w:sz w:val="24"/>
              </w:rPr>
            </w:pPr>
            <w:r>
              <w:rPr>
                <w:rFonts w:hint="eastAsia" w:eastAsia="方正仿宋_GBK"/>
                <w:sz w:val="24"/>
              </w:rPr>
              <w:t>部分人工湿地水质氮磷等指标不达标，可以将沉淀塘后面其中一级湿地增加一体化装置。</w:t>
            </w:r>
          </w:p>
        </w:tc>
      </w:tr>
    </w:tbl>
    <w:p>
      <w:pPr>
        <w:adjustRightInd w:val="0"/>
        <w:snapToGrid w:val="0"/>
        <w:ind w:firstLine="560"/>
        <w:rPr>
          <w:rFonts w:ascii="方正仿宋_GBK" w:hAnsi="方正仿宋_GBK" w:eastAsiaTheme="minorEastAsia"/>
          <w:szCs w:val="28"/>
        </w:rPr>
      </w:pPr>
    </w:p>
    <w:p>
      <w:pPr>
        <w:spacing w:beforeLines="50"/>
        <w:ind w:firstLine="0" w:firstLineChars="0"/>
        <w:jc w:val="left"/>
        <w:outlineLvl w:val="1"/>
        <w:rPr>
          <w:rFonts w:eastAsia="方正黑体_GBK"/>
          <w:b/>
          <w:sz w:val="32"/>
          <w:szCs w:val="32"/>
        </w:rPr>
      </w:pPr>
      <w:bookmarkStart w:id="64" w:name="_Toc43042543"/>
      <w:r>
        <w:rPr>
          <w:rFonts w:eastAsia="方正黑体_GBK"/>
          <w:b/>
          <w:sz w:val="32"/>
          <w:szCs w:val="32"/>
        </w:rPr>
        <w:t>4.8</w:t>
      </w:r>
      <w:r>
        <w:rPr>
          <w:rFonts w:hint="eastAsia" w:eastAsia="方正黑体_GBK"/>
          <w:b/>
          <w:sz w:val="32"/>
          <w:szCs w:val="32"/>
        </w:rPr>
        <w:t>固体废物处理处置</w:t>
      </w:r>
      <w:bookmarkEnd w:id="64"/>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农村生活污水设施产生的固体废物主要有栅渣、污泥和植物残体。</w:t>
      </w:r>
    </w:p>
    <w:p>
      <w:pPr>
        <w:pStyle w:val="4"/>
        <w:widowControl/>
        <w:tabs>
          <w:tab w:val="left" w:pos="425"/>
        </w:tabs>
        <w:adjustRightInd w:val="0"/>
        <w:snapToGrid w:val="0"/>
        <w:spacing w:before="0" w:after="0" w:line="600" w:lineRule="exact"/>
        <w:jc w:val="left"/>
        <w:rPr>
          <w:rFonts w:eastAsia="方正楷体_GBK"/>
          <w:kern w:val="0"/>
          <w:sz w:val="30"/>
        </w:rPr>
      </w:pPr>
      <w:bookmarkStart w:id="65" w:name="_Toc43042544"/>
      <w:r>
        <w:rPr>
          <w:rFonts w:eastAsia="方正楷体_GBK"/>
          <w:kern w:val="0"/>
          <w:sz w:val="30"/>
        </w:rPr>
        <w:t>4.8.1</w:t>
      </w:r>
      <w:r>
        <w:rPr>
          <w:rFonts w:hint="eastAsia" w:eastAsia="方正楷体_GBK"/>
          <w:kern w:val="0"/>
          <w:sz w:val="30"/>
        </w:rPr>
        <w:t>栅渣处理处置</w:t>
      </w:r>
      <w:bookmarkEnd w:id="65"/>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栅渣应及时清理，并运至附近村落垃圾桶（垃圾池、垃圾房或垃圾斗），不得随意倾倒。若栅渣量大，宜运至附近城镇污水处理厂污泥处理系统或指定垃圾中转站统一处理处置。</w:t>
      </w:r>
    </w:p>
    <w:p>
      <w:pPr>
        <w:pStyle w:val="4"/>
        <w:widowControl/>
        <w:tabs>
          <w:tab w:val="left" w:pos="425"/>
        </w:tabs>
        <w:adjustRightInd w:val="0"/>
        <w:snapToGrid w:val="0"/>
        <w:spacing w:before="0" w:after="0" w:line="600" w:lineRule="exact"/>
        <w:jc w:val="left"/>
        <w:rPr>
          <w:rFonts w:eastAsia="方正楷体_GBK"/>
          <w:kern w:val="0"/>
          <w:sz w:val="30"/>
        </w:rPr>
      </w:pPr>
      <w:bookmarkStart w:id="66" w:name="_Toc43042545"/>
      <w:r>
        <w:rPr>
          <w:rFonts w:eastAsia="方正楷体_GBK"/>
          <w:kern w:val="0"/>
          <w:sz w:val="30"/>
        </w:rPr>
        <w:t>4.8.2</w:t>
      </w:r>
      <w:r>
        <w:rPr>
          <w:rFonts w:hint="eastAsia" w:eastAsia="方正楷体_GBK"/>
          <w:kern w:val="0"/>
          <w:sz w:val="30"/>
        </w:rPr>
        <w:t>污泥处理处置</w:t>
      </w:r>
      <w:bookmarkEnd w:id="66"/>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（1）分散处理</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分散处理系统产生的污泥适合先单独储存，然后定期统一收集到干化场处理，待污泥熟化后，再进行土地利用（农田、园林绿化、林地利用等），应符合《农用地污泥污染物控制标准》（GB4284）；用于园林绿化的应符合《城镇污水处理厂污泥处置园林绿化用泥质》（GB/T23486）。</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（2）集中处理</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集中污水处理系统产生的污泥量相对较大，因此，需采用完备的污泥处理系统，以避免造成二次污染。各污水处理地点污泥可以首先统一收集、运送至集中处理场进行机械脱水，然后再进行好氧堆肥处理。好氧堆肥产品宜直接进行土地利用。</w:t>
      </w:r>
    </w:p>
    <w:p>
      <w:pPr>
        <w:pStyle w:val="4"/>
        <w:widowControl/>
        <w:tabs>
          <w:tab w:val="left" w:pos="425"/>
        </w:tabs>
        <w:adjustRightInd w:val="0"/>
        <w:snapToGrid w:val="0"/>
        <w:spacing w:before="0" w:after="0" w:line="600" w:lineRule="exact"/>
        <w:jc w:val="left"/>
        <w:rPr>
          <w:rFonts w:eastAsia="方正楷体_GBK"/>
          <w:kern w:val="0"/>
          <w:sz w:val="30"/>
        </w:rPr>
      </w:pPr>
      <w:bookmarkStart w:id="67" w:name="_Toc43042546"/>
      <w:r>
        <w:rPr>
          <w:rFonts w:eastAsia="方正楷体_GBK"/>
          <w:kern w:val="0"/>
          <w:sz w:val="30"/>
        </w:rPr>
        <w:t>4.8.3</w:t>
      </w:r>
      <w:r>
        <w:rPr>
          <w:rFonts w:hint="eastAsia" w:eastAsia="方正楷体_GBK"/>
          <w:kern w:val="0"/>
          <w:sz w:val="30"/>
        </w:rPr>
        <w:t>植物残体处理处置</w:t>
      </w:r>
      <w:bookmarkEnd w:id="67"/>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生态处理系统运行期间应及时对枯萎植物、落叶等进行清理，保持植物的正常生长和防止植物腐烂影响处理效果。</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生态处理系统可根据植物生长情况确定收割次数，宜每年收割1~2次，收割时应注意保护湿地表层结构。收割的植物应优先考虑资源化，根据植物种类和收割量大小，可用作饲料、粉碎沤肥和沼气等。</w:t>
      </w:r>
    </w:p>
    <w:p>
      <w:pPr>
        <w:spacing w:beforeLines="50"/>
        <w:ind w:firstLine="640"/>
        <w:jc w:val="left"/>
        <w:outlineLvl w:val="1"/>
        <w:rPr>
          <w:rFonts w:eastAsia="方正黑体_GBK"/>
          <w:b/>
          <w:sz w:val="32"/>
          <w:szCs w:val="32"/>
        </w:rPr>
      </w:pPr>
      <w:bookmarkStart w:id="68" w:name="_Toc43042547"/>
      <w:r>
        <w:rPr>
          <w:rFonts w:eastAsia="方正黑体_GBK"/>
          <w:b/>
          <w:sz w:val="32"/>
          <w:szCs w:val="32"/>
        </w:rPr>
        <w:t>4.9</w:t>
      </w:r>
      <w:r>
        <w:rPr>
          <w:rFonts w:hint="eastAsia" w:eastAsia="方正黑体_GBK"/>
          <w:b/>
          <w:sz w:val="32"/>
          <w:szCs w:val="32"/>
        </w:rPr>
        <w:t>验收移交</w:t>
      </w:r>
      <w:bookmarkEnd w:id="68"/>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（1）资料验收</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竣工验收应提供如下主要文件资料：工程项目的立项文件、招标投标文件和工程承包合同、竣工验收申请、工程质量监督报告、工程决算报告及批复、工程竣工审计报告、工程调试运行报告、施工过程中的工程变更文件以及主管部门有关审批、修改、调整文件，竣工图纸、设备技术说明书等。</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（2）工程实体验收</w:t>
      </w:r>
    </w:p>
    <w:p>
      <w:pPr>
        <w:adjustRightInd w:val="0"/>
        <w:snapToGrid w:val="0"/>
        <w:ind w:firstLine="560"/>
        <w:rPr>
          <w:rFonts w:ascii="方正仿宋_GBK"/>
          <w:szCs w:val="28"/>
        </w:rPr>
      </w:pPr>
      <w:r>
        <w:rPr>
          <w:rFonts w:ascii="方正仿宋_GBK" w:hAnsi="方正仿宋_GBK" w:eastAsia="方正仿宋_GBK"/>
          <w:szCs w:val="28"/>
        </w:rPr>
        <w:t>文件资料审核通过后，建设单位应组织工程项目各参与方，进行现场实体验收。重点审查工程建设内容是否与设计文件相符、施工质量是否达到现行的质量验收标准、机电设备数量、型号、参数及技术要求等是否与设计文件相符、配电与自控系统是否达到相关防护要求，以及工程项目场地的安全防护措施。工程实体验收合格后，方可进行环保验收，验收不合格的应责成施工单位或其它相关单位进行限期整改。</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（3）环保验收</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施工单位应提交调试和试运行报告，试运行报告中应包括至少连续3日以上的水质监测记录以及具有环境监测资质的单位出具的水质监测报告。出水水质应符合设计出水水质要求。</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（4）第三方运维单位验收及运维移交：</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相关部门根据污水治理设施的建设情况，对已通过综合验收和提交移交报告的项目进行现场查勘，并核查验收资料（竣工图、水质监测报告等建档资料），对核查过程中发现不具备移交条件的项目及时反馈生态环境局和项目建设单位，并由生态环境局督促进行整改，整改到位后再根据"五位一体"管理职责进行移交接收，做到合格一个移交一个，实施逐步逐批交接，确保每个移交项目各环节都能正常运行。</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⑤三方面资料的整理和移交：</w:t>
      </w:r>
    </w:p>
    <w:p>
      <w:pPr>
        <w:adjustRightInd w:val="0"/>
        <w:snapToGrid w:val="0"/>
        <w:ind w:firstLine="560"/>
        <w:rPr>
          <w:rFonts w:ascii="方正仿宋_GBK" w:hAnsi="方正仿宋_GBK" w:eastAsia="方正仿宋_GBK"/>
          <w:szCs w:val="28"/>
        </w:rPr>
      </w:pPr>
      <w:r>
        <w:rPr>
          <w:rFonts w:ascii="方正仿宋_GBK" w:hAnsi="方正仿宋_GBK" w:eastAsia="方正仿宋_GBK"/>
          <w:szCs w:val="28"/>
        </w:rPr>
        <w:t>验收资料由各乡镇按照“一村一档”要求建立城乡生活污水治理设施验收档案。</w:t>
      </w:r>
    </w:p>
    <w:p>
      <w:pPr>
        <w:ind w:firstLine="560"/>
        <w:rPr>
          <w:rFonts w:ascii="Calibri"/>
          <w:sz w:val="21"/>
          <w:szCs w:val="21"/>
        </w:rPr>
      </w:pPr>
      <w:r>
        <w:rPr>
          <w:rFonts w:ascii="方正仿宋_GBK"/>
          <w:szCs w:val="28"/>
        </w:rPr>
        <w:br w:type="page"/>
      </w:r>
    </w:p>
    <w:p>
      <w:pPr>
        <w:ind w:firstLine="198" w:firstLineChars="55"/>
        <w:jc w:val="left"/>
        <w:outlineLvl w:val="0"/>
        <w:rPr>
          <w:rFonts w:eastAsia="方正小标宋_GBK"/>
          <w:sz w:val="36"/>
          <w:szCs w:val="36"/>
        </w:rPr>
      </w:pPr>
      <w:bookmarkStart w:id="69" w:name="_Toc23347"/>
      <w:bookmarkStart w:id="70" w:name="_Toc39930932"/>
      <w:bookmarkStart w:id="71" w:name="_Toc14773738"/>
      <w:bookmarkStart w:id="72" w:name="_Toc23881"/>
      <w:bookmarkStart w:id="73" w:name="_Toc1562997"/>
      <w:bookmarkStart w:id="74" w:name="_Toc31993"/>
      <w:bookmarkStart w:id="75" w:name="_Toc43042548"/>
      <w:bookmarkStart w:id="76" w:name="_Toc13088"/>
      <w:bookmarkStart w:id="77" w:name="_Toc12418"/>
      <w:bookmarkStart w:id="78" w:name="_Toc32213"/>
      <w:bookmarkStart w:id="79" w:name="_Toc8636"/>
      <w:r>
        <w:rPr>
          <w:rFonts w:hint="eastAsia" w:eastAsia="方正小标宋_GBK"/>
          <w:sz w:val="36"/>
          <w:szCs w:val="36"/>
        </w:rPr>
        <w:t>第五章</w:t>
      </w:r>
      <w:r>
        <w:rPr>
          <w:rFonts w:eastAsia="方正小标宋_GBK"/>
          <w:sz w:val="36"/>
          <w:szCs w:val="36"/>
        </w:rPr>
        <w:t>处理设施运维管理</w:t>
      </w:r>
      <w:bookmarkEnd w:id="69"/>
      <w:bookmarkEnd w:id="70"/>
      <w:bookmarkEnd w:id="71"/>
      <w:bookmarkEnd w:id="72"/>
      <w:bookmarkEnd w:id="73"/>
      <w:bookmarkEnd w:id="74"/>
      <w:bookmarkEnd w:id="75"/>
      <w:bookmarkEnd w:id="76"/>
      <w:bookmarkEnd w:id="77"/>
      <w:bookmarkEnd w:id="78"/>
      <w:bookmarkEnd w:id="79"/>
    </w:p>
    <w:p>
      <w:pPr>
        <w:spacing w:beforeLines="50"/>
        <w:ind w:firstLine="198" w:firstLineChars="62"/>
        <w:jc w:val="left"/>
        <w:outlineLvl w:val="1"/>
        <w:rPr>
          <w:rFonts w:eastAsia="方正黑体_GBK"/>
          <w:b/>
          <w:sz w:val="32"/>
          <w:szCs w:val="32"/>
        </w:rPr>
      </w:pPr>
      <w:bookmarkStart w:id="80" w:name="_Toc25023"/>
      <w:bookmarkStart w:id="81" w:name="_Toc2947"/>
      <w:bookmarkStart w:id="82" w:name="_Toc31641"/>
      <w:bookmarkStart w:id="83" w:name="_Toc1562999"/>
      <w:bookmarkStart w:id="84" w:name="_Toc31979"/>
      <w:bookmarkStart w:id="85" w:name="_Toc13744"/>
      <w:bookmarkStart w:id="86" w:name="_Toc43042549"/>
      <w:bookmarkStart w:id="87" w:name="_Toc12255"/>
      <w:bookmarkStart w:id="88" w:name="_Toc14667"/>
      <w:bookmarkStart w:id="89" w:name="_Toc39930933"/>
      <w:bookmarkStart w:id="90" w:name="_Toc1720"/>
      <w:r>
        <w:rPr>
          <w:rFonts w:eastAsia="方正黑体_GBK"/>
          <w:b/>
          <w:sz w:val="32"/>
          <w:szCs w:val="32"/>
        </w:rPr>
        <w:t>5.1运维管理</w:t>
      </w:r>
      <w:bookmarkEnd w:id="80"/>
      <w:bookmarkEnd w:id="81"/>
      <w:bookmarkEnd w:id="82"/>
      <w:bookmarkEnd w:id="83"/>
      <w:bookmarkEnd w:id="84"/>
      <w:bookmarkEnd w:id="85"/>
      <w:bookmarkEnd w:id="86"/>
      <w:bookmarkEnd w:id="87"/>
      <w:bookmarkEnd w:id="88"/>
      <w:bookmarkEnd w:id="89"/>
      <w:bookmarkEnd w:id="90"/>
    </w:p>
    <w:p>
      <w:pPr>
        <w:adjustRightInd w:val="0"/>
        <w:snapToGrid w:val="0"/>
        <w:ind w:firstLine="560"/>
        <w:rPr>
          <w:szCs w:val="28"/>
        </w:rPr>
      </w:pPr>
      <w:r>
        <w:rPr>
          <w:rFonts w:hint="eastAsia"/>
          <w:szCs w:val="28"/>
        </w:rPr>
        <w:t>（</w:t>
      </w:r>
      <w:r>
        <w:rPr>
          <w:szCs w:val="28"/>
        </w:rPr>
        <w:t>1</w:t>
      </w:r>
      <w:r>
        <w:rPr>
          <w:rFonts w:hint="eastAsia"/>
          <w:szCs w:val="28"/>
        </w:rPr>
        <w:t>）管理组织架构</w:t>
      </w:r>
    </w:p>
    <w:p>
      <w:pPr>
        <w:adjustRightInd w:val="0"/>
        <w:snapToGrid w:val="0"/>
        <w:ind w:firstLine="560"/>
        <w:rPr>
          <w:szCs w:val="28"/>
        </w:rPr>
      </w:pPr>
      <w:r>
        <w:rPr>
          <w:rFonts w:hint="eastAsia" w:ascii="宋体" w:hAnsi="宋体" w:cs="宋体"/>
          <w:szCs w:val="28"/>
        </w:rPr>
        <w:t>①</w:t>
      </w:r>
      <w:r>
        <w:rPr>
          <w:rFonts w:hint="eastAsia"/>
          <w:szCs w:val="28"/>
        </w:rPr>
        <w:t>政策层面</w:t>
      </w:r>
    </w:p>
    <w:p>
      <w:pPr>
        <w:adjustRightInd w:val="0"/>
        <w:snapToGrid w:val="0"/>
        <w:ind w:firstLine="560"/>
        <w:rPr>
          <w:szCs w:val="28"/>
        </w:rPr>
      </w:pPr>
      <w:r>
        <w:rPr>
          <w:rFonts w:hint="eastAsia"/>
          <w:szCs w:val="28"/>
        </w:rPr>
        <w:t>加强云南省农村生活污水治理设施运行维护管理相关导则和条例的制定，结合昆明市农村人居环境整治工作安排，组织制定相应的《晋宁县农村生活污水处理设施运行维护管理办法》，在其规范管理下，完善农村生活治理设施运维组织架构。</w:t>
      </w:r>
    </w:p>
    <w:p>
      <w:pPr>
        <w:adjustRightInd w:val="0"/>
        <w:snapToGrid w:val="0"/>
        <w:ind w:firstLine="560"/>
        <w:rPr>
          <w:szCs w:val="28"/>
        </w:rPr>
      </w:pPr>
      <w:r>
        <w:rPr>
          <w:rFonts w:hint="eastAsia" w:ascii="宋体" w:hAnsi="宋体" w:cs="宋体"/>
          <w:szCs w:val="28"/>
        </w:rPr>
        <w:t>②</w:t>
      </w:r>
      <w:r>
        <w:rPr>
          <w:rFonts w:hint="eastAsia"/>
          <w:szCs w:val="28"/>
        </w:rPr>
        <w:t>县域层面</w:t>
      </w:r>
    </w:p>
    <w:p>
      <w:pPr>
        <w:adjustRightInd w:val="0"/>
        <w:snapToGrid w:val="0"/>
        <w:ind w:firstLine="560"/>
        <w:rPr>
          <w:szCs w:val="28"/>
        </w:rPr>
      </w:pPr>
      <w:r>
        <w:rPr>
          <w:szCs w:val="28"/>
        </w:rPr>
        <w:t>晋宁县</w:t>
      </w:r>
      <w:r>
        <w:rPr>
          <w:rFonts w:hint="eastAsia"/>
          <w:szCs w:val="28"/>
        </w:rPr>
        <w:t>作为统筹主体，因地制宜，深入基层开展调研工作，与村镇规划等衔接，制定好新农村生活污水治理规划，实施项目整合、资源整合，做到规划引领、统筹兼顾、协同推进，避免重复建设、资金浪费，提高人、财、物使用效率。进一步推行截污纳管工程，推进农村改厕工程，采取多元化农村污水处理模式，如接入市政管网模式、无动力厌氧模式、小户型成套设备处理模式等。发改、住建、农办、卫生、国土、农业、旅委、宣传、供电、公安、市场监管等部门要按照各自职责积极协助做好农村污水处理设施运维管理工作，确保政府工程实施绩效。</w:t>
      </w:r>
    </w:p>
    <w:p>
      <w:pPr>
        <w:adjustRightInd w:val="0"/>
        <w:snapToGrid w:val="0"/>
        <w:ind w:firstLine="560"/>
        <w:rPr>
          <w:szCs w:val="28"/>
        </w:rPr>
      </w:pPr>
      <w:r>
        <w:rPr>
          <w:rFonts w:hint="eastAsia" w:ascii="宋体" w:hAnsi="宋体" w:cs="宋体"/>
          <w:szCs w:val="28"/>
        </w:rPr>
        <w:t>③</w:t>
      </w:r>
      <w:r>
        <w:rPr>
          <w:rFonts w:hint="eastAsia"/>
          <w:szCs w:val="28"/>
        </w:rPr>
        <w:t>乡镇层面</w:t>
      </w:r>
    </w:p>
    <w:p>
      <w:pPr>
        <w:adjustRightInd w:val="0"/>
        <w:snapToGrid w:val="0"/>
        <w:ind w:firstLine="560"/>
        <w:rPr>
          <w:szCs w:val="28"/>
        </w:rPr>
      </w:pPr>
      <w:r>
        <w:rPr>
          <w:rFonts w:hint="eastAsia"/>
          <w:szCs w:val="28"/>
        </w:rPr>
        <w:t>各乡镇负责辖区内所有农村治污设施的登记造册，相关档案的收集和归档；建立本乡镇辖区内乡镇、村两级农村治污设施监督监管体系，落实具体责任人及工作职责；制定乡镇对村级组织运维管理的考核办法；定期组织乡镇专管员和村级巡查监督员进行业务培训，提高设施运维监督管理业务能力；通过开展科普宣传等多种形式，提高和普及农村群众有关农村污水处理设施运行维护的认知水平，倡导</w:t>
      </w:r>
      <w:r>
        <w:rPr>
          <w:szCs w:val="28"/>
        </w:rPr>
        <w:t>“</w:t>
      </w:r>
      <w:r>
        <w:rPr>
          <w:rFonts w:hint="eastAsia"/>
          <w:szCs w:val="28"/>
        </w:rPr>
        <w:t>农村污水处理设施运行维护从我做起</w:t>
      </w:r>
      <w:r>
        <w:rPr>
          <w:szCs w:val="28"/>
        </w:rPr>
        <w:t>”</w:t>
      </w:r>
      <w:r>
        <w:rPr>
          <w:rFonts w:hint="eastAsia"/>
          <w:szCs w:val="28"/>
        </w:rPr>
        <w:t>的良好社会风尚；有第三专业运维服务机构运维的，应与第三方专业运维服务机构书面办理农村污水处理设施设备运维移交工作。可统筹镇级月度自查自纠，以检查通报排名为依据，评出迎检奖、备检奖、劳动奖，并给予相应村集体一定的资金奖励。</w:t>
      </w:r>
    </w:p>
    <w:p>
      <w:pPr>
        <w:adjustRightInd w:val="0"/>
        <w:snapToGrid w:val="0"/>
        <w:ind w:firstLine="560"/>
        <w:rPr>
          <w:szCs w:val="28"/>
        </w:rPr>
      </w:pPr>
      <w:r>
        <w:rPr>
          <w:rFonts w:hint="eastAsia" w:ascii="宋体" w:hAnsi="宋体" w:cs="宋体"/>
          <w:szCs w:val="28"/>
        </w:rPr>
        <w:t>④</w:t>
      </w:r>
      <w:r>
        <w:rPr>
          <w:rFonts w:hint="eastAsia"/>
          <w:szCs w:val="28"/>
        </w:rPr>
        <w:t>村级层面</w:t>
      </w:r>
    </w:p>
    <w:p>
      <w:pPr>
        <w:adjustRightInd w:val="0"/>
        <w:snapToGrid w:val="0"/>
        <w:ind w:firstLine="560"/>
        <w:rPr>
          <w:szCs w:val="28"/>
        </w:rPr>
      </w:pPr>
      <w:r>
        <w:rPr>
          <w:rFonts w:hint="eastAsia"/>
          <w:szCs w:val="28"/>
        </w:rPr>
        <w:t>村级组织切实做好接户设施为维护管理工作；落实村级巡查监督员的责任职责；加强对设施运行日常巡查监督，做到</w:t>
      </w:r>
      <w:r>
        <w:rPr>
          <w:szCs w:val="28"/>
        </w:rPr>
        <w:t>“</w:t>
      </w:r>
      <w:r>
        <w:rPr>
          <w:rFonts w:hint="eastAsia"/>
          <w:szCs w:val="28"/>
        </w:rPr>
        <w:t>村级不定时自查</w:t>
      </w:r>
      <w:r>
        <w:rPr>
          <w:szCs w:val="28"/>
        </w:rPr>
        <w:t>”</w:t>
      </w:r>
      <w:r>
        <w:rPr>
          <w:rFonts w:hint="eastAsia"/>
          <w:szCs w:val="28"/>
        </w:rPr>
        <w:t>、</w:t>
      </w:r>
      <w:r>
        <w:rPr>
          <w:szCs w:val="28"/>
        </w:rPr>
        <w:t>“</w:t>
      </w:r>
      <w:r>
        <w:rPr>
          <w:rFonts w:hint="eastAsia"/>
          <w:szCs w:val="28"/>
        </w:rPr>
        <w:t>联村干部周查</w:t>
      </w:r>
      <w:r>
        <w:rPr>
          <w:szCs w:val="28"/>
        </w:rPr>
        <w:t>”</w:t>
      </w:r>
      <w:r>
        <w:rPr>
          <w:rFonts w:hint="eastAsia"/>
          <w:szCs w:val="28"/>
        </w:rPr>
        <w:t>、</w:t>
      </w:r>
      <w:r>
        <w:rPr>
          <w:szCs w:val="28"/>
        </w:rPr>
        <w:t>“</w:t>
      </w:r>
      <w:r>
        <w:rPr>
          <w:rFonts w:hint="eastAsia"/>
          <w:szCs w:val="28"/>
        </w:rPr>
        <w:t>生态办月查</w:t>
      </w:r>
      <w:r>
        <w:rPr>
          <w:szCs w:val="28"/>
        </w:rPr>
        <w:t>”</w:t>
      </w:r>
      <w:r>
        <w:rPr>
          <w:rFonts w:hint="eastAsia"/>
          <w:szCs w:val="28"/>
        </w:rPr>
        <w:t>、</w:t>
      </w:r>
      <w:r>
        <w:rPr>
          <w:szCs w:val="28"/>
        </w:rPr>
        <w:t>“</w:t>
      </w:r>
      <w:r>
        <w:rPr>
          <w:rFonts w:hint="eastAsia"/>
          <w:szCs w:val="28"/>
        </w:rPr>
        <w:t>综合巡查组巡查</w:t>
      </w:r>
      <w:r>
        <w:rPr>
          <w:szCs w:val="28"/>
        </w:rPr>
        <w:t>”</w:t>
      </w:r>
      <w:r>
        <w:rPr>
          <w:rFonts w:hint="eastAsia"/>
          <w:szCs w:val="28"/>
        </w:rPr>
        <w:t>、</w:t>
      </w:r>
      <w:r>
        <w:rPr>
          <w:szCs w:val="28"/>
        </w:rPr>
        <w:t>“</w:t>
      </w:r>
      <w:r>
        <w:rPr>
          <w:rFonts w:hint="eastAsia"/>
          <w:szCs w:val="28"/>
        </w:rPr>
        <w:t>前端、终端运维员互查</w:t>
      </w:r>
      <w:r>
        <w:rPr>
          <w:szCs w:val="28"/>
        </w:rPr>
        <w:t>”</w:t>
      </w:r>
      <w:r>
        <w:rPr>
          <w:rFonts w:hint="eastAsia"/>
          <w:szCs w:val="28"/>
        </w:rPr>
        <w:t>。宣传、劝导、监督农户做好庭自家化粪池、隔油池、接户管、户用检查井的日常清掏及周边环境卫生；协调建设过程中的政策问题，加强对农户农村生活污水处理知识普及教育，对自家化粪池、水封井等维护较好的农户给予奖励，树立模范，对私自破坏农村生活污水治理设施、乱接雨水、私占的进行批评、处罚教育。鼓励村民参与污水治理，可推行</w:t>
      </w:r>
      <w:r>
        <w:rPr>
          <w:szCs w:val="28"/>
        </w:rPr>
        <w:t>“</w:t>
      </w:r>
      <w:r>
        <w:rPr>
          <w:rFonts w:hint="eastAsia"/>
          <w:szCs w:val="28"/>
        </w:rPr>
        <w:t>村民积分制</w:t>
      </w:r>
      <w:r>
        <w:rPr>
          <w:szCs w:val="28"/>
        </w:rPr>
        <w:t>”</w:t>
      </w:r>
      <w:r>
        <w:rPr>
          <w:rFonts w:hint="eastAsia"/>
          <w:szCs w:val="28"/>
        </w:rPr>
        <w:t>，村民在农村治污运维、美丽乡村创建、鲜花盛开村庄考核等方面达标。</w:t>
      </w:r>
    </w:p>
    <w:p>
      <w:pPr>
        <w:adjustRightInd w:val="0"/>
        <w:snapToGrid w:val="0"/>
        <w:ind w:firstLine="560"/>
        <w:rPr>
          <w:szCs w:val="28"/>
        </w:rPr>
      </w:pPr>
      <w:r>
        <w:rPr>
          <w:rFonts w:hint="eastAsia" w:ascii="宋体" w:hAnsi="宋体" w:cs="宋体"/>
          <w:szCs w:val="28"/>
        </w:rPr>
        <w:t>⑤</w:t>
      </w:r>
      <w:r>
        <w:rPr>
          <w:rFonts w:hint="eastAsia"/>
          <w:szCs w:val="28"/>
        </w:rPr>
        <w:t>农户层面</w:t>
      </w:r>
    </w:p>
    <w:p>
      <w:pPr>
        <w:adjustRightInd w:val="0"/>
        <w:snapToGrid w:val="0"/>
        <w:ind w:firstLine="560"/>
        <w:rPr>
          <w:szCs w:val="28"/>
        </w:rPr>
      </w:pPr>
      <w:r>
        <w:rPr>
          <w:rFonts w:hint="eastAsia"/>
          <w:szCs w:val="28"/>
        </w:rPr>
        <w:t>农户应主动学习新农村生活污水治理知识，充分认识到生活污水治理的必要性和紧迫性，形成</w:t>
      </w:r>
      <w:r>
        <w:rPr>
          <w:szCs w:val="28"/>
        </w:rPr>
        <w:t>“</w:t>
      </w:r>
      <w:r>
        <w:rPr>
          <w:rFonts w:hint="eastAsia"/>
          <w:szCs w:val="28"/>
        </w:rPr>
        <w:t>我要治</w:t>
      </w:r>
      <w:r>
        <w:rPr>
          <w:szCs w:val="28"/>
        </w:rPr>
        <w:t>”</w:t>
      </w:r>
      <w:r>
        <w:rPr>
          <w:rFonts w:hint="eastAsia"/>
          <w:szCs w:val="28"/>
        </w:rPr>
        <w:t>观念，提升主体意识和积极性。主动检查自家养殖废水、厕所废水、厨房废水、洗涤废水、洗浴废水等五水接入状况；做好自家接户井、化粪池、接户管、隔油池的日常疏通清掏及周边环境卫生；自觉爱护农村生活污水治理设施，及时上报农户自家化粪池、接户管、户用检查井等渗漏、堵塞和破损情况。</w:t>
      </w:r>
    </w:p>
    <w:p>
      <w:pPr>
        <w:pStyle w:val="46"/>
        <w:numPr>
          <w:ilvl w:val="0"/>
          <w:numId w:val="1"/>
        </w:numPr>
        <w:adjustRightInd w:val="0"/>
        <w:snapToGrid w:val="0"/>
        <w:ind w:firstLineChars="0"/>
        <w:rPr>
          <w:szCs w:val="28"/>
        </w:rPr>
      </w:pPr>
      <w:r>
        <w:rPr>
          <w:rFonts w:hint="eastAsia"/>
          <w:szCs w:val="28"/>
        </w:rPr>
        <w:t>运维机构层面</w:t>
      </w:r>
    </w:p>
    <w:p>
      <w:pPr>
        <w:adjustRightInd w:val="0"/>
        <w:snapToGrid w:val="0"/>
        <w:ind w:firstLine="560"/>
        <w:rPr>
          <w:szCs w:val="28"/>
        </w:rPr>
      </w:pPr>
      <w:r>
        <w:rPr>
          <w:rFonts w:hint="eastAsia"/>
          <w:szCs w:val="28"/>
        </w:rPr>
        <w:t>针对分散型的污水处理设施，受资金限制，近期推荐采用村庄自行管理运行，结合各村贫困户通过以工代酬方式进行管理，由乡镇和行政村等各级不定时抽查监督。针对集中式的污水处理设施，特别是污水处理规模≥</w:t>
      </w:r>
      <w:r>
        <w:rPr>
          <w:szCs w:val="28"/>
        </w:rPr>
        <w:t>20m</w:t>
      </w:r>
      <w:r>
        <w:rPr>
          <w:szCs w:val="28"/>
          <w:vertAlign w:val="superscript"/>
        </w:rPr>
        <w:t>3</w:t>
      </w:r>
      <w:r>
        <w:rPr>
          <w:szCs w:val="28"/>
        </w:rPr>
        <w:t>/d</w:t>
      </w:r>
      <w:r>
        <w:rPr>
          <w:rFonts w:hint="eastAsia"/>
          <w:szCs w:val="28"/>
        </w:rPr>
        <w:t>的村庄，鼓励实施委托第三方专业运维服务机构进行运维管理，第三方专业运维服务机构要将服务下沉，在所在片区的乡镇设立了运维工作站，并设立</w:t>
      </w:r>
      <w:r>
        <w:rPr>
          <w:szCs w:val="28"/>
        </w:rPr>
        <w:t xml:space="preserve">24 </w:t>
      </w:r>
      <w:r>
        <w:rPr>
          <w:rFonts w:hint="eastAsia"/>
          <w:szCs w:val="28"/>
        </w:rPr>
        <w:t>小时抢修、投诉服务电话，运维工作站则根据区域农户规模，按</w:t>
      </w:r>
      <w:r>
        <w:rPr>
          <w:szCs w:val="28"/>
        </w:rPr>
        <w:t xml:space="preserve">800 </w:t>
      </w:r>
      <w:r>
        <w:rPr>
          <w:rFonts w:hint="eastAsia"/>
          <w:szCs w:val="28"/>
        </w:rPr>
        <w:t>户</w:t>
      </w:r>
      <w:r>
        <w:rPr>
          <w:szCs w:val="28"/>
        </w:rPr>
        <w:t>/</w:t>
      </w:r>
      <w:r>
        <w:rPr>
          <w:rFonts w:hint="eastAsia"/>
          <w:szCs w:val="28"/>
        </w:rPr>
        <w:t>人标准配备服务人员，进行全天候、坐班式服务。针对污水排放量大、运维难度大的村落，重拳出击实施</w:t>
      </w:r>
      <w:r>
        <w:rPr>
          <w:szCs w:val="28"/>
        </w:rPr>
        <w:t>“</w:t>
      </w:r>
      <w:r>
        <w:rPr>
          <w:rFonts w:hint="eastAsia"/>
          <w:szCs w:val="28"/>
        </w:rPr>
        <w:t>一次清理</w:t>
      </w:r>
      <w:r>
        <w:rPr>
          <w:szCs w:val="28"/>
        </w:rPr>
        <w:t>”</w:t>
      </w:r>
      <w:r>
        <w:rPr>
          <w:rFonts w:hint="eastAsia"/>
          <w:szCs w:val="28"/>
        </w:rPr>
        <w:t>，运维人员一对一指导居民对隔油池和化粪池进行规范化清理。大力推行</w:t>
      </w:r>
      <w:r>
        <w:rPr>
          <w:szCs w:val="28"/>
        </w:rPr>
        <w:t>“</w:t>
      </w:r>
      <w:r>
        <w:rPr>
          <w:rFonts w:hint="eastAsia"/>
          <w:szCs w:val="28"/>
        </w:rPr>
        <w:t>民宿业户治污运维管理检查公示牌</w:t>
      </w:r>
      <w:r>
        <w:rPr>
          <w:szCs w:val="28"/>
        </w:rPr>
        <w:t>”</w:t>
      </w:r>
      <w:r>
        <w:rPr>
          <w:rFonts w:hint="eastAsia"/>
          <w:szCs w:val="28"/>
        </w:rPr>
        <w:t>和</w:t>
      </w:r>
      <w:r>
        <w:rPr>
          <w:szCs w:val="28"/>
        </w:rPr>
        <w:t>“</w:t>
      </w:r>
      <w:r>
        <w:rPr>
          <w:rFonts w:hint="eastAsia"/>
          <w:szCs w:val="28"/>
        </w:rPr>
        <w:t>民宿经营星级榜</w:t>
      </w:r>
      <w:r>
        <w:rPr>
          <w:szCs w:val="28"/>
        </w:rPr>
        <w:t>”</w:t>
      </w:r>
      <w:r>
        <w:rPr>
          <w:rFonts w:hint="eastAsia"/>
          <w:szCs w:val="28"/>
        </w:rPr>
        <w:t>，不断督促民宿业主自觉参与治污运维工作。村级运维监管员还每月三次对民宿业，进行逐一上门检查并反馈至人居办；对存在问题的民宿上门发放整改通知单，并督促业主限期整改，有效提升了食宿环境舒适度。</w:t>
      </w:r>
    </w:p>
    <w:p>
      <w:pPr>
        <w:adjustRightInd w:val="0"/>
        <w:snapToGrid w:val="0"/>
        <w:ind w:firstLine="560"/>
        <w:rPr>
          <w:szCs w:val="28"/>
        </w:rPr>
      </w:pPr>
      <w:r>
        <w:rPr>
          <w:rFonts w:hint="eastAsia"/>
          <w:szCs w:val="28"/>
        </w:rPr>
        <w:t>（</w:t>
      </w:r>
      <w:r>
        <w:rPr>
          <w:szCs w:val="28"/>
        </w:rPr>
        <w:t>2</w:t>
      </w:r>
      <w:r>
        <w:rPr>
          <w:rFonts w:hint="eastAsia"/>
          <w:szCs w:val="28"/>
        </w:rPr>
        <w:t>）农村生活污水处理设施定期维修保护措施</w:t>
      </w:r>
    </w:p>
    <w:p>
      <w:pPr>
        <w:adjustRightInd w:val="0"/>
        <w:snapToGrid w:val="0"/>
        <w:ind w:firstLine="560"/>
        <w:rPr>
          <w:szCs w:val="28"/>
        </w:rPr>
      </w:pPr>
      <w:r>
        <w:rPr>
          <w:szCs w:val="28"/>
        </w:rPr>
        <w:t>1</w:t>
      </w:r>
      <w:r>
        <w:rPr>
          <w:rFonts w:hint="eastAsia"/>
          <w:szCs w:val="28"/>
        </w:rPr>
        <w:t>）基本安全要求</w:t>
      </w:r>
    </w:p>
    <w:p>
      <w:pPr>
        <w:adjustRightInd w:val="0"/>
        <w:snapToGrid w:val="0"/>
        <w:ind w:firstLine="560"/>
        <w:rPr>
          <w:szCs w:val="28"/>
        </w:rPr>
      </w:pPr>
      <w:r>
        <w:rPr>
          <w:rFonts w:hint="eastAsia"/>
          <w:szCs w:val="28"/>
        </w:rPr>
        <w:t>所有工作以</w:t>
      </w:r>
      <w:r>
        <w:rPr>
          <w:szCs w:val="28"/>
        </w:rPr>
        <w:t>“</w:t>
      </w:r>
      <w:r>
        <w:rPr>
          <w:rFonts w:hint="eastAsia"/>
          <w:szCs w:val="28"/>
        </w:rPr>
        <w:t>安全第一，预防为主</w:t>
      </w:r>
      <w:r>
        <w:rPr>
          <w:szCs w:val="28"/>
        </w:rPr>
        <w:t>”</w:t>
      </w:r>
      <w:r>
        <w:rPr>
          <w:rFonts w:hint="eastAsia"/>
          <w:szCs w:val="28"/>
        </w:rPr>
        <w:t>为方针，严格遵守安全技术操作规程和各项安全生产规章制度。岗位作业人员应了解安全操作规程，特殊岗位须经专业培训。运行作业人员应持有相应的运营管理和运营操作岗位培训合格证书。特别要严防燃爆、触电、中毒、滑跌、溺水等事故的发生。设备检修后恢复运行前检查设备的润滑、接电等情况，在做好运行准备后方可投入运行。凡在对具有有害或可燃气体的构筑物、容器或管渠进行维修和放空清理时，应先通风换气、检查。为确保安全，抢修必须至少两人一组。</w:t>
      </w:r>
    </w:p>
    <w:p>
      <w:pPr>
        <w:adjustRightInd w:val="0"/>
        <w:snapToGrid w:val="0"/>
        <w:ind w:firstLine="560"/>
        <w:rPr>
          <w:szCs w:val="28"/>
        </w:rPr>
      </w:pPr>
      <w:r>
        <w:rPr>
          <w:szCs w:val="28"/>
        </w:rPr>
        <w:t>2</w:t>
      </w:r>
      <w:r>
        <w:rPr>
          <w:rFonts w:hint="eastAsia"/>
          <w:szCs w:val="28"/>
        </w:rPr>
        <w:t>）做好管网收集系统的巡查和处置</w:t>
      </w:r>
    </w:p>
    <w:p>
      <w:pPr>
        <w:adjustRightInd w:val="0"/>
        <w:snapToGrid w:val="0"/>
        <w:ind w:firstLine="560"/>
        <w:rPr>
          <w:szCs w:val="28"/>
        </w:rPr>
      </w:pPr>
      <w:r>
        <w:rPr>
          <w:rFonts w:hint="eastAsia"/>
          <w:szCs w:val="28"/>
        </w:rPr>
        <w:t>定期应对污水收集管网系统及其相关构筑物进行一次全面的巡视检查；对管网中出现的一般的漏、坏、堵、溢、露等异常现象，尽快处理和修复；对出现的较严重的影响排水系统正常运行的问题，应及时向所在地乡镇人民政府（街道办事处）和区主管部门报告，尽快修复设施；注意对管网保温、防护材料及设施的检查；做好新建住户污水接入村管网系统的监督工作。禁止违章占压、违章排放、私自接管以及其他影响管道排水的施工情况发生。</w:t>
      </w:r>
    </w:p>
    <w:p>
      <w:pPr>
        <w:adjustRightInd w:val="0"/>
        <w:snapToGrid w:val="0"/>
        <w:ind w:firstLine="560"/>
        <w:rPr>
          <w:szCs w:val="28"/>
        </w:rPr>
      </w:pPr>
      <w:r>
        <w:rPr>
          <w:szCs w:val="28"/>
        </w:rPr>
        <w:t>3</w:t>
      </w:r>
      <w:r>
        <w:rPr>
          <w:rFonts w:hint="eastAsia"/>
          <w:szCs w:val="28"/>
        </w:rPr>
        <w:t>）做好污水处理终端系统及其配套机电设施的运行维护</w:t>
      </w:r>
    </w:p>
    <w:p>
      <w:pPr>
        <w:adjustRightInd w:val="0"/>
        <w:snapToGrid w:val="0"/>
        <w:ind w:firstLine="560"/>
        <w:rPr>
          <w:szCs w:val="28"/>
        </w:rPr>
      </w:pPr>
      <w:r>
        <w:rPr>
          <w:rFonts w:hint="eastAsia" w:ascii="宋体" w:hAnsi="宋体" w:cs="宋体"/>
          <w:szCs w:val="28"/>
        </w:rPr>
        <w:t>①</w:t>
      </w:r>
      <w:r>
        <w:rPr>
          <w:rFonts w:hint="eastAsia"/>
          <w:szCs w:val="28"/>
        </w:rPr>
        <w:t>水质管理</w:t>
      </w:r>
    </w:p>
    <w:p>
      <w:pPr>
        <w:adjustRightInd w:val="0"/>
        <w:snapToGrid w:val="0"/>
        <w:ind w:firstLine="560"/>
        <w:rPr>
          <w:szCs w:val="28"/>
        </w:rPr>
      </w:pPr>
      <w:r>
        <w:rPr>
          <w:rFonts w:hint="eastAsia"/>
          <w:szCs w:val="28"/>
        </w:rPr>
        <w:t>定期对终端进出水水质和水量进行观察记录，发现异常情况应及时排查检修，必要时上报主管部门协商解决；</w:t>
      </w:r>
    </w:p>
    <w:p>
      <w:pPr>
        <w:adjustRightInd w:val="0"/>
        <w:snapToGrid w:val="0"/>
        <w:ind w:firstLine="560"/>
        <w:rPr>
          <w:szCs w:val="28"/>
        </w:rPr>
      </w:pPr>
      <w:r>
        <w:rPr>
          <w:rFonts w:hint="eastAsia" w:ascii="宋体" w:hAnsi="宋体" w:cs="宋体"/>
          <w:szCs w:val="28"/>
        </w:rPr>
        <w:t>②</w:t>
      </w:r>
      <w:r>
        <w:rPr>
          <w:rFonts w:hint="eastAsia"/>
          <w:szCs w:val="28"/>
        </w:rPr>
        <w:t>格栅、清扫口、检查井、提升泵</w:t>
      </w:r>
    </w:p>
    <w:p>
      <w:pPr>
        <w:adjustRightInd w:val="0"/>
        <w:snapToGrid w:val="0"/>
        <w:ind w:firstLine="560"/>
        <w:rPr>
          <w:szCs w:val="28"/>
        </w:rPr>
      </w:pPr>
      <w:r>
        <w:rPr>
          <w:szCs w:val="28"/>
        </w:rPr>
        <w:t>a.</w:t>
      </w:r>
      <w:r>
        <w:rPr>
          <w:rFonts w:hint="eastAsia"/>
          <w:szCs w:val="28"/>
        </w:rPr>
        <w:t>每半个月对格栅、清扫口、检查井等进行一次清理，以免堵塞管井；夏秋季节每月应对清扫口、检查井进行一次杀虫消毒；</w:t>
      </w:r>
    </w:p>
    <w:p>
      <w:pPr>
        <w:adjustRightInd w:val="0"/>
        <w:snapToGrid w:val="0"/>
        <w:ind w:firstLine="560"/>
        <w:rPr>
          <w:szCs w:val="28"/>
        </w:rPr>
      </w:pPr>
      <w:r>
        <w:rPr>
          <w:szCs w:val="28"/>
        </w:rPr>
        <w:t>b.</w:t>
      </w:r>
      <w:r>
        <w:rPr>
          <w:rFonts w:hint="eastAsia"/>
          <w:szCs w:val="28"/>
        </w:rPr>
        <w:t>每周检查回流泵、提升泵、潜水泵、风机运行是否正常，按照设备使用说明的要求进行日常维护，并记录水泵、风机的运行情况；每年应检测电机线圈的绝缘电阻；</w:t>
      </w:r>
    </w:p>
    <w:p>
      <w:pPr>
        <w:adjustRightInd w:val="0"/>
        <w:snapToGrid w:val="0"/>
        <w:ind w:firstLine="560"/>
        <w:rPr>
          <w:szCs w:val="28"/>
        </w:rPr>
      </w:pPr>
      <w:r>
        <w:rPr>
          <w:szCs w:val="28"/>
        </w:rPr>
        <w:t>c.</w:t>
      </w:r>
      <w:r>
        <w:rPr>
          <w:rFonts w:hint="eastAsia"/>
          <w:szCs w:val="28"/>
        </w:rPr>
        <w:t>每半年至少对集水井清淤一次，每年应至少一次吊起潜水泵，检查潜水电机引入电缆；长期不用的水泵应吊出集水池存放；</w:t>
      </w:r>
    </w:p>
    <w:p>
      <w:pPr>
        <w:adjustRightInd w:val="0"/>
        <w:snapToGrid w:val="0"/>
        <w:ind w:firstLine="560"/>
        <w:rPr>
          <w:szCs w:val="28"/>
        </w:rPr>
      </w:pPr>
      <w:r>
        <w:rPr>
          <w:szCs w:val="28"/>
        </w:rPr>
        <w:t>d.</w:t>
      </w:r>
      <w:r>
        <w:rPr>
          <w:rFonts w:hint="eastAsia"/>
          <w:szCs w:val="28"/>
        </w:rPr>
        <w:t>设备出现故障时，应及时进行维护或更换。</w:t>
      </w:r>
    </w:p>
    <w:p>
      <w:pPr>
        <w:adjustRightInd w:val="0"/>
        <w:snapToGrid w:val="0"/>
        <w:ind w:firstLine="560"/>
        <w:rPr>
          <w:szCs w:val="28"/>
        </w:rPr>
      </w:pPr>
      <w:r>
        <w:rPr>
          <w:rFonts w:hint="eastAsia" w:ascii="宋体" w:hAnsi="宋体" w:cs="宋体"/>
          <w:szCs w:val="28"/>
        </w:rPr>
        <w:t>③</w:t>
      </w:r>
      <w:r>
        <w:rPr>
          <w:rFonts w:hint="eastAsia"/>
          <w:szCs w:val="28"/>
        </w:rPr>
        <w:t>厌氧池和化粪池</w:t>
      </w:r>
    </w:p>
    <w:p>
      <w:pPr>
        <w:adjustRightInd w:val="0"/>
        <w:snapToGrid w:val="0"/>
        <w:ind w:firstLine="560"/>
        <w:rPr>
          <w:szCs w:val="28"/>
        </w:rPr>
      </w:pPr>
      <w:r>
        <w:rPr>
          <w:szCs w:val="28"/>
        </w:rPr>
        <w:t>a.</w:t>
      </w:r>
      <w:r>
        <w:rPr>
          <w:rFonts w:hint="eastAsia"/>
          <w:szCs w:val="28"/>
        </w:rPr>
        <w:t>每周应检查厌氧池和化粪池盖板的完整性、安全性，发现盖板上有垃圾、污物、杂物等应及时清理；</w:t>
      </w:r>
    </w:p>
    <w:p>
      <w:pPr>
        <w:adjustRightInd w:val="0"/>
        <w:snapToGrid w:val="0"/>
        <w:ind w:firstLine="560"/>
        <w:rPr>
          <w:szCs w:val="28"/>
        </w:rPr>
      </w:pPr>
      <w:r>
        <w:rPr>
          <w:szCs w:val="28"/>
        </w:rPr>
        <w:t>b.</w:t>
      </w:r>
      <w:r>
        <w:rPr>
          <w:rFonts w:hint="eastAsia"/>
          <w:szCs w:val="28"/>
        </w:rPr>
        <w:t>视厌氧池和化粪池的使用情况，定期清运，防止满溢；</w:t>
      </w:r>
    </w:p>
    <w:p>
      <w:pPr>
        <w:adjustRightInd w:val="0"/>
        <w:snapToGrid w:val="0"/>
        <w:ind w:firstLine="560"/>
        <w:rPr>
          <w:szCs w:val="28"/>
        </w:rPr>
      </w:pPr>
      <w:r>
        <w:rPr>
          <w:szCs w:val="28"/>
        </w:rPr>
        <w:t>c.</w:t>
      </w:r>
      <w:r>
        <w:rPr>
          <w:rFonts w:hint="eastAsia"/>
          <w:szCs w:val="28"/>
        </w:rPr>
        <w:t>每年对厌氧池和化粪池池底进行人工清渣，打捞出的废渣进行无害化处理排放，并运至指定地点处置，禁止随意堆放，杜绝二次污染；</w:t>
      </w:r>
    </w:p>
    <w:p>
      <w:pPr>
        <w:adjustRightInd w:val="0"/>
        <w:snapToGrid w:val="0"/>
        <w:ind w:firstLine="560"/>
        <w:rPr>
          <w:szCs w:val="28"/>
        </w:rPr>
      </w:pPr>
      <w:r>
        <w:rPr>
          <w:szCs w:val="28"/>
        </w:rPr>
        <w:t>d.</w:t>
      </w:r>
      <w:r>
        <w:rPr>
          <w:rFonts w:hint="eastAsia"/>
          <w:szCs w:val="28"/>
        </w:rPr>
        <w:t>日常维护人员要做好安全防护措施，特别要注意防止跌入厌氧池。厌氧池下人清理时，须在白天进行，并应有人在池外配合。清理前须用清水冲洗干净池子，确保池内无危害气体后方可进入。</w:t>
      </w:r>
    </w:p>
    <w:p>
      <w:pPr>
        <w:adjustRightInd w:val="0"/>
        <w:snapToGrid w:val="0"/>
        <w:ind w:firstLine="560"/>
        <w:rPr>
          <w:szCs w:val="28"/>
        </w:rPr>
      </w:pPr>
      <w:r>
        <w:rPr>
          <w:rFonts w:hint="eastAsia" w:ascii="宋体" w:hAnsi="宋体" w:cs="宋体"/>
          <w:szCs w:val="28"/>
        </w:rPr>
        <w:t>④</w:t>
      </w:r>
      <w:r>
        <w:rPr>
          <w:rFonts w:hint="eastAsia"/>
          <w:szCs w:val="28"/>
        </w:rPr>
        <w:t>人工湿地</w:t>
      </w:r>
    </w:p>
    <w:p>
      <w:pPr>
        <w:adjustRightInd w:val="0"/>
        <w:snapToGrid w:val="0"/>
        <w:ind w:firstLine="560"/>
        <w:rPr>
          <w:szCs w:val="28"/>
        </w:rPr>
      </w:pPr>
      <w:r>
        <w:rPr>
          <w:szCs w:val="28"/>
        </w:rPr>
        <w:t>a.</w:t>
      </w:r>
      <w:r>
        <w:rPr>
          <w:rFonts w:hint="eastAsia"/>
          <w:szCs w:val="28"/>
        </w:rPr>
        <w:t>定期检查植物生长状况，并进行病虫害防治；及时补种和修枝剪叶，清除杂草、杂物、垃圾等，保持植物长势良好；及时进行收割，杜绝有机物及氮磷回流。</w:t>
      </w:r>
    </w:p>
    <w:p>
      <w:pPr>
        <w:adjustRightInd w:val="0"/>
        <w:snapToGrid w:val="0"/>
        <w:ind w:firstLine="560"/>
        <w:rPr>
          <w:szCs w:val="28"/>
        </w:rPr>
      </w:pPr>
      <w:r>
        <w:rPr>
          <w:szCs w:val="28"/>
        </w:rPr>
        <w:t>b.</w:t>
      </w:r>
      <w:r>
        <w:rPr>
          <w:rFonts w:hint="eastAsia"/>
          <w:szCs w:val="28"/>
        </w:rPr>
        <w:t>定期检查过滤系统是否堵塞，如遇堵塞应及时采取措施进行修复，保证出水畅通。</w:t>
      </w:r>
    </w:p>
    <w:p>
      <w:pPr>
        <w:adjustRightInd w:val="0"/>
        <w:snapToGrid w:val="0"/>
        <w:ind w:firstLine="560"/>
        <w:rPr>
          <w:szCs w:val="28"/>
        </w:rPr>
      </w:pPr>
      <w:r>
        <w:rPr>
          <w:rFonts w:hint="eastAsia" w:ascii="宋体" w:hAnsi="宋体" w:cs="宋体"/>
          <w:szCs w:val="28"/>
        </w:rPr>
        <w:t>⑤</w:t>
      </w:r>
      <w:r>
        <w:rPr>
          <w:rFonts w:hint="eastAsia"/>
          <w:szCs w:val="28"/>
        </w:rPr>
        <w:t>电气设备</w:t>
      </w:r>
    </w:p>
    <w:p>
      <w:pPr>
        <w:adjustRightInd w:val="0"/>
        <w:snapToGrid w:val="0"/>
        <w:ind w:firstLine="560"/>
        <w:rPr>
          <w:szCs w:val="28"/>
        </w:rPr>
      </w:pPr>
      <w:r>
        <w:rPr>
          <w:szCs w:val="28"/>
        </w:rPr>
        <w:t>a.</w:t>
      </w:r>
      <w:r>
        <w:rPr>
          <w:rFonts w:hint="eastAsia"/>
          <w:szCs w:val="28"/>
        </w:rPr>
        <w:t>电气设备日常检查</w:t>
      </w:r>
    </w:p>
    <w:p>
      <w:pPr>
        <w:adjustRightInd w:val="0"/>
        <w:snapToGrid w:val="0"/>
        <w:ind w:firstLine="560"/>
        <w:rPr>
          <w:szCs w:val="28"/>
        </w:rPr>
      </w:pPr>
      <w:r>
        <w:rPr>
          <w:rFonts w:hint="eastAsia"/>
          <w:szCs w:val="28"/>
        </w:rPr>
        <w:t>运行中的电气设备应每月巡视，并填写巡视记录，特殊情况应增加巡视次数。电气设备运行中若发生跳闸，在未查明原因前不得重新合闸运行；</w:t>
      </w:r>
    </w:p>
    <w:p>
      <w:pPr>
        <w:adjustRightInd w:val="0"/>
        <w:snapToGrid w:val="0"/>
        <w:ind w:firstLine="560"/>
        <w:rPr>
          <w:szCs w:val="28"/>
        </w:rPr>
      </w:pPr>
      <w:r>
        <w:rPr>
          <w:szCs w:val="28"/>
        </w:rPr>
        <w:t>b.</w:t>
      </w:r>
      <w:r>
        <w:rPr>
          <w:rFonts w:hint="eastAsia"/>
          <w:szCs w:val="28"/>
        </w:rPr>
        <w:t>电力电缆定期检查与维护</w:t>
      </w:r>
    </w:p>
    <w:p>
      <w:pPr>
        <w:adjustRightInd w:val="0"/>
        <w:snapToGrid w:val="0"/>
        <w:ind w:firstLine="560"/>
        <w:rPr>
          <w:szCs w:val="28"/>
        </w:rPr>
      </w:pPr>
      <w:r>
        <w:rPr>
          <w:rFonts w:hint="eastAsia"/>
          <w:szCs w:val="28"/>
        </w:rPr>
        <w:t>电缆的绝缘必须满足运行要求，电缆终端连接点应保持清洁，相色清晰，无渗漏油，无发热，接地应完好，埋地电缆保护范围内应无打桩、挖掘、种植树木或可能伤及电缆的其他情况。</w:t>
      </w:r>
    </w:p>
    <w:p>
      <w:pPr>
        <w:spacing w:beforeLines="50"/>
        <w:ind w:firstLine="640"/>
        <w:jc w:val="left"/>
        <w:outlineLvl w:val="1"/>
        <w:rPr>
          <w:rFonts w:eastAsia="方正黑体_GBK"/>
          <w:b/>
          <w:sz w:val="32"/>
          <w:szCs w:val="32"/>
        </w:rPr>
      </w:pPr>
      <w:bookmarkStart w:id="91" w:name="_Toc1211"/>
      <w:bookmarkStart w:id="92" w:name="_Toc1563000"/>
      <w:bookmarkStart w:id="93" w:name="_Toc31951"/>
      <w:bookmarkStart w:id="94" w:name="_Toc23263"/>
      <w:bookmarkStart w:id="95" w:name="_Toc11635"/>
      <w:bookmarkStart w:id="96" w:name="_Toc20754"/>
      <w:bookmarkStart w:id="97" w:name="_Toc8681"/>
      <w:bookmarkStart w:id="98" w:name="_Toc7289"/>
      <w:bookmarkStart w:id="99" w:name="_Toc17956"/>
      <w:bookmarkStart w:id="100" w:name="_Toc43042550"/>
      <w:bookmarkStart w:id="101" w:name="_Toc39930934"/>
      <w:r>
        <w:rPr>
          <w:rFonts w:eastAsia="方正黑体_GBK"/>
          <w:b/>
          <w:sz w:val="32"/>
          <w:szCs w:val="32"/>
        </w:rPr>
        <w:t>5.2环境监管</w:t>
      </w:r>
      <w:bookmarkEnd w:id="91"/>
      <w:bookmarkEnd w:id="92"/>
      <w:bookmarkEnd w:id="93"/>
      <w:bookmarkEnd w:id="94"/>
      <w:bookmarkEnd w:id="95"/>
      <w:bookmarkEnd w:id="96"/>
      <w:bookmarkEnd w:id="97"/>
      <w:bookmarkEnd w:id="98"/>
      <w:bookmarkEnd w:id="99"/>
      <w:bookmarkEnd w:id="100"/>
      <w:bookmarkEnd w:id="101"/>
    </w:p>
    <w:p>
      <w:pPr>
        <w:adjustRightInd w:val="0"/>
        <w:snapToGrid w:val="0"/>
        <w:ind w:firstLine="560"/>
        <w:rPr>
          <w:szCs w:val="28"/>
        </w:rPr>
      </w:pPr>
      <w:r>
        <w:rPr>
          <w:rFonts w:hint="eastAsia"/>
          <w:szCs w:val="28"/>
        </w:rPr>
        <w:t>（</w:t>
      </w:r>
      <w:r>
        <w:rPr>
          <w:szCs w:val="28"/>
        </w:rPr>
        <w:t>1</w:t>
      </w:r>
      <w:r>
        <w:rPr>
          <w:rFonts w:hint="eastAsia"/>
          <w:szCs w:val="28"/>
        </w:rPr>
        <w:t>）第三方运维机构的管理</w:t>
      </w:r>
    </w:p>
    <w:p>
      <w:pPr>
        <w:adjustRightInd w:val="0"/>
        <w:snapToGrid w:val="0"/>
        <w:ind w:firstLine="560"/>
        <w:rPr>
          <w:szCs w:val="28"/>
        </w:rPr>
      </w:pPr>
      <w:r>
        <w:rPr>
          <w:rFonts w:hint="eastAsia"/>
          <w:szCs w:val="28"/>
        </w:rPr>
        <w:t>作为</w:t>
      </w:r>
      <w:r>
        <w:rPr>
          <w:szCs w:val="28"/>
        </w:rPr>
        <w:t>晋宁县</w:t>
      </w:r>
      <w:r>
        <w:rPr>
          <w:rFonts w:hint="eastAsia"/>
          <w:szCs w:val="28"/>
        </w:rPr>
        <w:t>农村生活污水第三方运维机构，为更好地做好各项运维工作，结合公司实际，均制定公司运维内部管理体系相关制度，详细规定组织机构、岗位工作职责、选聘、培训、考核评价制度、档案资料管理制度、施工现场管理制度、应急管理制度、农户投诉处理办法及流程、农户满意度调查制度等。建议加强对运维人员专业度的重视，强化运维队伍规范性，定期开展专业培训，采用人员分级培训方式，有侧重的加深理念观念与提升技术水平，并可采取淘汰竞争机制。在各乡镇配备专业工程师、水处理专家等，定期、及时为乡镇水处理提供方案。</w:t>
      </w:r>
    </w:p>
    <w:p>
      <w:pPr>
        <w:adjustRightInd w:val="0"/>
        <w:snapToGrid w:val="0"/>
        <w:ind w:firstLine="560"/>
        <w:rPr>
          <w:szCs w:val="28"/>
        </w:rPr>
      </w:pPr>
      <w:r>
        <w:rPr>
          <w:rFonts w:hint="eastAsia"/>
          <w:szCs w:val="28"/>
        </w:rPr>
        <w:t>（</w:t>
      </w:r>
      <w:r>
        <w:rPr>
          <w:szCs w:val="28"/>
        </w:rPr>
        <w:t>2</w:t>
      </w:r>
      <w:r>
        <w:rPr>
          <w:rFonts w:hint="eastAsia"/>
          <w:szCs w:val="28"/>
        </w:rPr>
        <w:t>）奖惩机制</w:t>
      </w:r>
    </w:p>
    <w:p>
      <w:pPr>
        <w:adjustRightInd w:val="0"/>
        <w:snapToGrid w:val="0"/>
        <w:ind w:firstLine="560"/>
        <w:rPr>
          <w:szCs w:val="28"/>
        </w:rPr>
      </w:pPr>
      <w:r>
        <w:rPr>
          <w:rFonts w:hint="eastAsia"/>
          <w:szCs w:val="28"/>
        </w:rPr>
        <w:t>第三方运维机构的维护管理工作实行考核制，其考核结果与运维费用支付挂钩。考核采取定期、不定期及监督考核三种方式。</w:t>
      </w:r>
    </w:p>
    <w:p>
      <w:pPr>
        <w:adjustRightInd w:val="0"/>
        <w:snapToGrid w:val="0"/>
        <w:ind w:firstLine="560"/>
        <w:rPr>
          <w:szCs w:val="28"/>
        </w:rPr>
      </w:pPr>
      <w:r>
        <w:rPr>
          <w:szCs w:val="28"/>
        </w:rPr>
        <w:t>a.</w:t>
      </w:r>
      <w:r>
        <w:rPr>
          <w:rFonts w:hint="eastAsia"/>
          <w:szCs w:val="28"/>
        </w:rPr>
        <w:t>定期考核：乡镇每月组织对所属区域内的村（社区）、运维公司治理设施运行维护情况的检查考核。</w:t>
      </w:r>
    </w:p>
    <w:p>
      <w:pPr>
        <w:adjustRightInd w:val="0"/>
        <w:snapToGrid w:val="0"/>
        <w:ind w:firstLine="560"/>
        <w:rPr>
          <w:szCs w:val="28"/>
        </w:rPr>
      </w:pPr>
      <w:r>
        <w:rPr>
          <w:szCs w:val="28"/>
        </w:rPr>
        <w:t>b.</w:t>
      </w:r>
      <w:r>
        <w:rPr>
          <w:rFonts w:hint="eastAsia"/>
          <w:szCs w:val="28"/>
        </w:rPr>
        <w:t>不定期考核：由行业主管部门牵头、县级相关单位共同参与，根据实际需要对乡镇（街道）、村（社区）及运维公司的运行维护管理情况进行检查、考核，原则上全年不少于</w:t>
      </w:r>
      <w:r>
        <w:rPr>
          <w:szCs w:val="28"/>
        </w:rPr>
        <w:t xml:space="preserve">4 </w:t>
      </w:r>
      <w:r>
        <w:rPr>
          <w:rFonts w:hint="eastAsia"/>
          <w:szCs w:val="28"/>
        </w:rPr>
        <w:t>次。</w:t>
      </w:r>
    </w:p>
    <w:p>
      <w:pPr>
        <w:adjustRightInd w:val="0"/>
        <w:snapToGrid w:val="0"/>
        <w:ind w:firstLine="560"/>
        <w:rPr>
          <w:szCs w:val="28"/>
        </w:rPr>
      </w:pPr>
      <w:r>
        <w:rPr>
          <w:szCs w:val="28"/>
        </w:rPr>
        <w:t>c.</w:t>
      </w:r>
      <w:r>
        <w:rPr>
          <w:rFonts w:hint="eastAsia"/>
          <w:szCs w:val="28"/>
        </w:rPr>
        <w:t>监督考核：行业主管部门牵头、组织相关单位并邀请</w:t>
      </w:r>
      <w:r>
        <w:rPr>
          <w:szCs w:val="28"/>
        </w:rPr>
        <w:t>“</w:t>
      </w:r>
      <w:r>
        <w:rPr>
          <w:rFonts w:hint="eastAsia"/>
          <w:szCs w:val="28"/>
        </w:rPr>
        <w:t>两代表一委员</w:t>
      </w:r>
      <w:r>
        <w:rPr>
          <w:szCs w:val="28"/>
        </w:rPr>
        <w:t>”</w:t>
      </w:r>
      <w:r>
        <w:rPr>
          <w:rFonts w:hint="eastAsia"/>
          <w:szCs w:val="28"/>
        </w:rPr>
        <w:t>共同参与，对全县各乡镇、村（社区）及运维公司的运行维护管理情况进行检查、考核、监督。考核内容包括水质考核指标、各类检查井（池）、调节池、厌氧池、好氧池、人工湿地等设施运行参数、日常维护及资金使用情况、吨水运行成本、农户受益情况、污水收集管网。出台</w:t>
      </w:r>
      <w:r>
        <w:rPr>
          <w:szCs w:val="28"/>
        </w:rPr>
        <w:t>“</w:t>
      </w:r>
      <w:r>
        <w:rPr>
          <w:rFonts w:hint="eastAsia"/>
          <w:szCs w:val="28"/>
        </w:rPr>
        <w:t>以奖代补政策</w:t>
      </w:r>
      <w:r>
        <w:rPr>
          <w:szCs w:val="28"/>
        </w:rPr>
        <w:t>”</w:t>
      </w:r>
      <w:r>
        <w:rPr>
          <w:rFonts w:hint="eastAsia"/>
          <w:szCs w:val="28"/>
        </w:rPr>
        <w:t>，并与县对各乡镇人居环境整治年度考核挂钩。</w:t>
      </w:r>
    </w:p>
    <w:p>
      <w:pPr>
        <w:adjustRightInd w:val="0"/>
        <w:snapToGrid w:val="0"/>
        <w:ind w:firstLine="560"/>
        <w:rPr>
          <w:szCs w:val="28"/>
        </w:rPr>
      </w:pPr>
    </w:p>
    <w:p>
      <w:pPr>
        <w:widowControl/>
        <w:ind w:firstLine="560"/>
        <w:jc w:val="left"/>
        <w:rPr>
          <w:szCs w:val="28"/>
        </w:rPr>
      </w:pPr>
      <w:r>
        <w:rPr>
          <w:szCs w:val="28"/>
        </w:rPr>
        <w:br w:type="page"/>
      </w:r>
    </w:p>
    <w:p>
      <w:pPr>
        <w:ind w:firstLine="198" w:firstLineChars="55"/>
        <w:jc w:val="left"/>
        <w:outlineLvl w:val="0"/>
        <w:rPr>
          <w:rFonts w:eastAsia="方正小标宋_GBK"/>
          <w:sz w:val="36"/>
          <w:szCs w:val="36"/>
        </w:rPr>
      </w:pPr>
      <w:bookmarkStart w:id="102" w:name="_Toc43042551"/>
      <w:bookmarkStart w:id="103" w:name="_Toc39930935"/>
      <w:r>
        <w:rPr>
          <w:rFonts w:hint="eastAsia" w:eastAsia="方正小标宋_GBK"/>
          <w:sz w:val="36"/>
          <w:szCs w:val="36"/>
        </w:rPr>
        <w:t>第六章</w:t>
      </w:r>
      <w:r>
        <w:rPr>
          <w:rFonts w:eastAsia="方正小标宋_GBK"/>
          <w:sz w:val="36"/>
          <w:szCs w:val="36"/>
        </w:rPr>
        <w:t>工程估算与资金筹措</w:t>
      </w:r>
      <w:bookmarkEnd w:id="102"/>
      <w:bookmarkEnd w:id="103"/>
    </w:p>
    <w:p>
      <w:pPr>
        <w:spacing w:beforeLines="50"/>
        <w:ind w:firstLine="640"/>
        <w:jc w:val="left"/>
        <w:outlineLvl w:val="1"/>
        <w:rPr>
          <w:rFonts w:eastAsia="方正黑体_GBK"/>
          <w:b/>
          <w:sz w:val="32"/>
          <w:szCs w:val="32"/>
        </w:rPr>
      </w:pPr>
      <w:bookmarkStart w:id="104" w:name="_Toc39930936"/>
      <w:bookmarkStart w:id="105" w:name="_Toc43042552"/>
      <w:r>
        <w:rPr>
          <w:rFonts w:eastAsia="方正黑体_GBK"/>
          <w:b/>
          <w:sz w:val="32"/>
          <w:szCs w:val="32"/>
        </w:rPr>
        <w:t>6.1投资估算</w:t>
      </w:r>
      <w:bookmarkEnd w:id="104"/>
      <w:bookmarkEnd w:id="105"/>
    </w:p>
    <w:p>
      <w:pPr>
        <w:adjustRightInd w:val="0"/>
        <w:snapToGrid w:val="0"/>
        <w:ind w:firstLine="560"/>
        <w:rPr>
          <w:rFonts w:ascii="方正仿宋_GB2312" w:hAnsi="方正仿宋_GB2312" w:eastAsia="方正仿宋_GB2312" w:cs="方正仿宋_GB2312"/>
          <w:szCs w:val="28"/>
        </w:rPr>
      </w:pPr>
      <w:bookmarkStart w:id="106" w:name="_Toc39930937"/>
      <w:r>
        <w:rPr>
          <w:rFonts w:hint="eastAsia" w:ascii="方正仿宋_GB2312" w:hAnsi="方正仿宋_GB2312" w:eastAsia="方正仿宋_GB2312" w:cs="方正仿宋_GB2312"/>
          <w:szCs w:val="28"/>
        </w:rPr>
        <w:t>包括污水收集系统和污水处理系统费用（不包括征地费和运维费）。经估算，晋宁县农村生活污水工程建设总投资约</w:t>
      </w:r>
      <w:r>
        <w:rPr>
          <w:rFonts w:ascii="方正仿宋_GB2312" w:hAnsi="方正仿宋_GB2312" w:eastAsia="方正仿宋_GB2312" w:cs="方正仿宋_GB2312"/>
          <w:szCs w:val="28"/>
        </w:rPr>
        <w:t>11901.89</w:t>
      </w:r>
      <w:r>
        <w:rPr>
          <w:rFonts w:hint="eastAsia" w:ascii="方正仿宋_GB2312" w:hAnsi="方正仿宋_GB2312" w:eastAsia="方正仿宋_GB2312" w:cs="方正仿宋_GB2312"/>
          <w:szCs w:val="28"/>
        </w:rPr>
        <w:t>万元，其中污水收集系统投资约</w:t>
      </w:r>
      <w:r>
        <w:rPr>
          <w:rFonts w:ascii="方正仿宋_GB2312" w:hAnsi="方正仿宋_GB2312" w:eastAsia="方正仿宋_GB2312" w:cs="方正仿宋_GB2312"/>
          <w:szCs w:val="28"/>
        </w:rPr>
        <w:t>10154.14</w:t>
      </w:r>
      <w:r>
        <w:rPr>
          <w:rFonts w:hint="eastAsia" w:ascii="方正仿宋_GB2312" w:hAnsi="方正仿宋_GB2312" w:eastAsia="方正仿宋_GB2312" w:cs="方正仿宋_GB2312"/>
          <w:szCs w:val="28"/>
        </w:rPr>
        <w:t>万元，污水处理系统约</w:t>
      </w:r>
      <w:r>
        <w:rPr>
          <w:rFonts w:ascii="方正仿宋_GB2312" w:hAnsi="方正仿宋_GB2312" w:eastAsia="方正仿宋_GB2312" w:cs="方正仿宋_GB2312"/>
          <w:szCs w:val="28"/>
        </w:rPr>
        <w:t>1747.75</w:t>
      </w:r>
      <w:r>
        <w:rPr>
          <w:rFonts w:hint="eastAsia" w:ascii="方正仿宋_GB2312" w:hAnsi="方正仿宋_GB2312" w:eastAsia="方正仿宋_GB2312" w:cs="方正仿宋_GB2312"/>
          <w:szCs w:val="28"/>
        </w:rPr>
        <w:t>万元。收集系统中纳管模式投资为</w:t>
      </w:r>
      <w:r>
        <w:rPr>
          <w:rFonts w:ascii="方正仿宋_GB2312" w:hAnsi="方正仿宋_GB2312" w:eastAsia="方正仿宋_GB2312" w:cs="方正仿宋_GB2312"/>
          <w:szCs w:val="28"/>
        </w:rPr>
        <w:t>791.14</w:t>
      </w:r>
      <w:r>
        <w:rPr>
          <w:rFonts w:hint="eastAsia" w:ascii="方正仿宋_GB2312" w:hAnsi="方正仿宋_GB2312" w:eastAsia="方正仿宋_GB2312" w:cs="方正仿宋_GB2312"/>
          <w:szCs w:val="28"/>
        </w:rPr>
        <w:t>万元。</w:t>
      </w:r>
    </w:p>
    <w:p>
      <w:pPr>
        <w:pStyle w:val="80"/>
        <w:spacing w:before="0" w:line="560" w:lineRule="exact"/>
        <w:ind w:firstLine="720"/>
        <w:rPr>
          <w:rFonts w:eastAsia="方正小标宋_GBK"/>
          <w:sz w:val="36"/>
          <w:szCs w:val="32"/>
        </w:rPr>
      </w:pPr>
      <w:r>
        <w:rPr>
          <w:rFonts w:hint="eastAsia" w:ascii="方正仿宋_GB2312" w:hAnsi="方正仿宋_GB2312" w:eastAsia="方正仿宋_GB2312" w:cs="方正仿宋_GB2312"/>
          <w:sz w:val="28"/>
          <w:szCs w:val="28"/>
        </w:rPr>
        <w:t>表6.1-</w:t>
      </w:r>
      <w:r>
        <w:rPr>
          <w:rFonts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rPr>
        <w:t xml:space="preserve"> 各乡镇工程</w:t>
      </w:r>
      <w:r>
        <w:rPr>
          <w:rFonts w:ascii="方正仿宋_GB2312" w:hAnsi="方正仿宋_GB2312" w:eastAsia="方正仿宋_GB2312" w:cs="方正仿宋_GB2312"/>
          <w:sz w:val="28"/>
          <w:szCs w:val="28"/>
        </w:rPr>
        <w:t>投资汇总表</w:t>
      </w:r>
    </w:p>
    <w:tbl>
      <w:tblPr>
        <w:tblStyle w:val="26"/>
        <w:tblW w:w="5000" w:type="pct"/>
        <w:tblInd w:w="0" w:type="dxa"/>
        <w:tblLayout w:type="autofit"/>
        <w:tblCellMar>
          <w:top w:w="0" w:type="dxa"/>
          <w:left w:w="108" w:type="dxa"/>
          <w:bottom w:w="0" w:type="dxa"/>
          <w:right w:w="108" w:type="dxa"/>
        </w:tblCellMar>
      </w:tblPr>
      <w:tblGrid>
        <w:gridCol w:w="696"/>
        <w:gridCol w:w="1896"/>
        <w:gridCol w:w="2827"/>
        <w:gridCol w:w="2830"/>
        <w:gridCol w:w="1861"/>
      </w:tblGrid>
      <w:tr>
        <w:tblPrEx>
          <w:tblCellMar>
            <w:top w:w="0" w:type="dxa"/>
            <w:left w:w="108" w:type="dxa"/>
            <w:bottom w:w="0" w:type="dxa"/>
            <w:right w:w="108" w:type="dxa"/>
          </w:tblCellMar>
        </w:tblPrEx>
        <w:trPr>
          <w:trHeight w:val="270" w:hRule="atLeast"/>
        </w:trPr>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92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spacing w:line="240" w:lineRule="auto"/>
              <w:ind w:firstLine="0" w:firstLineChars="0"/>
              <w:jc w:val="center"/>
              <w:rPr>
                <w:rFonts w:ascii="宋体" w:hAnsi="宋体" w:cs="宋体"/>
                <w:b/>
                <w:bCs/>
                <w:kern w:val="0"/>
                <w:sz w:val="24"/>
              </w:rPr>
            </w:pPr>
            <w:r>
              <w:rPr>
                <w:rFonts w:hint="eastAsia" w:ascii="宋体" w:hAnsi="宋体" w:cs="宋体"/>
                <w:b/>
                <w:bCs/>
                <w:kern w:val="0"/>
                <w:sz w:val="24"/>
              </w:rPr>
              <w:t>乡镇</w:t>
            </w:r>
          </w:p>
        </w:tc>
        <w:tc>
          <w:tcPr>
            <w:tcW w:w="1404"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spacing w:line="240" w:lineRule="auto"/>
              <w:ind w:firstLine="0" w:firstLineChars="0"/>
              <w:jc w:val="center"/>
              <w:rPr>
                <w:rFonts w:ascii="宋体" w:hAnsi="宋体" w:cs="宋体"/>
                <w:b/>
                <w:bCs/>
                <w:kern w:val="0"/>
                <w:sz w:val="24"/>
              </w:rPr>
            </w:pPr>
            <w:r>
              <w:rPr>
                <w:rFonts w:hint="eastAsia" w:ascii="宋体" w:hAnsi="宋体" w:cs="宋体"/>
                <w:b/>
                <w:bCs/>
                <w:kern w:val="0"/>
                <w:sz w:val="24"/>
              </w:rPr>
              <w:t>污水收集系统投资</w:t>
            </w:r>
          </w:p>
          <w:p>
            <w:pPr>
              <w:widowControl/>
              <w:adjustRightInd w:val="0"/>
              <w:snapToGrid w:val="0"/>
              <w:spacing w:line="240" w:lineRule="auto"/>
              <w:ind w:firstLine="0" w:firstLineChars="0"/>
              <w:jc w:val="center"/>
              <w:rPr>
                <w:rFonts w:ascii="宋体" w:hAnsi="宋体" w:cs="宋体"/>
                <w:b/>
                <w:bCs/>
                <w:kern w:val="0"/>
                <w:sz w:val="24"/>
              </w:rPr>
            </w:pPr>
            <w:r>
              <w:rPr>
                <w:rFonts w:hint="eastAsia" w:ascii="宋体" w:hAnsi="宋体" w:cs="宋体"/>
                <w:b/>
                <w:bCs/>
                <w:kern w:val="0"/>
                <w:sz w:val="24"/>
              </w:rPr>
              <w:t>（万元）</w:t>
            </w:r>
          </w:p>
        </w:tc>
        <w:tc>
          <w:tcPr>
            <w:tcW w:w="140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spacing w:line="240" w:lineRule="auto"/>
              <w:ind w:firstLine="0" w:firstLineChars="0"/>
              <w:jc w:val="center"/>
              <w:rPr>
                <w:rFonts w:ascii="宋体" w:hAnsi="宋体" w:cs="宋体"/>
                <w:b/>
                <w:bCs/>
                <w:kern w:val="0"/>
                <w:sz w:val="24"/>
              </w:rPr>
            </w:pPr>
            <w:r>
              <w:rPr>
                <w:rFonts w:hint="eastAsia" w:ascii="宋体" w:hAnsi="宋体" w:cs="宋体"/>
                <w:b/>
                <w:bCs/>
                <w:kern w:val="0"/>
                <w:sz w:val="24"/>
              </w:rPr>
              <w:t>污水处理系统投资</w:t>
            </w:r>
          </w:p>
          <w:p>
            <w:pPr>
              <w:widowControl/>
              <w:adjustRightInd w:val="0"/>
              <w:snapToGrid w:val="0"/>
              <w:spacing w:line="240" w:lineRule="auto"/>
              <w:ind w:firstLine="0" w:firstLineChars="0"/>
              <w:jc w:val="center"/>
              <w:rPr>
                <w:rFonts w:ascii="宋体" w:hAnsi="宋体" w:cs="宋体"/>
                <w:b/>
                <w:bCs/>
                <w:kern w:val="0"/>
                <w:sz w:val="24"/>
              </w:rPr>
            </w:pPr>
            <w:r>
              <w:rPr>
                <w:rFonts w:hint="eastAsia" w:ascii="宋体" w:hAnsi="宋体" w:cs="宋体"/>
                <w:b/>
                <w:bCs/>
                <w:kern w:val="0"/>
                <w:sz w:val="24"/>
              </w:rPr>
              <w:t>（万元）</w:t>
            </w:r>
          </w:p>
        </w:tc>
        <w:tc>
          <w:tcPr>
            <w:tcW w:w="926"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spacing w:line="240" w:lineRule="auto"/>
              <w:ind w:firstLine="0" w:firstLineChars="0"/>
              <w:jc w:val="center"/>
              <w:rPr>
                <w:rFonts w:ascii="宋体" w:hAnsi="宋体" w:cs="宋体"/>
                <w:b/>
                <w:bCs/>
                <w:kern w:val="0"/>
                <w:sz w:val="24"/>
              </w:rPr>
            </w:pPr>
            <w:r>
              <w:rPr>
                <w:rFonts w:hint="eastAsia" w:ascii="宋体" w:hAnsi="宋体" w:cs="宋体"/>
                <w:b/>
                <w:bCs/>
                <w:kern w:val="0"/>
                <w:sz w:val="24"/>
              </w:rPr>
              <w:t>总投资</w:t>
            </w:r>
          </w:p>
          <w:p>
            <w:pPr>
              <w:widowControl/>
              <w:adjustRightInd w:val="0"/>
              <w:snapToGrid w:val="0"/>
              <w:spacing w:line="240" w:lineRule="auto"/>
              <w:ind w:firstLine="0" w:firstLineChars="0"/>
              <w:jc w:val="center"/>
              <w:rPr>
                <w:rFonts w:ascii="宋体" w:hAnsi="宋体" w:cs="宋体"/>
                <w:b/>
                <w:bCs/>
                <w:kern w:val="0"/>
                <w:sz w:val="24"/>
              </w:rPr>
            </w:pPr>
            <w:r>
              <w:rPr>
                <w:rFonts w:hint="eastAsia" w:ascii="宋体" w:hAnsi="宋体" w:cs="宋体"/>
                <w:b/>
                <w:bCs/>
                <w:kern w:val="0"/>
                <w:sz w:val="24"/>
              </w:rPr>
              <w:t>（万元）</w:t>
            </w:r>
          </w:p>
        </w:tc>
      </w:tr>
      <w:tr>
        <w:tblPrEx>
          <w:tblCellMar>
            <w:top w:w="0" w:type="dxa"/>
            <w:left w:w="108" w:type="dxa"/>
            <w:bottom w:w="0" w:type="dxa"/>
            <w:right w:w="108" w:type="dxa"/>
          </w:tblCellMar>
        </w:tblPrEx>
        <w:trPr>
          <w:trHeight w:val="270" w:hRule="atLeast"/>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92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宝峰街道</w:t>
            </w:r>
          </w:p>
        </w:tc>
        <w:tc>
          <w:tcPr>
            <w:tcW w:w="1404"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1450.55</w:t>
            </w:r>
          </w:p>
        </w:tc>
        <w:tc>
          <w:tcPr>
            <w:tcW w:w="140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358.00</w:t>
            </w:r>
          </w:p>
        </w:tc>
        <w:tc>
          <w:tcPr>
            <w:tcW w:w="926"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1808.55</w:t>
            </w:r>
          </w:p>
        </w:tc>
      </w:tr>
      <w:tr>
        <w:tblPrEx>
          <w:tblCellMar>
            <w:top w:w="0" w:type="dxa"/>
            <w:left w:w="108" w:type="dxa"/>
            <w:bottom w:w="0" w:type="dxa"/>
            <w:right w:w="108" w:type="dxa"/>
          </w:tblCellMar>
        </w:tblPrEx>
        <w:trPr>
          <w:trHeight w:val="270" w:hRule="atLeast"/>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92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二街镇</w:t>
            </w:r>
          </w:p>
        </w:tc>
        <w:tc>
          <w:tcPr>
            <w:tcW w:w="1404"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254.15</w:t>
            </w:r>
          </w:p>
        </w:tc>
        <w:tc>
          <w:tcPr>
            <w:tcW w:w="140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42.00</w:t>
            </w:r>
          </w:p>
        </w:tc>
        <w:tc>
          <w:tcPr>
            <w:tcW w:w="926"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296.15</w:t>
            </w:r>
          </w:p>
        </w:tc>
      </w:tr>
      <w:tr>
        <w:tblPrEx>
          <w:tblCellMar>
            <w:top w:w="0" w:type="dxa"/>
            <w:left w:w="108" w:type="dxa"/>
            <w:bottom w:w="0" w:type="dxa"/>
            <w:right w:w="108" w:type="dxa"/>
          </w:tblCellMar>
        </w:tblPrEx>
        <w:trPr>
          <w:trHeight w:val="270" w:hRule="atLeast"/>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92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晋城镇</w:t>
            </w:r>
          </w:p>
        </w:tc>
        <w:tc>
          <w:tcPr>
            <w:tcW w:w="1404"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3283.22</w:t>
            </w:r>
          </w:p>
        </w:tc>
        <w:tc>
          <w:tcPr>
            <w:tcW w:w="140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652.00</w:t>
            </w:r>
          </w:p>
        </w:tc>
        <w:tc>
          <w:tcPr>
            <w:tcW w:w="926"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3935.22</w:t>
            </w:r>
          </w:p>
        </w:tc>
      </w:tr>
      <w:tr>
        <w:tblPrEx>
          <w:tblCellMar>
            <w:top w:w="0" w:type="dxa"/>
            <w:left w:w="108" w:type="dxa"/>
            <w:bottom w:w="0" w:type="dxa"/>
            <w:right w:w="108" w:type="dxa"/>
          </w:tblCellMar>
        </w:tblPrEx>
        <w:trPr>
          <w:trHeight w:val="270" w:hRule="atLeast"/>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92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昆阳街道办事处</w:t>
            </w:r>
          </w:p>
        </w:tc>
        <w:tc>
          <w:tcPr>
            <w:tcW w:w="1404"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1080.77</w:t>
            </w:r>
          </w:p>
        </w:tc>
        <w:tc>
          <w:tcPr>
            <w:tcW w:w="140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126.00</w:t>
            </w:r>
          </w:p>
        </w:tc>
        <w:tc>
          <w:tcPr>
            <w:tcW w:w="926"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1206.77</w:t>
            </w:r>
          </w:p>
        </w:tc>
      </w:tr>
      <w:tr>
        <w:tblPrEx>
          <w:tblCellMar>
            <w:top w:w="0" w:type="dxa"/>
            <w:left w:w="108" w:type="dxa"/>
            <w:bottom w:w="0" w:type="dxa"/>
            <w:right w:w="108" w:type="dxa"/>
          </w:tblCellMar>
        </w:tblPrEx>
        <w:trPr>
          <w:trHeight w:val="270" w:hRule="atLeast"/>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92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六街镇</w:t>
            </w:r>
          </w:p>
        </w:tc>
        <w:tc>
          <w:tcPr>
            <w:tcW w:w="1404"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759.36</w:t>
            </w:r>
          </w:p>
        </w:tc>
        <w:tc>
          <w:tcPr>
            <w:tcW w:w="140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126.25</w:t>
            </w:r>
          </w:p>
        </w:tc>
        <w:tc>
          <w:tcPr>
            <w:tcW w:w="926"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885.61</w:t>
            </w:r>
          </w:p>
        </w:tc>
      </w:tr>
      <w:tr>
        <w:tblPrEx>
          <w:tblCellMar>
            <w:top w:w="0" w:type="dxa"/>
            <w:left w:w="108" w:type="dxa"/>
            <w:bottom w:w="0" w:type="dxa"/>
            <w:right w:w="108" w:type="dxa"/>
          </w:tblCellMar>
        </w:tblPrEx>
        <w:trPr>
          <w:trHeight w:val="270" w:hRule="atLeast"/>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6</w:t>
            </w:r>
          </w:p>
        </w:tc>
        <w:tc>
          <w:tcPr>
            <w:tcW w:w="92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上蒜镇</w:t>
            </w:r>
          </w:p>
        </w:tc>
        <w:tc>
          <w:tcPr>
            <w:tcW w:w="1404"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311.59</w:t>
            </w:r>
          </w:p>
        </w:tc>
        <w:tc>
          <w:tcPr>
            <w:tcW w:w="140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117.00</w:t>
            </w:r>
          </w:p>
        </w:tc>
        <w:tc>
          <w:tcPr>
            <w:tcW w:w="926"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428.59</w:t>
            </w:r>
          </w:p>
        </w:tc>
      </w:tr>
      <w:tr>
        <w:tblPrEx>
          <w:tblCellMar>
            <w:top w:w="0" w:type="dxa"/>
            <w:left w:w="108" w:type="dxa"/>
            <w:bottom w:w="0" w:type="dxa"/>
            <w:right w:w="108" w:type="dxa"/>
          </w:tblCellMar>
        </w:tblPrEx>
        <w:trPr>
          <w:trHeight w:val="270" w:hRule="atLeast"/>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7</w:t>
            </w:r>
          </w:p>
        </w:tc>
        <w:tc>
          <w:tcPr>
            <w:tcW w:w="92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双河彝族乡</w:t>
            </w:r>
          </w:p>
        </w:tc>
        <w:tc>
          <w:tcPr>
            <w:tcW w:w="1404"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1211.65</w:t>
            </w:r>
          </w:p>
        </w:tc>
        <w:tc>
          <w:tcPr>
            <w:tcW w:w="140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140.50</w:t>
            </w:r>
          </w:p>
        </w:tc>
        <w:tc>
          <w:tcPr>
            <w:tcW w:w="926"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1352.15</w:t>
            </w:r>
          </w:p>
        </w:tc>
      </w:tr>
      <w:tr>
        <w:tblPrEx>
          <w:tblCellMar>
            <w:top w:w="0" w:type="dxa"/>
            <w:left w:w="108" w:type="dxa"/>
            <w:bottom w:w="0" w:type="dxa"/>
            <w:right w:w="108" w:type="dxa"/>
          </w:tblCellMar>
        </w:tblPrEx>
        <w:trPr>
          <w:trHeight w:val="270" w:hRule="atLeast"/>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8</w:t>
            </w:r>
          </w:p>
        </w:tc>
        <w:tc>
          <w:tcPr>
            <w:tcW w:w="92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夕阳彝族乡</w:t>
            </w:r>
          </w:p>
        </w:tc>
        <w:tc>
          <w:tcPr>
            <w:tcW w:w="1404"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1802.86</w:t>
            </w:r>
          </w:p>
        </w:tc>
        <w:tc>
          <w:tcPr>
            <w:tcW w:w="140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186.00</w:t>
            </w:r>
          </w:p>
        </w:tc>
        <w:tc>
          <w:tcPr>
            <w:tcW w:w="926"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1988.86</w:t>
            </w:r>
          </w:p>
        </w:tc>
      </w:tr>
      <w:tr>
        <w:tblPrEx>
          <w:tblCellMar>
            <w:top w:w="0" w:type="dxa"/>
            <w:left w:w="108" w:type="dxa"/>
            <w:bottom w:w="0" w:type="dxa"/>
            <w:right w:w="108" w:type="dxa"/>
          </w:tblCellMar>
        </w:tblPrEx>
        <w:trPr>
          <w:trHeight w:val="270" w:hRule="atLeast"/>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宋体" w:hAnsi="宋体" w:cs="宋体"/>
                <w:kern w:val="0"/>
                <w:sz w:val="24"/>
              </w:rPr>
            </w:pPr>
            <w:r>
              <w:rPr>
                <w:rFonts w:hint="eastAsia" w:ascii="宋体" w:hAnsi="宋体" w:cs="宋体"/>
                <w:kern w:val="0"/>
                <w:sz w:val="24"/>
              </w:rPr>
              <w:t>9</w:t>
            </w:r>
          </w:p>
        </w:tc>
        <w:tc>
          <w:tcPr>
            <w:tcW w:w="92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spacing w:line="240" w:lineRule="auto"/>
              <w:ind w:firstLine="0" w:firstLineChars="0"/>
              <w:jc w:val="center"/>
              <w:rPr>
                <w:rFonts w:ascii="宋体" w:hAnsi="宋体" w:cs="宋体"/>
                <w:b/>
                <w:bCs/>
                <w:kern w:val="0"/>
                <w:sz w:val="24"/>
              </w:rPr>
            </w:pPr>
            <w:r>
              <w:rPr>
                <w:rFonts w:hint="eastAsia" w:ascii="宋体" w:hAnsi="宋体" w:cs="宋体"/>
                <w:b/>
                <w:bCs/>
                <w:kern w:val="0"/>
                <w:sz w:val="24"/>
              </w:rPr>
              <w:t>总计</w:t>
            </w:r>
          </w:p>
        </w:tc>
        <w:tc>
          <w:tcPr>
            <w:tcW w:w="1404"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spacing w:line="240" w:lineRule="auto"/>
              <w:ind w:firstLine="0" w:firstLineChars="0"/>
              <w:jc w:val="center"/>
              <w:rPr>
                <w:rFonts w:ascii="宋体" w:hAnsi="宋体" w:cs="宋体"/>
                <w:b/>
                <w:bCs/>
                <w:kern w:val="0"/>
                <w:sz w:val="24"/>
              </w:rPr>
            </w:pPr>
            <w:r>
              <w:rPr>
                <w:rFonts w:hint="eastAsia" w:ascii="宋体" w:hAnsi="宋体" w:cs="宋体"/>
                <w:b/>
                <w:bCs/>
                <w:kern w:val="0"/>
                <w:sz w:val="24"/>
              </w:rPr>
              <w:t>10154.14</w:t>
            </w:r>
          </w:p>
        </w:tc>
        <w:tc>
          <w:tcPr>
            <w:tcW w:w="140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spacing w:line="240" w:lineRule="auto"/>
              <w:ind w:firstLine="0" w:firstLineChars="0"/>
              <w:jc w:val="center"/>
              <w:rPr>
                <w:rFonts w:ascii="宋体" w:hAnsi="宋体" w:cs="宋体"/>
                <w:b/>
                <w:bCs/>
                <w:kern w:val="0"/>
                <w:sz w:val="24"/>
              </w:rPr>
            </w:pPr>
            <w:r>
              <w:rPr>
                <w:rFonts w:hint="eastAsia" w:ascii="宋体" w:hAnsi="宋体" w:cs="宋体"/>
                <w:b/>
                <w:bCs/>
                <w:kern w:val="0"/>
                <w:sz w:val="24"/>
              </w:rPr>
              <w:t>1747.75</w:t>
            </w:r>
          </w:p>
        </w:tc>
        <w:tc>
          <w:tcPr>
            <w:tcW w:w="926"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spacing w:line="240" w:lineRule="auto"/>
              <w:ind w:firstLine="0" w:firstLineChars="0"/>
              <w:jc w:val="center"/>
              <w:rPr>
                <w:rFonts w:ascii="宋体" w:hAnsi="宋体" w:cs="宋体"/>
                <w:b/>
                <w:bCs/>
                <w:kern w:val="0"/>
                <w:sz w:val="24"/>
              </w:rPr>
            </w:pPr>
            <w:r>
              <w:rPr>
                <w:rFonts w:hint="eastAsia" w:ascii="宋体" w:hAnsi="宋体" w:cs="宋体"/>
                <w:b/>
                <w:bCs/>
                <w:kern w:val="0"/>
                <w:sz w:val="24"/>
              </w:rPr>
              <w:t>11901.89</w:t>
            </w:r>
          </w:p>
        </w:tc>
      </w:tr>
    </w:tbl>
    <w:p>
      <w:pPr>
        <w:pStyle w:val="80"/>
        <w:spacing w:before="0" w:line="560" w:lineRule="exact"/>
        <w:ind w:firstLine="560"/>
        <w:rPr>
          <w:rFonts w:eastAsia="方正小标宋_GBK"/>
          <w:sz w:val="36"/>
          <w:szCs w:val="32"/>
        </w:rPr>
      </w:pPr>
      <w:r>
        <w:rPr>
          <w:rFonts w:hint="eastAsia" w:ascii="方正仿宋_GB2312" w:hAnsi="方正仿宋_GB2312" w:eastAsia="方正仿宋_GB2312" w:cs="方正仿宋_GB2312"/>
          <w:sz w:val="28"/>
          <w:szCs w:val="28"/>
        </w:rPr>
        <w:t>表6.1-</w:t>
      </w:r>
      <w:r>
        <w:rPr>
          <w:rFonts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rPr>
        <w:t>不同收集</w:t>
      </w:r>
      <w:r>
        <w:rPr>
          <w:rFonts w:ascii="方正仿宋_GB2312" w:hAnsi="方正仿宋_GB2312" w:eastAsia="方正仿宋_GB2312" w:cs="方正仿宋_GB2312"/>
          <w:sz w:val="28"/>
          <w:szCs w:val="28"/>
        </w:rPr>
        <w:t>模式</w:t>
      </w:r>
      <w:r>
        <w:rPr>
          <w:rFonts w:hint="eastAsia" w:ascii="方正仿宋_GB2312" w:hAnsi="方正仿宋_GB2312" w:eastAsia="方正仿宋_GB2312" w:cs="方正仿宋_GB2312"/>
          <w:sz w:val="28"/>
          <w:szCs w:val="28"/>
        </w:rPr>
        <w:t>工程</w:t>
      </w:r>
      <w:r>
        <w:rPr>
          <w:rFonts w:ascii="方正仿宋_GB2312" w:hAnsi="方正仿宋_GB2312" w:eastAsia="方正仿宋_GB2312" w:cs="方正仿宋_GB2312"/>
          <w:sz w:val="28"/>
          <w:szCs w:val="28"/>
        </w:rPr>
        <w:t>投资汇总表</w:t>
      </w:r>
    </w:p>
    <w:tbl>
      <w:tblPr>
        <w:tblStyle w:val="26"/>
        <w:tblW w:w="5000" w:type="pct"/>
        <w:tblInd w:w="0" w:type="dxa"/>
        <w:tblLayout w:type="autofit"/>
        <w:tblCellMar>
          <w:top w:w="0" w:type="dxa"/>
          <w:left w:w="108" w:type="dxa"/>
          <w:bottom w:w="0" w:type="dxa"/>
          <w:right w:w="108" w:type="dxa"/>
        </w:tblCellMar>
      </w:tblPr>
      <w:tblGrid>
        <w:gridCol w:w="696"/>
        <w:gridCol w:w="1176"/>
        <w:gridCol w:w="3080"/>
        <w:gridCol w:w="3082"/>
        <w:gridCol w:w="2076"/>
      </w:tblGrid>
      <w:tr>
        <w:tblPrEx>
          <w:tblCellMar>
            <w:top w:w="0" w:type="dxa"/>
            <w:left w:w="108" w:type="dxa"/>
            <w:bottom w:w="0" w:type="dxa"/>
            <w:right w:w="108" w:type="dxa"/>
          </w:tblCellMar>
        </w:tblPrEx>
        <w:trPr>
          <w:trHeight w:val="270" w:hRule="atLeast"/>
        </w:trPr>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序号</w:t>
            </w:r>
          </w:p>
        </w:tc>
        <w:tc>
          <w:tcPr>
            <w:tcW w:w="535"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收集模式</w:t>
            </w:r>
          </w:p>
        </w:tc>
        <w:tc>
          <w:tcPr>
            <w:tcW w:w="1547"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污水收集系统投资</w:t>
            </w:r>
          </w:p>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（万元）</w:t>
            </w:r>
          </w:p>
        </w:tc>
        <w:tc>
          <w:tcPr>
            <w:tcW w:w="1548"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污水处理系统投资</w:t>
            </w:r>
          </w:p>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（万元）</w:t>
            </w:r>
          </w:p>
        </w:tc>
        <w:tc>
          <w:tcPr>
            <w:tcW w:w="1050"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总投资</w:t>
            </w:r>
          </w:p>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（万元）</w:t>
            </w:r>
          </w:p>
        </w:tc>
      </w:tr>
      <w:tr>
        <w:tblPrEx>
          <w:tblCellMar>
            <w:top w:w="0" w:type="dxa"/>
            <w:left w:w="108" w:type="dxa"/>
            <w:bottom w:w="0" w:type="dxa"/>
            <w:right w:w="108" w:type="dxa"/>
          </w:tblCellMar>
        </w:tblPrEx>
        <w:trPr>
          <w:trHeight w:val="270" w:hRule="atLeast"/>
        </w:trPr>
        <w:tc>
          <w:tcPr>
            <w:tcW w:w="32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1</w:t>
            </w:r>
          </w:p>
        </w:tc>
        <w:tc>
          <w:tcPr>
            <w:tcW w:w="53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分散</w:t>
            </w:r>
          </w:p>
        </w:tc>
        <w:tc>
          <w:tcPr>
            <w:tcW w:w="1547"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2923.30</w:t>
            </w:r>
          </w:p>
        </w:tc>
        <w:tc>
          <w:tcPr>
            <w:tcW w:w="154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370.75</w:t>
            </w:r>
          </w:p>
        </w:tc>
        <w:tc>
          <w:tcPr>
            <w:tcW w:w="1050"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3294.05</w:t>
            </w:r>
          </w:p>
        </w:tc>
      </w:tr>
      <w:tr>
        <w:tblPrEx>
          <w:tblCellMar>
            <w:top w:w="0" w:type="dxa"/>
            <w:left w:w="108" w:type="dxa"/>
            <w:bottom w:w="0" w:type="dxa"/>
            <w:right w:w="108" w:type="dxa"/>
          </w:tblCellMar>
        </w:tblPrEx>
        <w:trPr>
          <w:trHeight w:val="270" w:hRule="atLeast"/>
        </w:trPr>
        <w:tc>
          <w:tcPr>
            <w:tcW w:w="32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2</w:t>
            </w:r>
          </w:p>
        </w:tc>
        <w:tc>
          <w:tcPr>
            <w:tcW w:w="53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集中</w:t>
            </w:r>
          </w:p>
        </w:tc>
        <w:tc>
          <w:tcPr>
            <w:tcW w:w="1547"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6439.71</w:t>
            </w:r>
          </w:p>
        </w:tc>
        <w:tc>
          <w:tcPr>
            <w:tcW w:w="154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1377.00</w:t>
            </w:r>
          </w:p>
        </w:tc>
        <w:tc>
          <w:tcPr>
            <w:tcW w:w="1050"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7816.71</w:t>
            </w:r>
          </w:p>
        </w:tc>
      </w:tr>
      <w:tr>
        <w:tblPrEx>
          <w:tblCellMar>
            <w:top w:w="0" w:type="dxa"/>
            <w:left w:w="108" w:type="dxa"/>
            <w:bottom w:w="0" w:type="dxa"/>
            <w:right w:w="108" w:type="dxa"/>
          </w:tblCellMar>
        </w:tblPrEx>
        <w:trPr>
          <w:trHeight w:val="270" w:hRule="atLeast"/>
        </w:trPr>
        <w:tc>
          <w:tcPr>
            <w:tcW w:w="32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3</w:t>
            </w:r>
          </w:p>
        </w:tc>
        <w:tc>
          <w:tcPr>
            <w:tcW w:w="53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纳管</w:t>
            </w:r>
          </w:p>
        </w:tc>
        <w:tc>
          <w:tcPr>
            <w:tcW w:w="1547"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791.14</w:t>
            </w:r>
          </w:p>
        </w:tc>
        <w:tc>
          <w:tcPr>
            <w:tcW w:w="154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　</w:t>
            </w:r>
          </w:p>
        </w:tc>
        <w:tc>
          <w:tcPr>
            <w:tcW w:w="1050"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791.14</w:t>
            </w:r>
          </w:p>
        </w:tc>
      </w:tr>
      <w:tr>
        <w:tblPrEx>
          <w:tblCellMar>
            <w:top w:w="0" w:type="dxa"/>
            <w:left w:w="108" w:type="dxa"/>
            <w:bottom w:w="0" w:type="dxa"/>
            <w:right w:w="108" w:type="dxa"/>
          </w:tblCellMar>
        </w:tblPrEx>
        <w:trPr>
          <w:trHeight w:val="270" w:hRule="atLeast"/>
        </w:trPr>
        <w:tc>
          <w:tcPr>
            <w:tcW w:w="32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　</w:t>
            </w:r>
          </w:p>
        </w:tc>
        <w:tc>
          <w:tcPr>
            <w:tcW w:w="535"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合计</w:t>
            </w:r>
          </w:p>
        </w:tc>
        <w:tc>
          <w:tcPr>
            <w:tcW w:w="1547"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10154.14</w:t>
            </w:r>
          </w:p>
        </w:tc>
        <w:tc>
          <w:tcPr>
            <w:tcW w:w="154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1747.75</w:t>
            </w:r>
          </w:p>
        </w:tc>
        <w:tc>
          <w:tcPr>
            <w:tcW w:w="1050"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方正仿宋_GBK" w:hAnsi="宋体" w:cs="宋体"/>
                <w:kern w:val="0"/>
                <w:sz w:val="24"/>
              </w:rPr>
            </w:pPr>
            <w:r>
              <w:rPr>
                <w:rFonts w:hint="eastAsia" w:ascii="方正仿宋_GBK" w:hAnsi="宋体" w:cs="宋体"/>
                <w:kern w:val="0"/>
                <w:sz w:val="24"/>
              </w:rPr>
              <w:t>11901.89</w:t>
            </w:r>
          </w:p>
        </w:tc>
      </w:tr>
    </w:tbl>
    <w:p>
      <w:pPr>
        <w:spacing w:beforeLines="50"/>
        <w:ind w:firstLine="640"/>
        <w:jc w:val="left"/>
        <w:outlineLvl w:val="1"/>
        <w:rPr>
          <w:rFonts w:eastAsia="方正黑体_GBK"/>
          <w:b/>
          <w:sz w:val="32"/>
          <w:szCs w:val="32"/>
        </w:rPr>
      </w:pPr>
      <w:bookmarkStart w:id="107" w:name="_Toc43042553"/>
      <w:r>
        <w:rPr>
          <w:rFonts w:eastAsia="方正黑体_GBK"/>
          <w:b/>
          <w:sz w:val="32"/>
          <w:szCs w:val="32"/>
        </w:rPr>
        <w:t>6.2资金筹措</w:t>
      </w:r>
      <w:bookmarkEnd w:id="106"/>
      <w:bookmarkEnd w:id="107"/>
    </w:p>
    <w:p>
      <w:pPr>
        <w:adjustRightInd w:val="0"/>
        <w:snapToGrid w:val="0"/>
        <w:ind w:firstLine="560"/>
        <w:rPr>
          <w:szCs w:val="28"/>
        </w:rPr>
      </w:pPr>
      <w:r>
        <w:rPr>
          <w:rFonts w:hint="eastAsia"/>
          <w:szCs w:val="28"/>
        </w:rPr>
        <w:t>晋宁县和各乡镇缺乏充足财力、人力和技术资源，应该积极探索多元化投资和多方参与等方式筹措资金。例如，积极打包重点村庄生活污水治理工程纳入中央环保投资项目储备库，直接编制项目建议书或可研报告申请中央和省级环保资金。也可以采用</w:t>
      </w:r>
      <w:r>
        <w:rPr>
          <w:szCs w:val="28"/>
        </w:rPr>
        <w:t>PPP</w:t>
      </w:r>
      <w:r>
        <w:rPr>
          <w:rFonts w:hint="eastAsia"/>
          <w:szCs w:val="28"/>
        </w:rPr>
        <w:t>等模式，通过招商洽谈，委托专业环保公司负责县域内乡镇污水处理设施建设，以政府购买服务、征收污水处理费等方式给予环保公司和投资人回报。</w:t>
      </w:r>
    </w:p>
    <w:p>
      <w:pPr>
        <w:adjustRightInd w:val="0"/>
        <w:snapToGrid w:val="0"/>
        <w:ind w:firstLine="560"/>
        <w:rPr>
          <w:szCs w:val="28"/>
        </w:rPr>
      </w:pPr>
      <w:r>
        <w:rPr>
          <w:rFonts w:hint="eastAsia"/>
          <w:szCs w:val="28"/>
        </w:rPr>
        <w:t>各级财政应加大对乡镇污水处理设施建设的扶持力度，应将农村生活污水治理建设及运维经费纳入年度财政预算中，并积极申请省、市相关经费补助，同时鼓励引导和支持企业、社会团体、个人等社会力量，通过投资、捐助、认建等形式，参与农村生活污水治理设施建设与改造。</w:t>
      </w:r>
    </w:p>
    <w:p>
      <w:pPr>
        <w:adjustRightInd w:val="0"/>
        <w:snapToGrid w:val="0"/>
        <w:ind w:firstLine="560"/>
        <w:rPr>
          <w:szCs w:val="28"/>
        </w:rPr>
      </w:pPr>
      <w:r>
        <w:rPr>
          <w:rFonts w:hint="eastAsia"/>
          <w:szCs w:val="28"/>
        </w:rPr>
        <w:t>农村生活污水治理资金按实际投入额由县、镇两级财政承担。其中，乡镇承担的资金可视村级经济情况由镇、村两级共同承担。对于新建的新农村集中居住片区，生活污水的收集处理工程应纳入规划工程建设许可内，由乡镇监督，行政村（居）负责实施。对户用厕所改造、户用小型污水处理等设施建设，由农户适当出资，政府给予奖补。有经营性的场所生活污水应当要求经营主出资对生活污水进行收集处理，办理排水许可。</w:t>
      </w:r>
    </w:p>
    <w:p>
      <w:pPr>
        <w:spacing w:beforeLines="50"/>
        <w:ind w:firstLine="640"/>
        <w:jc w:val="left"/>
        <w:outlineLvl w:val="1"/>
        <w:rPr>
          <w:rFonts w:eastAsia="方正黑体_GBK"/>
          <w:b/>
          <w:sz w:val="32"/>
          <w:szCs w:val="32"/>
        </w:rPr>
      </w:pPr>
      <w:bookmarkStart w:id="108" w:name="_Toc43042554"/>
      <w:r>
        <w:rPr>
          <w:rFonts w:eastAsia="方正黑体_GBK"/>
          <w:b/>
          <w:sz w:val="32"/>
          <w:szCs w:val="32"/>
        </w:rPr>
        <w:t>6.</w:t>
      </w:r>
      <w:r>
        <w:rPr>
          <w:rFonts w:hint="eastAsia" w:eastAsia="方正黑体_GBK"/>
          <w:b/>
          <w:sz w:val="32"/>
          <w:szCs w:val="32"/>
        </w:rPr>
        <w:t>3运维管理费</w:t>
      </w:r>
      <w:bookmarkEnd w:id="108"/>
    </w:p>
    <w:p>
      <w:pPr>
        <w:adjustRightInd w:val="0"/>
        <w:snapToGrid w:val="0"/>
        <w:ind w:firstLine="560"/>
        <w:rPr>
          <w:szCs w:val="28"/>
        </w:rPr>
      </w:pPr>
      <w:r>
        <w:rPr>
          <w:rFonts w:hint="eastAsia"/>
          <w:szCs w:val="28"/>
        </w:rPr>
        <w:t>（1）运维管理内容</w:t>
      </w:r>
    </w:p>
    <w:p>
      <w:pPr>
        <w:adjustRightInd w:val="0"/>
        <w:snapToGrid w:val="0"/>
        <w:ind w:firstLine="560"/>
        <w:rPr>
          <w:szCs w:val="28"/>
        </w:rPr>
      </w:pPr>
      <w:r>
        <w:rPr>
          <w:rFonts w:hint="eastAsia"/>
          <w:szCs w:val="28"/>
        </w:rPr>
        <w:t>根据第五章节，以规划推进的第三方运维方式分析，农村生活污水治理运维管理的主要对象为采取纳管统一处理的8个村庄，集中收集模式59个村庄，针对污水收集管网进行定期清淤、检修，污水处理设施日常巡检、漂浮垃圾清理和定期检修。其余村庄采用原属地化管理模式，由村、户自行运维，乡镇监管，县级考核、抽检。</w:t>
      </w:r>
    </w:p>
    <w:p>
      <w:pPr>
        <w:adjustRightInd w:val="0"/>
        <w:snapToGrid w:val="0"/>
        <w:ind w:firstLine="560"/>
        <w:rPr>
          <w:szCs w:val="28"/>
        </w:rPr>
      </w:pPr>
      <w:r>
        <w:rPr>
          <w:rFonts w:hint="eastAsia"/>
          <w:szCs w:val="28"/>
        </w:rPr>
        <w:t>（2）运维管理费构成</w:t>
      </w:r>
    </w:p>
    <w:p>
      <w:pPr>
        <w:adjustRightInd w:val="0"/>
        <w:snapToGrid w:val="0"/>
        <w:ind w:firstLine="560"/>
        <w:rPr>
          <w:szCs w:val="28"/>
        </w:rPr>
      </w:pPr>
      <w:r>
        <w:rPr>
          <w:rFonts w:hint="eastAsia"/>
          <w:szCs w:val="28"/>
        </w:rPr>
        <w:t>运维管理费包括第三方利润、日常运维、定期运维和不定期监督检查四部分，以人工费为主，加上少量的维护材料费。</w:t>
      </w:r>
    </w:p>
    <w:p>
      <w:pPr>
        <w:adjustRightInd w:val="0"/>
        <w:snapToGrid w:val="0"/>
        <w:ind w:firstLine="560"/>
        <w:rPr>
          <w:szCs w:val="28"/>
        </w:rPr>
      </w:pPr>
      <w:r>
        <w:rPr>
          <w:rFonts w:hint="eastAsia"/>
          <w:szCs w:val="28"/>
        </w:rPr>
        <w:t>其中，人工费包括日常巡视维护管理人员工资、福利，定期检修工时费；维护材料费主要为设施破损修复和植物补种。</w:t>
      </w:r>
    </w:p>
    <w:p>
      <w:pPr>
        <w:adjustRightInd w:val="0"/>
        <w:snapToGrid w:val="0"/>
        <w:ind w:firstLine="560"/>
        <w:rPr>
          <w:szCs w:val="28"/>
        </w:rPr>
      </w:pPr>
      <w:r>
        <w:rPr>
          <w:rFonts w:hint="eastAsia"/>
          <w:szCs w:val="28"/>
        </w:rPr>
        <w:t>（3）运维管理费预测</w:t>
      </w:r>
    </w:p>
    <w:p>
      <w:pPr>
        <w:adjustRightInd w:val="0"/>
        <w:snapToGrid w:val="0"/>
        <w:ind w:firstLine="560"/>
        <w:rPr>
          <w:szCs w:val="28"/>
        </w:rPr>
      </w:pPr>
      <w:r>
        <w:rPr>
          <w:rFonts w:hint="eastAsia"/>
          <w:szCs w:val="28"/>
        </w:rPr>
        <w:t>参考城镇污水处理厂运行指标，考虑到农村生活污水治理设施布点分散的问题，A</w:t>
      </w:r>
      <w:r>
        <w:rPr>
          <w:rFonts w:hint="eastAsia"/>
          <w:szCs w:val="28"/>
          <w:vertAlign w:val="superscript"/>
        </w:rPr>
        <w:t>2</w:t>
      </w:r>
      <w:r>
        <w:rPr>
          <w:rFonts w:hint="eastAsia"/>
          <w:szCs w:val="28"/>
        </w:rPr>
        <w:t>/O工艺运维管理费用按照1</w:t>
      </w:r>
      <w:r>
        <w:rPr>
          <w:szCs w:val="28"/>
        </w:rPr>
        <w:t>.5</w:t>
      </w:r>
      <w:r>
        <w:rPr>
          <w:rFonts w:hint="eastAsia"/>
          <w:szCs w:val="28"/>
        </w:rPr>
        <w:t>元/ m</w:t>
      </w:r>
      <w:r>
        <w:rPr>
          <w:szCs w:val="28"/>
          <w:vertAlign w:val="superscript"/>
        </w:rPr>
        <w:t>3</w:t>
      </w:r>
      <w:r>
        <w:rPr>
          <w:rFonts w:hint="eastAsia"/>
          <w:szCs w:val="28"/>
        </w:rPr>
        <w:t>，</w:t>
      </w:r>
      <w:r>
        <w:rPr>
          <w:szCs w:val="28"/>
        </w:rPr>
        <w:t>人工快速按照</w:t>
      </w:r>
      <w:r>
        <w:rPr>
          <w:rFonts w:hint="eastAsia"/>
          <w:szCs w:val="28"/>
        </w:rPr>
        <w:t>0.4元/ m</w:t>
      </w:r>
      <w:r>
        <w:rPr>
          <w:rFonts w:hint="eastAsia"/>
          <w:szCs w:val="28"/>
          <w:vertAlign w:val="superscript"/>
        </w:rPr>
        <w:t>3</w:t>
      </w:r>
      <w:r>
        <w:rPr>
          <w:rFonts w:hint="eastAsia"/>
          <w:szCs w:val="28"/>
        </w:rPr>
        <w:t>，</w:t>
      </w:r>
      <w:r>
        <w:rPr>
          <w:szCs w:val="28"/>
        </w:rPr>
        <w:t>人工湿地按照</w:t>
      </w:r>
      <w:r>
        <w:rPr>
          <w:rFonts w:hint="eastAsia"/>
          <w:szCs w:val="28"/>
        </w:rPr>
        <w:t>0.3元/ m</w:t>
      </w:r>
      <w:r>
        <w:rPr>
          <w:rFonts w:hint="eastAsia"/>
          <w:szCs w:val="28"/>
          <w:vertAlign w:val="superscript"/>
        </w:rPr>
        <w:t>3</w:t>
      </w:r>
      <w:r>
        <w:rPr>
          <w:rFonts w:hint="eastAsia"/>
          <w:szCs w:val="28"/>
        </w:rPr>
        <w:t>测算，运维费用</w:t>
      </w:r>
      <w:r>
        <w:rPr>
          <w:szCs w:val="28"/>
        </w:rPr>
        <w:t>共</w:t>
      </w:r>
      <w:r>
        <w:rPr>
          <w:rFonts w:hint="eastAsia"/>
          <w:szCs w:val="28"/>
        </w:rPr>
        <w:t>93.97万元，户籍人口人头分摊为</w:t>
      </w:r>
      <w:r>
        <w:rPr>
          <w:szCs w:val="28"/>
        </w:rPr>
        <w:t>19.80</w:t>
      </w:r>
      <w:r>
        <w:rPr>
          <w:rFonts w:hint="eastAsia"/>
          <w:szCs w:val="28"/>
        </w:rPr>
        <w:t>元/人。</w:t>
      </w:r>
    </w:p>
    <w:p>
      <w:pPr>
        <w:widowControl/>
        <w:ind w:firstLine="560"/>
        <w:jc w:val="left"/>
        <w:rPr>
          <w:szCs w:val="28"/>
        </w:rPr>
      </w:pPr>
      <w:r>
        <w:rPr>
          <w:szCs w:val="28"/>
        </w:rPr>
        <w:br w:type="page"/>
      </w:r>
    </w:p>
    <w:p>
      <w:pPr>
        <w:ind w:firstLine="198" w:firstLineChars="55"/>
        <w:jc w:val="left"/>
        <w:outlineLvl w:val="0"/>
        <w:rPr>
          <w:rFonts w:eastAsia="方正小标宋_GBK"/>
          <w:sz w:val="36"/>
          <w:szCs w:val="36"/>
        </w:rPr>
      </w:pPr>
      <w:bookmarkStart w:id="109" w:name="_Toc39930938"/>
      <w:bookmarkStart w:id="110" w:name="_Toc43042555"/>
      <w:r>
        <w:rPr>
          <w:rFonts w:hint="eastAsia" w:eastAsia="方正小标宋_GBK"/>
          <w:sz w:val="36"/>
          <w:szCs w:val="36"/>
        </w:rPr>
        <w:t>第七章</w:t>
      </w:r>
      <w:r>
        <w:rPr>
          <w:rFonts w:eastAsia="方正小标宋_GBK"/>
          <w:sz w:val="36"/>
          <w:szCs w:val="36"/>
        </w:rPr>
        <w:t>分期实施计划</w:t>
      </w:r>
      <w:bookmarkEnd w:id="109"/>
      <w:bookmarkEnd w:id="110"/>
    </w:p>
    <w:p>
      <w:pPr>
        <w:adjustRightInd w:val="0"/>
        <w:snapToGrid w:val="0"/>
        <w:ind w:firstLine="560"/>
        <w:rPr>
          <w:szCs w:val="28"/>
        </w:rPr>
      </w:pPr>
      <w:r>
        <w:rPr>
          <w:rFonts w:hint="eastAsia"/>
          <w:szCs w:val="28"/>
        </w:rPr>
        <w:t>根据分区指导思想，结合分期实施重点，对</w:t>
      </w:r>
      <w:r>
        <w:rPr>
          <w:szCs w:val="28"/>
        </w:rPr>
        <w:t>晋宁县</w:t>
      </w:r>
      <w:r>
        <w:rPr>
          <w:rFonts w:hint="eastAsia"/>
          <w:szCs w:val="28"/>
        </w:rPr>
        <w:t>范围内农村生活污水按照因地因时制宜、突出重点、梯度推进的思想进行分步治理，项目按照近期、中期和远期分年度实施。近、中、远期按照乡镇行政村细分投资计划。分期实施计划如下表所示。</w:t>
      </w:r>
    </w:p>
    <w:p>
      <w:pPr>
        <w:adjustRightInd w:val="0"/>
        <w:snapToGrid w:val="0"/>
        <w:ind w:firstLine="560"/>
        <w:jc w:val="center"/>
        <w:rPr>
          <w:szCs w:val="28"/>
        </w:rPr>
      </w:pPr>
      <w:r>
        <w:rPr>
          <w:rFonts w:hint="eastAsia"/>
          <w:szCs w:val="28"/>
        </w:rPr>
        <w:t>表7-1各期</w:t>
      </w:r>
      <w:r>
        <w:rPr>
          <w:szCs w:val="28"/>
        </w:rPr>
        <w:t>实施计划表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3"/>
        <w:gridCol w:w="2742"/>
        <w:gridCol w:w="3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92" w:type="pct"/>
            <w:shd w:val="clear" w:color="DCE6F1" w:fill="DCE6F1"/>
            <w:noWrap/>
            <w:vAlign w:val="center"/>
          </w:tcPr>
          <w:p>
            <w:pPr>
              <w:widowControl/>
              <w:spacing w:line="240" w:lineRule="auto"/>
              <w:ind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分期</w:t>
            </w:r>
          </w:p>
        </w:tc>
        <w:tc>
          <w:tcPr>
            <w:tcW w:w="1356" w:type="pct"/>
            <w:shd w:val="clear" w:color="DCE6F1" w:fill="DCE6F1"/>
            <w:noWrap/>
            <w:vAlign w:val="center"/>
          </w:tcPr>
          <w:p>
            <w:pPr>
              <w:widowControl/>
              <w:spacing w:line="240" w:lineRule="auto"/>
              <w:ind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总投资（万元）</w:t>
            </w:r>
          </w:p>
        </w:tc>
        <w:tc>
          <w:tcPr>
            <w:tcW w:w="1852" w:type="pct"/>
            <w:shd w:val="clear" w:color="DCE6F1" w:fill="DCE6F1"/>
            <w:noWrap/>
            <w:vAlign w:val="center"/>
          </w:tcPr>
          <w:p>
            <w:pPr>
              <w:widowControl/>
              <w:spacing w:line="240" w:lineRule="auto"/>
              <w:ind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实施自然村个数</w:t>
            </w:r>
            <w:r>
              <w:rPr>
                <w:rFonts w:ascii="宋体" w:hAnsi="宋体" w:cs="宋体"/>
                <w:b/>
                <w:bCs/>
                <w:color w:val="000000"/>
                <w:kern w:val="0"/>
                <w:sz w:val="24"/>
                <w:szCs w:val="24"/>
              </w:rPr>
              <w:t>（</w:t>
            </w:r>
            <w:r>
              <w:rPr>
                <w:rFonts w:hint="eastAsia" w:ascii="宋体" w:hAnsi="宋体" w:cs="宋体"/>
                <w:b/>
                <w:bCs/>
                <w:color w:val="000000"/>
                <w:kern w:val="0"/>
                <w:sz w:val="24"/>
                <w:szCs w:val="24"/>
              </w:rPr>
              <w:t>个</w:t>
            </w:r>
            <w:r>
              <w:rPr>
                <w:rFonts w:ascii="宋体" w:hAnsi="宋体" w:cs="宋体"/>
                <w:b/>
                <w:bCs/>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92"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近期</w:t>
            </w:r>
            <w:r>
              <w:rPr>
                <w:rFonts w:ascii="宋体" w:hAnsi="宋体" w:cs="宋体"/>
                <w:color w:val="000000"/>
                <w:kern w:val="0"/>
                <w:sz w:val="24"/>
                <w:szCs w:val="24"/>
              </w:rPr>
              <w:t>2020</w:t>
            </w:r>
          </w:p>
        </w:tc>
        <w:tc>
          <w:tcPr>
            <w:tcW w:w="1356"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hint="eastAsia"/>
                <w:color w:val="000000"/>
                <w:sz w:val="22"/>
              </w:rPr>
              <w:t>791.14</w:t>
            </w:r>
          </w:p>
        </w:tc>
        <w:tc>
          <w:tcPr>
            <w:tcW w:w="1852"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ascii="宋体" w:hAnsi="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92"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中期</w:t>
            </w:r>
            <w:r>
              <w:rPr>
                <w:rFonts w:ascii="宋体" w:hAnsi="宋体" w:cs="宋体"/>
                <w:color w:val="000000"/>
                <w:kern w:val="0"/>
                <w:sz w:val="24"/>
                <w:szCs w:val="24"/>
              </w:rPr>
              <w:t>2021</w:t>
            </w:r>
          </w:p>
        </w:tc>
        <w:tc>
          <w:tcPr>
            <w:tcW w:w="1356"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hint="eastAsia"/>
                <w:color w:val="000000"/>
                <w:sz w:val="22"/>
              </w:rPr>
              <w:t>748.20</w:t>
            </w:r>
          </w:p>
        </w:tc>
        <w:tc>
          <w:tcPr>
            <w:tcW w:w="1852"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ascii="宋体" w:hAnsi="宋体" w:cs="宋体"/>
                <w:color w:val="000000"/>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92"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中期</w:t>
            </w:r>
            <w:r>
              <w:rPr>
                <w:rFonts w:ascii="宋体" w:hAnsi="宋体" w:cs="宋体"/>
                <w:color w:val="000000"/>
                <w:kern w:val="0"/>
                <w:sz w:val="24"/>
                <w:szCs w:val="24"/>
              </w:rPr>
              <w:t>2022</w:t>
            </w:r>
          </w:p>
        </w:tc>
        <w:tc>
          <w:tcPr>
            <w:tcW w:w="1356"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hint="eastAsia"/>
                <w:color w:val="000000"/>
                <w:sz w:val="22"/>
              </w:rPr>
              <w:t>2018.36</w:t>
            </w:r>
          </w:p>
        </w:tc>
        <w:tc>
          <w:tcPr>
            <w:tcW w:w="1852"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ascii="宋体" w:hAnsi="宋体" w:cs="宋体"/>
                <w:color w:val="000000"/>
                <w:kern w:val="0"/>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92"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中期</w:t>
            </w:r>
            <w:r>
              <w:rPr>
                <w:rFonts w:ascii="宋体" w:hAnsi="宋体" w:cs="宋体"/>
                <w:color w:val="000000"/>
                <w:kern w:val="0"/>
                <w:sz w:val="24"/>
                <w:szCs w:val="24"/>
              </w:rPr>
              <w:t>2023</w:t>
            </w:r>
          </w:p>
        </w:tc>
        <w:tc>
          <w:tcPr>
            <w:tcW w:w="1356"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hint="eastAsia"/>
                <w:color w:val="000000"/>
                <w:sz w:val="22"/>
              </w:rPr>
              <w:t>2077.34</w:t>
            </w:r>
          </w:p>
        </w:tc>
        <w:tc>
          <w:tcPr>
            <w:tcW w:w="1852"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ascii="宋体" w:hAnsi="宋体" w:cs="宋体"/>
                <w:color w:val="000000"/>
                <w:kern w:val="0"/>
                <w:sz w:val="24"/>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92"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中期</w:t>
            </w:r>
            <w:r>
              <w:rPr>
                <w:rFonts w:ascii="宋体" w:hAnsi="宋体" w:cs="宋体"/>
                <w:color w:val="000000"/>
                <w:kern w:val="0"/>
                <w:sz w:val="24"/>
                <w:szCs w:val="24"/>
              </w:rPr>
              <w:t>2024</w:t>
            </w:r>
          </w:p>
        </w:tc>
        <w:tc>
          <w:tcPr>
            <w:tcW w:w="1356"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hint="eastAsia"/>
                <w:color w:val="000000"/>
                <w:sz w:val="22"/>
              </w:rPr>
              <w:t>2022.80</w:t>
            </w:r>
          </w:p>
        </w:tc>
        <w:tc>
          <w:tcPr>
            <w:tcW w:w="1852"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ascii="宋体" w:hAnsi="宋体" w:cs="宋体"/>
                <w:color w:val="000000"/>
                <w:kern w:val="0"/>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92"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中期</w:t>
            </w:r>
            <w:r>
              <w:rPr>
                <w:rFonts w:ascii="宋体" w:hAnsi="宋体" w:cs="宋体"/>
                <w:color w:val="000000"/>
                <w:kern w:val="0"/>
                <w:sz w:val="24"/>
                <w:szCs w:val="24"/>
              </w:rPr>
              <w:t>2025</w:t>
            </w:r>
          </w:p>
        </w:tc>
        <w:tc>
          <w:tcPr>
            <w:tcW w:w="1356"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hint="eastAsia"/>
                <w:color w:val="000000"/>
                <w:sz w:val="22"/>
              </w:rPr>
              <w:t>1925.45</w:t>
            </w:r>
          </w:p>
        </w:tc>
        <w:tc>
          <w:tcPr>
            <w:tcW w:w="1852"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ascii="宋体" w:hAnsi="宋体" w:cs="宋体"/>
                <w:color w:val="000000"/>
                <w:kern w:val="0"/>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92"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远期2026-2030</w:t>
            </w:r>
          </w:p>
        </w:tc>
        <w:tc>
          <w:tcPr>
            <w:tcW w:w="1356"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hint="eastAsia"/>
                <w:color w:val="000000"/>
                <w:sz w:val="22"/>
              </w:rPr>
              <w:t>2318.61</w:t>
            </w:r>
          </w:p>
        </w:tc>
        <w:tc>
          <w:tcPr>
            <w:tcW w:w="1852" w:type="pct"/>
            <w:shd w:val="clear" w:color="auto" w:fill="auto"/>
            <w:noWrap/>
            <w:vAlign w:val="center"/>
          </w:tcPr>
          <w:p>
            <w:pPr>
              <w:widowControl/>
              <w:spacing w:line="240" w:lineRule="auto"/>
              <w:ind w:firstLine="0" w:firstLineChars="0"/>
              <w:jc w:val="center"/>
              <w:rPr>
                <w:rFonts w:ascii="宋体" w:hAnsi="宋体" w:cs="宋体"/>
                <w:color w:val="000000"/>
                <w:kern w:val="0"/>
                <w:sz w:val="24"/>
                <w:szCs w:val="24"/>
              </w:rPr>
            </w:pPr>
            <w:r>
              <w:rPr>
                <w:rFonts w:hint="eastAsia" w:ascii="宋体" w:hAnsi="宋体" w:cs="宋体"/>
                <w:color w:val="000000"/>
                <w:kern w:val="0"/>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92" w:type="pct"/>
            <w:shd w:val="clear" w:color="DCE6F1" w:fill="DCE6F1"/>
            <w:noWrap/>
            <w:vAlign w:val="center"/>
          </w:tcPr>
          <w:p>
            <w:pPr>
              <w:widowControl/>
              <w:spacing w:line="240" w:lineRule="auto"/>
              <w:ind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总计</w:t>
            </w:r>
          </w:p>
        </w:tc>
        <w:tc>
          <w:tcPr>
            <w:tcW w:w="1356" w:type="pct"/>
            <w:shd w:val="clear" w:color="DCE6F1" w:fill="DCE6F1"/>
            <w:noWrap/>
            <w:vAlign w:val="center"/>
          </w:tcPr>
          <w:p>
            <w:pPr>
              <w:widowControl/>
              <w:spacing w:line="240" w:lineRule="auto"/>
              <w:ind w:firstLine="0" w:firstLineChars="0"/>
              <w:jc w:val="center"/>
              <w:rPr>
                <w:rFonts w:ascii="宋体" w:hAnsi="宋体" w:cs="宋体"/>
                <w:b/>
                <w:bCs/>
                <w:color w:val="000000"/>
                <w:kern w:val="0"/>
                <w:sz w:val="24"/>
                <w:szCs w:val="24"/>
              </w:rPr>
            </w:pPr>
            <w:r>
              <w:rPr>
                <w:rFonts w:hint="eastAsia"/>
                <w:b/>
                <w:bCs/>
                <w:color w:val="000000"/>
                <w:sz w:val="22"/>
              </w:rPr>
              <w:t>11901.89</w:t>
            </w:r>
          </w:p>
        </w:tc>
        <w:tc>
          <w:tcPr>
            <w:tcW w:w="1852" w:type="pct"/>
            <w:shd w:val="clear" w:color="DCE6F1" w:fill="DCE6F1"/>
            <w:noWrap/>
            <w:vAlign w:val="center"/>
          </w:tcPr>
          <w:p>
            <w:pPr>
              <w:widowControl/>
              <w:spacing w:line="240" w:lineRule="auto"/>
              <w:ind w:firstLine="0" w:firstLineChars="0"/>
              <w:jc w:val="center"/>
              <w:rPr>
                <w:rFonts w:ascii="宋体" w:hAnsi="宋体" w:cs="宋体"/>
                <w:b/>
                <w:bCs/>
                <w:color w:val="000000"/>
                <w:kern w:val="0"/>
                <w:sz w:val="24"/>
                <w:szCs w:val="24"/>
              </w:rPr>
            </w:pPr>
            <w:r>
              <w:rPr>
                <w:rFonts w:ascii="宋体" w:hAnsi="宋体" w:cs="宋体"/>
                <w:b/>
                <w:bCs/>
                <w:color w:val="000000"/>
                <w:kern w:val="0"/>
                <w:sz w:val="24"/>
                <w:szCs w:val="24"/>
              </w:rPr>
              <w:t>142</w:t>
            </w:r>
          </w:p>
        </w:tc>
      </w:tr>
    </w:tbl>
    <w:p>
      <w:pPr>
        <w:adjustRightInd w:val="0"/>
        <w:snapToGrid w:val="0"/>
        <w:ind w:firstLine="560"/>
      </w:pPr>
    </w:p>
    <w:p>
      <w:pPr>
        <w:adjustRightInd w:val="0"/>
        <w:snapToGrid w:val="0"/>
        <w:ind w:firstLine="562"/>
        <w:jc w:val="center"/>
        <w:rPr>
          <w:b/>
          <w:bCs/>
          <w:szCs w:val="28"/>
        </w:rPr>
      </w:pPr>
      <w:r>
        <w:rPr>
          <w:rFonts w:hint="eastAsia"/>
          <w:b/>
          <w:bCs/>
          <w:szCs w:val="28"/>
        </w:rPr>
        <w:t>表</w:t>
      </w:r>
      <w:r>
        <w:rPr>
          <w:b/>
          <w:bCs/>
          <w:szCs w:val="28"/>
        </w:rPr>
        <w:t>7-2</w:t>
      </w:r>
      <w:r>
        <w:rPr>
          <w:rFonts w:hint="eastAsia"/>
          <w:b/>
          <w:bCs/>
          <w:szCs w:val="28"/>
        </w:rPr>
        <w:t>晋宁县农村生活污水治理实施计划（近期2020年）</w:t>
      </w:r>
    </w:p>
    <w:tbl>
      <w:tblPr>
        <w:tblStyle w:val="26"/>
        <w:tblW w:w="5000" w:type="pct"/>
        <w:jc w:val="center"/>
        <w:tblLayout w:type="autofit"/>
        <w:tblCellMar>
          <w:top w:w="0" w:type="dxa"/>
          <w:left w:w="108" w:type="dxa"/>
          <w:bottom w:w="0" w:type="dxa"/>
          <w:right w:w="108" w:type="dxa"/>
        </w:tblCellMar>
      </w:tblPr>
      <w:tblGrid>
        <w:gridCol w:w="4622"/>
        <w:gridCol w:w="5488"/>
      </w:tblGrid>
      <w:tr>
        <w:tblPrEx>
          <w:tblCellMar>
            <w:top w:w="0" w:type="dxa"/>
            <w:left w:w="108" w:type="dxa"/>
            <w:bottom w:w="0" w:type="dxa"/>
            <w:right w:w="108" w:type="dxa"/>
          </w:tblCellMar>
        </w:tblPrEx>
        <w:trPr>
          <w:trHeight w:val="270" w:hRule="atLeast"/>
          <w:tblHeader/>
          <w:jc w:val="center"/>
        </w:trPr>
        <w:tc>
          <w:tcPr>
            <w:tcW w:w="2286"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乡镇/行政村</w:t>
            </w:r>
            <w:r>
              <w:rPr>
                <w:rFonts w:ascii="宋体" w:hAnsi="宋体" w:cs="宋体"/>
                <w:b/>
                <w:bCs/>
                <w:kern w:val="0"/>
                <w:sz w:val="22"/>
              </w:rPr>
              <w:t>/</w:t>
            </w:r>
            <w:r>
              <w:rPr>
                <w:rFonts w:hint="eastAsia" w:ascii="宋体" w:hAnsi="宋体" w:cs="宋体"/>
                <w:b/>
                <w:bCs/>
                <w:kern w:val="0"/>
                <w:sz w:val="22"/>
              </w:rPr>
              <w:t>自然村</w:t>
            </w:r>
          </w:p>
        </w:tc>
        <w:tc>
          <w:tcPr>
            <w:tcW w:w="2714"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总投资（万元）</w:t>
            </w:r>
          </w:p>
        </w:tc>
      </w:tr>
      <w:tr>
        <w:tblPrEx>
          <w:tblCellMar>
            <w:top w:w="0" w:type="dxa"/>
            <w:left w:w="108" w:type="dxa"/>
            <w:bottom w:w="0" w:type="dxa"/>
            <w:right w:w="108" w:type="dxa"/>
          </w:tblCellMar>
        </w:tblPrEx>
        <w:trPr>
          <w:trHeight w:val="270" w:hRule="atLeast"/>
          <w:jc w:val="center"/>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宝峰街道</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169.74</w:t>
            </w:r>
          </w:p>
        </w:tc>
      </w:tr>
      <w:tr>
        <w:tblPrEx>
          <w:tblCellMar>
            <w:top w:w="0" w:type="dxa"/>
            <w:left w:w="108" w:type="dxa"/>
            <w:bottom w:w="0" w:type="dxa"/>
            <w:right w:w="108" w:type="dxa"/>
          </w:tblCellMar>
        </w:tblPrEx>
        <w:trPr>
          <w:trHeight w:val="270" w:hRule="atLeast"/>
          <w:jc w:val="center"/>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清水河村委会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169.74</w:t>
            </w:r>
          </w:p>
        </w:tc>
      </w:tr>
      <w:tr>
        <w:tblPrEx>
          <w:tblCellMar>
            <w:top w:w="0" w:type="dxa"/>
            <w:left w:w="108" w:type="dxa"/>
            <w:bottom w:w="0" w:type="dxa"/>
            <w:right w:w="108" w:type="dxa"/>
          </w:tblCellMar>
        </w:tblPrEx>
        <w:trPr>
          <w:trHeight w:val="270" w:hRule="atLeast"/>
          <w:jc w:val="center"/>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清水河</w:t>
            </w:r>
          </w:p>
        </w:tc>
        <w:tc>
          <w:tcPr>
            <w:tcW w:w="271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169.74</w:t>
            </w:r>
          </w:p>
        </w:tc>
      </w:tr>
      <w:tr>
        <w:tblPrEx>
          <w:tblCellMar>
            <w:top w:w="0" w:type="dxa"/>
            <w:left w:w="108" w:type="dxa"/>
            <w:bottom w:w="0" w:type="dxa"/>
            <w:right w:w="108" w:type="dxa"/>
          </w:tblCellMar>
        </w:tblPrEx>
        <w:trPr>
          <w:trHeight w:val="270" w:hRule="atLeast"/>
          <w:jc w:val="center"/>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二街镇</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17.21</w:t>
            </w:r>
          </w:p>
        </w:tc>
      </w:tr>
      <w:tr>
        <w:tblPrEx>
          <w:tblCellMar>
            <w:top w:w="0" w:type="dxa"/>
            <w:left w:w="108" w:type="dxa"/>
            <w:bottom w:w="0" w:type="dxa"/>
            <w:right w:w="108" w:type="dxa"/>
          </w:tblCellMar>
        </w:tblPrEx>
        <w:trPr>
          <w:trHeight w:val="270" w:hRule="atLeast"/>
          <w:jc w:val="center"/>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肖家村委会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17.21</w:t>
            </w:r>
          </w:p>
        </w:tc>
      </w:tr>
      <w:tr>
        <w:tblPrEx>
          <w:tblCellMar>
            <w:top w:w="0" w:type="dxa"/>
            <w:left w:w="108" w:type="dxa"/>
            <w:bottom w:w="0" w:type="dxa"/>
            <w:right w:w="108" w:type="dxa"/>
          </w:tblCellMar>
        </w:tblPrEx>
        <w:trPr>
          <w:trHeight w:val="270" w:hRule="atLeast"/>
          <w:jc w:val="center"/>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螃蟹河</w:t>
            </w:r>
          </w:p>
        </w:tc>
        <w:tc>
          <w:tcPr>
            <w:tcW w:w="271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17.21</w:t>
            </w:r>
          </w:p>
        </w:tc>
      </w:tr>
      <w:tr>
        <w:tblPrEx>
          <w:tblCellMar>
            <w:top w:w="0" w:type="dxa"/>
            <w:left w:w="108" w:type="dxa"/>
            <w:bottom w:w="0" w:type="dxa"/>
            <w:right w:w="108" w:type="dxa"/>
          </w:tblCellMar>
        </w:tblPrEx>
        <w:trPr>
          <w:trHeight w:val="270" w:hRule="atLeast"/>
          <w:jc w:val="center"/>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晋城镇</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176.27</w:t>
            </w:r>
          </w:p>
        </w:tc>
      </w:tr>
      <w:tr>
        <w:tblPrEx>
          <w:tblCellMar>
            <w:top w:w="0" w:type="dxa"/>
            <w:left w:w="108" w:type="dxa"/>
            <w:bottom w:w="0" w:type="dxa"/>
            <w:right w:w="108" w:type="dxa"/>
          </w:tblCellMar>
        </w:tblPrEx>
        <w:trPr>
          <w:trHeight w:val="270" w:hRule="atLeast"/>
          <w:jc w:val="center"/>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安乐村委会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40.36</w:t>
            </w:r>
          </w:p>
        </w:tc>
      </w:tr>
      <w:tr>
        <w:tblPrEx>
          <w:tblCellMar>
            <w:top w:w="0" w:type="dxa"/>
            <w:left w:w="108" w:type="dxa"/>
            <w:bottom w:w="0" w:type="dxa"/>
            <w:right w:w="108" w:type="dxa"/>
          </w:tblCellMar>
        </w:tblPrEx>
        <w:trPr>
          <w:trHeight w:val="270" w:hRule="atLeast"/>
          <w:jc w:val="center"/>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大河尾</w:t>
            </w:r>
          </w:p>
        </w:tc>
        <w:tc>
          <w:tcPr>
            <w:tcW w:w="271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40.36</w:t>
            </w:r>
          </w:p>
        </w:tc>
      </w:tr>
      <w:tr>
        <w:tblPrEx>
          <w:tblCellMar>
            <w:top w:w="0" w:type="dxa"/>
            <w:left w:w="108" w:type="dxa"/>
            <w:bottom w:w="0" w:type="dxa"/>
            <w:right w:w="108" w:type="dxa"/>
          </w:tblCellMar>
        </w:tblPrEx>
        <w:trPr>
          <w:trHeight w:val="270" w:hRule="atLeast"/>
          <w:jc w:val="center"/>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孙家坝村委会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6.53</w:t>
            </w:r>
          </w:p>
        </w:tc>
      </w:tr>
      <w:tr>
        <w:tblPrEx>
          <w:tblCellMar>
            <w:top w:w="0" w:type="dxa"/>
            <w:left w:w="108" w:type="dxa"/>
            <w:bottom w:w="0" w:type="dxa"/>
            <w:right w:w="108" w:type="dxa"/>
          </w:tblCellMar>
        </w:tblPrEx>
        <w:trPr>
          <w:trHeight w:val="270" w:hRule="atLeast"/>
          <w:jc w:val="center"/>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土家村</w:t>
            </w:r>
          </w:p>
        </w:tc>
        <w:tc>
          <w:tcPr>
            <w:tcW w:w="271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6.53</w:t>
            </w:r>
          </w:p>
        </w:tc>
      </w:tr>
      <w:tr>
        <w:tblPrEx>
          <w:tblCellMar>
            <w:top w:w="0" w:type="dxa"/>
            <w:left w:w="108" w:type="dxa"/>
            <w:bottom w:w="0" w:type="dxa"/>
            <w:right w:w="108" w:type="dxa"/>
          </w:tblCellMar>
        </w:tblPrEx>
        <w:trPr>
          <w:trHeight w:val="270" w:hRule="atLeast"/>
          <w:jc w:val="center"/>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新街村委会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129.38</w:t>
            </w:r>
          </w:p>
        </w:tc>
      </w:tr>
      <w:tr>
        <w:tblPrEx>
          <w:tblCellMar>
            <w:top w:w="0" w:type="dxa"/>
            <w:left w:w="108" w:type="dxa"/>
            <w:bottom w:w="0" w:type="dxa"/>
            <w:right w:w="108" w:type="dxa"/>
          </w:tblCellMar>
        </w:tblPrEx>
        <w:trPr>
          <w:trHeight w:val="270" w:hRule="atLeast"/>
          <w:jc w:val="center"/>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牛王寺</w:t>
            </w:r>
          </w:p>
        </w:tc>
        <w:tc>
          <w:tcPr>
            <w:tcW w:w="271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129.38</w:t>
            </w:r>
          </w:p>
        </w:tc>
      </w:tr>
      <w:tr>
        <w:tblPrEx>
          <w:tblCellMar>
            <w:top w:w="0" w:type="dxa"/>
            <w:left w:w="108" w:type="dxa"/>
            <w:bottom w:w="0" w:type="dxa"/>
            <w:right w:w="108" w:type="dxa"/>
          </w:tblCellMar>
        </w:tblPrEx>
        <w:trPr>
          <w:trHeight w:val="270" w:hRule="atLeast"/>
          <w:jc w:val="center"/>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昆阳街道办事处</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427.91</w:t>
            </w:r>
          </w:p>
        </w:tc>
      </w:tr>
      <w:tr>
        <w:tblPrEx>
          <w:tblCellMar>
            <w:top w:w="0" w:type="dxa"/>
            <w:left w:w="108" w:type="dxa"/>
            <w:bottom w:w="0" w:type="dxa"/>
            <w:right w:w="108" w:type="dxa"/>
          </w:tblCellMar>
        </w:tblPrEx>
        <w:trPr>
          <w:trHeight w:val="270" w:hRule="atLeast"/>
          <w:jc w:val="center"/>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回龙村委会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316.34</w:t>
            </w:r>
          </w:p>
        </w:tc>
      </w:tr>
      <w:tr>
        <w:tblPrEx>
          <w:tblCellMar>
            <w:top w:w="0" w:type="dxa"/>
            <w:left w:w="108" w:type="dxa"/>
            <w:bottom w:w="0" w:type="dxa"/>
            <w:right w:w="108" w:type="dxa"/>
          </w:tblCellMar>
        </w:tblPrEx>
        <w:trPr>
          <w:trHeight w:val="270" w:hRule="atLeast"/>
          <w:jc w:val="center"/>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回龙村</w:t>
            </w:r>
          </w:p>
        </w:tc>
        <w:tc>
          <w:tcPr>
            <w:tcW w:w="271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108.02</w:t>
            </w:r>
          </w:p>
        </w:tc>
      </w:tr>
      <w:tr>
        <w:tblPrEx>
          <w:tblCellMar>
            <w:top w:w="0" w:type="dxa"/>
            <w:left w:w="108" w:type="dxa"/>
            <w:bottom w:w="0" w:type="dxa"/>
            <w:right w:w="108" w:type="dxa"/>
          </w:tblCellMar>
        </w:tblPrEx>
        <w:trPr>
          <w:trHeight w:val="270" w:hRule="atLeast"/>
          <w:jc w:val="center"/>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麦地村</w:t>
            </w:r>
          </w:p>
        </w:tc>
        <w:tc>
          <w:tcPr>
            <w:tcW w:w="271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208.32</w:t>
            </w:r>
          </w:p>
        </w:tc>
      </w:tr>
      <w:tr>
        <w:tblPrEx>
          <w:tblCellMar>
            <w:top w:w="0" w:type="dxa"/>
            <w:left w:w="108" w:type="dxa"/>
            <w:bottom w:w="0" w:type="dxa"/>
            <w:right w:w="108" w:type="dxa"/>
          </w:tblCellMar>
        </w:tblPrEx>
        <w:trPr>
          <w:trHeight w:val="270" w:hRule="atLeast"/>
          <w:jc w:val="center"/>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瓦窑村委会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111.58</w:t>
            </w:r>
          </w:p>
        </w:tc>
      </w:tr>
      <w:tr>
        <w:tblPrEx>
          <w:tblCellMar>
            <w:top w:w="0" w:type="dxa"/>
            <w:left w:w="108" w:type="dxa"/>
            <w:bottom w:w="0" w:type="dxa"/>
            <w:right w:w="108" w:type="dxa"/>
          </w:tblCellMar>
        </w:tblPrEx>
        <w:trPr>
          <w:trHeight w:val="270" w:hRule="atLeast"/>
          <w:jc w:val="center"/>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袁家营</w:t>
            </w:r>
          </w:p>
        </w:tc>
        <w:tc>
          <w:tcPr>
            <w:tcW w:w="2714"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40"/>
              <w:jc w:val="center"/>
              <w:rPr>
                <w:rFonts w:ascii="宋体" w:hAnsi="宋体" w:cs="宋体"/>
                <w:kern w:val="0"/>
                <w:sz w:val="22"/>
              </w:rPr>
            </w:pPr>
            <w:r>
              <w:rPr>
                <w:rFonts w:hint="eastAsia" w:ascii="宋体" w:hAnsi="宋体" w:cs="宋体"/>
                <w:kern w:val="0"/>
                <w:sz w:val="22"/>
              </w:rPr>
              <w:t>111.58</w:t>
            </w:r>
          </w:p>
        </w:tc>
      </w:tr>
      <w:tr>
        <w:tblPrEx>
          <w:tblCellMar>
            <w:top w:w="0" w:type="dxa"/>
            <w:left w:w="108" w:type="dxa"/>
            <w:bottom w:w="0" w:type="dxa"/>
            <w:right w:w="108" w:type="dxa"/>
          </w:tblCellMar>
        </w:tblPrEx>
        <w:trPr>
          <w:trHeight w:val="270" w:hRule="atLeast"/>
          <w:jc w:val="center"/>
        </w:trPr>
        <w:tc>
          <w:tcPr>
            <w:tcW w:w="2286"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总计</w:t>
            </w:r>
          </w:p>
        </w:tc>
        <w:tc>
          <w:tcPr>
            <w:tcW w:w="2714"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ind w:firstLine="442"/>
              <w:jc w:val="center"/>
              <w:rPr>
                <w:rFonts w:ascii="宋体" w:hAnsi="宋体" w:cs="宋体"/>
                <w:b/>
                <w:bCs/>
                <w:kern w:val="0"/>
                <w:sz w:val="22"/>
              </w:rPr>
            </w:pPr>
            <w:r>
              <w:rPr>
                <w:rFonts w:hint="eastAsia" w:ascii="宋体" w:hAnsi="宋体" w:cs="宋体"/>
                <w:b/>
                <w:bCs/>
                <w:kern w:val="0"/>
                <w:sz w:val="22"/>
              </w:rPr>
              <w:t>791.14</w:t>
            </w:r>
          </w:p>
        </w:tc>
      </w:tr>
    </w:tbl>
    <w:p>
      <w:pPr>
        <w:adjustRightInd w:val="0"/>
        <w:snapToGrid w:val="0"/>
        <w:ind w:firstLine="562"/>
        <w:jc w:val="center"/>
        <w:rPr>
          <w:b/>
          <w:bCs/>
          <w:szCs w:val="28"/>
        </w:rPr>
      </w:pPr>
      <w:r>
        <w:rPr>
          <w:rFonts w:hint="eastAsia"/>
          <w:b/>
          <w:bCs/>
          <w:szCs w:val="28"/>
        </w:rPr>
        <w:t>表</w:t>
      </w:r>
      <w:r>
        <w:rPr>
          <w:b/>
          <w:bCs/>
          <w:szCs w:val="28"/>
        </w:rPr>
        <w:t>7-3</w:t>
      </w:r>
      <w:r>
        <w:rPr>
          <w:rFonts w:hint="eastAsia"/>
          <w:b/>
          <w:bCs/>
          <w:szCs w:val="28"/>
        </w:rPr>
        <w:t>晋宁县农村生活污水治理实施计划（中期2021）</w:t>
      </w:r>
    </w:p>
    <w:tbl>
      <w:tblPr>
        <w:tblStyle w:val="26"/>
        <w:tblW w:w="5000" w:type="pct"/>
        <w:tblInd w:w="0" w:type="dxa"/>
        <w:tblLayout w:type="autofit"/>
        <w:tblCellMar>
          <w:top w:w="0" w:type="dxa"/>
          <w:left w:w="108" w:type="dxa"/>
          <w:bottom w:w="0" w:type="dxa"/>
          <w:right w:w="108" w:type="dxa"/>
        </w:tblCellMar>
      </w:tblPr>
      <w:tblGrid>
        <w:gridCol w:w="4742"/>
        <w:gridCol w:w="5368"/>
      </w:tblGrid>
      <w:tr>
        <w:tblPrEx>
          <w:tblCellMar>
            <w:top w:w="0" w:type="dxa"/>
            <w:left w:w="108" w:type="dxa"/>
            <w:bottom w:w="0" w:type="dxa"/>
            <w:right w:w="108" w:type="dxa"/>
          </w:tblCellMar>
        </w:tblPrEx>
        <w:trPr>
          <w:trHeight w:val="270" w:hRule="atLeast"/>
          <w:tblHeader/>
        </w:trPr>
        <w:tc>
          <w:tcPr>
            <w:tcW w:w="234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乡镇/行政村</w:t>
            </w:r>
            <w:r>
              <w:rPr>
                <w:rFonts w:ascii="宋体" w:hAnsi="宋体" w:cs="宋体"/>
                <w:b/>
                <w:bCs/>
                <w:kern w:val="0"/>
                <w:sz w:val="24"/>
              </w:rPr>
              <w:t>/</w:t>
            </w:r>
            <w:r>
              <w:rPr>
                <w:rFonts w:hint="eastAsia" w:ascii="宋体" w:hAnsi="宋体" w:cs="宋体"/>
                <w:b/>
                <w:bCs/>
                <w:kern w:val="0"/>
                <w:sz w:val="24"/>
              </w:rPr>
              <w:t>自然村</w:t>
            </w:r>
          </w:p>
        </w:tc>
        <w:tc>
          <w:tcPr>
            <w:tcW w:w="265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总投资（万元）</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宝峰街道</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607.46</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海龙村委会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217.41</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海龙</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217.41</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韩家营村委会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150.42</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八街子</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150.42</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酸水塘村委会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142.11</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酸水塘上村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142.11</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中和铺村委会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97.53</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上大村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97.53</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晋城镇</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1215.71</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富有村委会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663.70</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大村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663.70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广济村委会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479.47</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大村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479.47</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永和村委会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72.54</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西大营</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72.54</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昆阳街道办事处</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195.19</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大新村委会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195.19</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大新城村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195.19</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总计</w:t>
            </w:r>
          </w:p>
        </w:tc>
        <w:tc>
          <w:tcPr>
            <w:tcW w:w="265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2018.36</w:t>
            </w:r>
          </w:p>
        </w:tc>
      </w:tr>
    </w:tbl>
    <w:p>
      <w:pPr>
        <w:adjustRightInd w:val="0"/>
        <w:snapToGrid w:val="0"/>
        <w:ind w:firstLine="562"/>
        <w:jc w:val="center"/>
        <w:rPr>
          <w:b/>
          <w:bCs/>
          <w:szCs w:val="28"/>
        </w:rPr>
      </w:pPr>
      <w:r>
        <w:rPr>
          <w:rFonts w:hint="eastAsia"/>
          <w:b/>
          <w:bCs/>
          <w:szCs w:val="28"/>
        </w:rPr>
        <w:t>表</w:t>
      </w:r>
      <w:r>
        <w:rPr>
          <w:b/>
          <w:bCs/>
          <w:szCs w:val="28"/>
        </w:rPr>
        <w:t>7-4</w:t>
      </w:r>
      <w:r>
        <w:rPr>
          <w:rFonts w:hint="eastAsia"/>
          <w:b/>
          <w:bCs/>
          <w:szCs w:val="28"/>
        </w:rPr>
        <w:t>晋宁县农村生活污水治理实施计划（中期202</w:t>
      </w:r>
      <w:r>
        <w:rPr>
          <w:b/>
          <w:bCs/>
          <w:szCs w:val="28"/>
        </w:rPr>
        <w:t>2</w:t>
      </w:r>
      <w:r>
        <w:rPr>
          <w:rFonts w:hint="eastAsia"/>
          <w:b/>
          <w:bCs/>
          <w:szCs w:val="28"/>
        </w:rPr>
        <w:t>）</w:t>
      </w:r>
    </w:p>
    <w:tbl>
      <w:tblPr>
        <w:tblStyle w:val="26"/>
        <w:tblW w:w="5000" w:type="pct"/>
        <w:tblInd w:w="0" w:type="dxa"/>
        <w:tblLayout w:type="autofit"/>
        <w:tblCellMar>
          <w:top w:w="0" w:type="dxa"/>
          <w:left w:w="108" w:type="dxa"/>
          <w:bottom w:w="0" w:type="dxa"/>
          <w:right w:w="108" w:type="dxa"/>
        </w:tblCellMar>
      </w:tblPr>
      <w:tblGrid>
        <w:gridCol w:w="4622"/>
        <w:gridCol w:w="5488"/>
      </w:tblGrid>
      <w:tr>
        <w:tblPrEx>
          <w:tblCellMar>
            <w:top w:w="0" w:type="dxa"/>
            <w:left w:w="108" w:type="dxa"/>
            <w:bottom w:w="0" w:type="dxa"/>
            <w:right w:w="108" w:type="dxa"/>
          </w:tblCellMar>
        </w:tblPrEx>
        <w:trPr>
          <w:trHeight w:val="270" w:hRule="atLeast"/>
          <w:tblHeader/>
        </w:trPr>
        <w:tc>
          <w:tcPr>
            <w:tcW w:w="2286"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乡镇/行政村</w:t>
            </w:r>
            <w:r>
              <w:rPr>
                <w:rFonts w:ascii="宋体" w:hAnsi="宋体" w:cs="宋体"/>
                <w:b/>
                <w:bCs/>
                <w:kern w:val="0"/>
                <w:sz w:val="24"/>
              </w:rPr>
              <w:t>/</w:t>
            </w:r>
            <w:r>
              <w:rPr>
                <w:rFonts w:hint="eastAsia" w:ascii="宋体" w:hAnsi="宋体" w:cs="宋体"/>
                <w:b/>
                <w:bCs/>
                <w:kern w:val="0"/>
                <w:sz w:val="24"/>
              </w:rPr>
              <w:t>自然村</w:t>
            </w:r>
          </w:p>
        </w:tc>
        <w:tc>
          <w:tcPr>
            <w:tcW w:w="2714"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总投资（万元）</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宝峰街道</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338.13</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韩家营村委会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263.38</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韩家营</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133.14</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任家营</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130.24</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前卫村委会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29.96</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大麦地</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29.96</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小河口村委会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44.80</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陈家竹园</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44.80</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晋城镇</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458.93</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安乐村委会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227.70</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杨家河</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227.70</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富有村委会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66.44</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小梨园</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66.44</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三槐村委会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164.79</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三槐</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164.79</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昆阳街道办事处</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118.30</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安企村委会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118.30</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老王坝河</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118.30</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六街镇</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481.49</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干海村委会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184.16</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长地兴村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184.16</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青菜村委会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266.29</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小湾山村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266.29</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新寨村委会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31.04</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堰塘村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31.04</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上蒜镇</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425.59</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下石美村委会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425.59</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下石美村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425.59</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双河彝族乡</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254.89</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干河村委会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106.10</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干河村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106.10</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荒川村委会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148.79</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瑶冲村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148.79</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总计</w:t>
            </w:r>
          </w:p>
        </w:tc>
        <w:tc>
          <w:tcPr>
            <w:tcW w:w="2714"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2077.34</w:t>
            </w:r>
          </w:p>
        </w:tc>
      </w:tr>
    </w:tbl>
    <w:p>
      <w:pPr>
        <w:adjustRightInd w:val="0"/>
        <w:snapToGrid w:val="0"/>
        <w:ind w:firstLine="562"/>
        <w:jc w:val="center"/>
        <w:rPr>
          <w:b/>
          <w:bCs/>
          <w:szCs w:val="28"/>
        </w:rPr>
      </w:pPr>
      <w:r>
        <w:rPr>
          <w:rFonts w:hint="eastAsia"/>
          <w:b/>
          <w:bCs/>
          <w:szCs w:val="28"/>
        </w:rPr>
        <w:t>表</w:t>
      </w:r>
      <w:r>
        <w:rPr>
          <w:b/>
          <w:bCs/>
          <w:szCs w:val="28"/>
        </w:rPr>
        <w:t>7-5</w:t>
      </w:r>
      <w:r>
        <w:rPr>
          <w:rFonts w:hint="eastAsia"/>
          <w:b/>
          <w:bCs/>
          <w:szCs w:val="28"/>
        </w:rPr>
        <w:t>晋宁县农村生活污水治理实施计划（中期202</w:t>
      </w:r>
      <w:r>
        <w:rPr>
          <w:b/>
          <w:bCs/>
          <w:szCs w:val="28"/>
        </w:rPr>
        <w:t>3</w:t>
      </w:r>
      <w:r>
        <w:rPr>
          <w:rFonts w:hint="eastAsia"/>
          <w:b/>
          <w:bCs/>
          <w:szCs w:val="28"/>
        </w:rPr>
        <w:t>）</w:t>
      </w:r>
    </w:p>
    <w:tbl>
      <w:tblPr>
        <w:tblStyle w:val="26"/>
        <w:tblW w:w="5000" w:type="pct"/>
        <w:jc w:val="center"/>
        <w:tblLayout w:type="autofit"/>
        <w:tblCellMar>
          <w:top w:w="0" w:type="dxa"/>
          <w:left w:w="108" w:type="dxa"/>
          <w:bottom w:w="0" w:type="dxa"/>
          <w:right w:w="108" w:type="dxa"/>
        </w:tblCellMar>
      </w:tblPr>
      <w:tblGrid>
        <w:gridCol w:w="4742"/>
        <w:gridCol w:w="5368"/>
      </w:tblGrid>
      <w:tr>
        <w:tblPrEx>
          <w:tblCellMar>
            <w:top w:w="0" w:type="dxa"/>
            <w:left w:w="108" w:type="dxa"/>
            <w:bottom w:w="0" w:type="dxa"/>
            <w:right w:w="108" w:type="dxa"/>
          </w:tblCellMar>
        </w:tblPrEx>
        <w:trPr>
          <w:trHeight w:val="270" w:hRule="atLeast"/>
          <w:tblHeader/>
          <w:jc w:val="center"/>
        </w:trPr>
        <w:tc>
          <w:tcPr>
            <w:tcW w:w="234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乡镇/行政村</w:t>
            </w:r>
            <w:r>
              <w:rPr>
                <w:rFonts w:ascii="宋体" w:hAnsi="宋体" w:cs="宋体"/>
                <w:b/>
                <w:bCs/>
                <w:kern w:val="0"/>
                <w:sz w:val="24"/>
              </w:rPr>
              <w:t>/</w:t>
            </w:r>
            <w:r>
              <w:rPr>
                <w:rFonts w:hint="eastAsia" w:ascii="宋体" w:hAnsi="宋体" w:cs="宋体"/>
                <w:b/>
                <w:bCs/>
                <w:kern w:val="0"/>
                <w:sz w:val="24"/>
              </w:rPr>
              <w:t>自然村</w:t>
            </w:r>
          </w:p>
        </w:tc>
        <w:tc>
          <w:tcPr>
            <w:tcW w:w="265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总投资（万元）</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宝峰街道</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285.64</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小河口村委会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240.99</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艾家庄</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43.28</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鸡房</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193.72</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老弯山</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4.00</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中和铺村委会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44.64</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中和铺小营</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44.64</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晋城镇</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1073.92</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沙堤村委会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419.60</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马家河上村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124.24</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马家河下村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120.08</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余家沟下村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112.96</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张家村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62.32</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孙家坝村委会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335.32</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孙家坝</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98.19</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湾村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86.19</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雅房</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150.94</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文河村委会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74.32</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上郑家湾</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74.32</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小海村委会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53.85</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梁家营</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53.85</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新庄村委会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190.84</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河湾</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83.81</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王家坝</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107.03</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昆阳街道办事处</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389.56</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大新村委会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224.83</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凤仪村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83.81</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里和村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70.26</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小新城村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70.76</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乌龙村委会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77.36</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小乌龙</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77.36</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余家海村委会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87.37</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余家海村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87.37</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双河彝族乡</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273.68</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荒川村委会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153.64</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撇坡村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102.62</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新桥村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51.02</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双河村委会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120.04</w:t>
            </w:r>
          </w:p>
        </w:tc>
      </w:tr>
      <w:tr>
        <w:tblPrEx>
          <w:tblCellMar>
            <w:top w:w="0" w:type="dxa"/>
            <w:left w:w="108" w:type="dxa"/>
            <w:bottom w:w="0" w:type="dxa"/>
            <w:right w:w="108" w:type="dxa"/>
          </w:tblCellMar>
        </w:tblPrEx>
        <w:trPr>
          <w:trHeight w:val="270" w:hRule="atLeast"/>
          <w:jc w:val="center"/>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石槽河村</w:t>
            </w:r>
          </w:p>
        </w:tc>
        <w:tc>
          <w:tcPr>
            <w:tcW w:w="2655"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120.04</w:t>
            </w:r>
          </w:p>
        </w:tc>
      </w:tr>
      <w:tr>
        <w:tblPrEx>
          <w:tblCellMar>
            <w:top w:w="0" w:type="dxa"/>
            <w:left w:w="108" w:type="dxa"/>
            <w:bottom w:w="0" w:type="dxa"/>
            <w:right w:w="108" w:type="dxa"/>
          </w:tblCellMar>
        </w:tblPrEx>
        <w:trPr>
          <w:trHeight w:val="270" w:hRule="atLeast"/>
          <w:jc w:val="center"/>
        </w:trPr>
        <w:tc>
          <w:tcPr>
            <w:tcW w:w="234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总计</w:t>
            </w:r>
          </w:p>
        </w:tc>
        <w:tc>
          <w:tcPr>
            <w:tcW w:w="265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2022.80</w:t>
            </w:r>
          </w:p>
        </w:tc>
      </w:tr>
    </w:tbl>
    <w:p>
      <w:pPr>
        <w:adjustRightInd w:val="0"/>
        <w:snapToGrid w:val="0"/>
        <w:ind w:firstLine="562"/>
        <w:jc w:val="center"/>
        <w:rPr>
          <w:b/>
          <w:bCs/>
          <w:szCs w:val="28"/>
        </w:rPr>
      </w:pPr>
      <w:r>
        <w:rPr>
          <w:rFonts w:hint="eastAsia"/>
          <w:b/>
          <w:bCs/>
          <w:szCs w:val="28"/>
        </w:rPr>
        <w:t>表6.5-</w:t>
      </w:r>
      <w:r>
        <w:rPr>
          <w:b/>
          <w:bCs/>
          <w:szCs w:val="28"/>
        </w:rPr>
        <w:t>4</w:t>
      </w:r>
      <w:r>
        <w:rPr>
          <w:rFonts w:hint="eastAsia"/>
          <w:b/>
          <w:bCs/>
          <w:szCs w:val="28"/>
        </w:rPr>
        <w:t>晋宁县农村生活污水治理实施计划（中期202</w:t>
      </w:r>
      <w:r>
        <w:rPr>
          <w:b/>
          <w:bCs/>
          <w:szCs w:val="28"/>
        </w:rPr>
        <w:t>4</w:t>
      </w:r>
      <w:r>
        <w:rPr>
          <w:rFonts w:hint="eastAsia"/>
          <w:b/>
          <w:bCs/>
          <w:szCs w:val="28"/>
        </w:rPr>
        <w:t>）</w:t>
      </w:r>
    </w:p>
    <w:tbl>
      <w:tblPr>
        <w:tblStyle w:val="26"/>
        <w:tblW w:w="5000" w:type="pct"/>
        <w:tblInd w:w="0" w:type="dxa"/>
        <w:tblLayout w:type="autofit"/>
        <w:tblCellMar>
          <w:top w:w="0" w:type="dxa"/>
          <w:left w:w="108" w:type="dxa"/>
          <w:bottom w:w="0" w:type="dxa"/>
          <w:right w:w="108" w:type="dxa"/>
        </w:tblCellMar>
      </w:tblPr>
      <w:tblGrid>
        <w:gridCol w:w="4622"/>
        <w:gridCol w:w="5488"/>
      </w:tblGrid>
      <w:tr>
        <w:tblPrEx>
          <w:tblCellMar>
            <w:top w:w="0" w:type="dxa"/>
            <w:left w:w="108" w:type="dxa"/>
            <w:bottom w:w="0" w:type="dxa"/>
            <w:right w:w="108" w:type="dxa"/>
          </w:tblCellMar>
        </w:tblPrEx>
        <w:trPr>
          <w:trHeight w:val="270" w:hRule="atLeast"/>
          <w:tblHeader/>
        </w:trPr>
        <w:tc>
          <w:tcPr>
            <w:tcW w:w="2286"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乡镇/行政村</w:t>
            </w:r>
            <w:r>
              <w:rPr>
                <w:rFonts w:ascii="宋体" w:hAnsi="宋体" w:cs="宋体"/>
                <w:b/>
                <w:bCs/>
                <w:kern w:val="0"/>
                <w:sz w:val="24"/>
              </w:rPr>
              <w:t>/</w:t>
            </w:r>
            <w:r>
              <w:rPr>
                <w:rFonts w:hint="eastAsia" w:ascii="宋体" w:hAnsi="宋体" w:cs="宋体"/>
                <w:b/>
                <w:bCs/>
                <w:kern w:val="0"/>
                <w:sz w:val="24"/>
              </w:rPr>
              <w:t>自然村</w:t>
            </w:r>
          </w:p>
        </w:tc>
        <w:tc>
          <w:tcPr>
            <w:tcW w:w="2714"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总投资（万元）</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宝峰街道</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207.72</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昌家营村委会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207.72</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昌家营</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161.10</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迎香村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46.62</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二街镇</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183.53</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甸头村委会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72.44</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甸头村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35.38</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东冲村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37.06</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鲁黑村委会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38.64</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甘海孜</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38.64</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朱家村委会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72.44</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顺民村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72.44</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晋城镇</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578.27</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关岭村委会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50.49</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麻丽园</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50.49</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广济村委会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46.30</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三季桥</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46.30</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宋家营村委会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11.90</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新房子</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11.90</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孙家坝村委会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121.21</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马家村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74.91</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钱家塘</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46.30</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熊家村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0.00</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文河村委会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199.29</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观音寺</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74.91</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孙家嘴</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42.94</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下郑家湾</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81.44</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永和村委会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149.09</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将家村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34.54</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任家村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49.65</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田家村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32.02</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袁家村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32.86</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昆阳街道办事处</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33.70</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大新村委会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33.70</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洪家村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33.70</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六街镇</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115.49</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大营村委会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80.50</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大营村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80.50</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青菜村委会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1.25</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菜仔塘村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1.25</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王家湾村委会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33.74</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杨建村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33.74</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上蒜镇</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3.00</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柳坝村委会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0.00</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黄梨山村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0.00</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竹园村委会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3.00</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双深沟村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3.00</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双河彝族乡</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280.16</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老江河村委会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131.37</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法古甸村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131.37</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双河村委会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148.79</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椿树营村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69.60</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新庄村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79.19</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夕阳彝族乡</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523.57</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打黑村委会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102.22</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白马龙村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100.21</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打黑新村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2.01</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绿溪村委会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120.89</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天井村</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120.89</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木鲊村委会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63.21</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一组</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63.21</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田房村委会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102.94</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大摆衣</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102.94</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1" w:firstLineChars="100"/>
              <w:jc w:val="center"/>
              <w:rPr>
                <w:rFonts w:ascii="宋体" w:hAnsi="宋体" w:cs="宋体"/>
                <w:b/>
                <w:bCs/>
                <w:kern w:val="0"/>
                <w:sz w:val="24"/>
              </w:rPr>
            </w:pPr>
            <w:r>
              <w:rPr>
                <w:rFonts w:hint="eastAsia" w:ascii="宋体" w:hAnsi="宋体" w:cs="宋体"/>
                <w:b/>
                <w:bCs/>
                <w:kern w:val="0"/>
                <w:sz w:val="24"/>
              </w:rPr>
              <w:t>夕阳村委会</w:t>
            </w:r>
          </w:p>
        </w:tc>
        <w:tc>
          <w:tcPr>
            <w:tcW w:w="2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134.32</w:t>
            </w:r>
          </w:p>
        </w:tc>
      </w:tr>
      <w:tr>
        <w:tblPrEx>
          <w:tblCellMar>
            <w:top w:w="0" w:type="dxa"/>
            <w:left w:w="108" w:type="dxa"/>
            <w:bottom w:w="0" w:type="dxa"/>
            <w:right w:w="108" w:type="dxa"/>
          </w:tblCellMar>
        </w:tblPrEx>
        <w:trPr>
          <w:trHeight w:val="270" w:hRule="atLeast"/>
        </w:trPr>
        <w:tc>
          <w:tcPr>
            <w:tcW w:w="2286" w:type="pct"/>
            <w:tcBorders>
              <w:top w:val="nil"/>
              <w:left w:val="single" w:color="auto" w:sz="4" w:space="0"/>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鲁企祖</w:t>
            </w:r>
          </w:p>
        </w:tc>
        <w:tc>
          <w:tcPr>
            <w:tcW w:w="2714" w:type="pct"/>
            <w:tcBorders>
              <w:top w:val="nil"/>
              <w:left w:val="nil"/>
              <w:bottom w:val="single" w:color="auto" w:sz="4" w:space="0"/>
              <w:right w:val="single" w:color="auto" w:sz="4" w:space="0"/>
            </w:tcBorders>
            <w:shd w:val="clear" w:color="auto" w:fill="auto"/>
            <w:noWrap/>
            <w:vAlign w:val="center"/>
          </w:tcPr>
          <w:p>
            <w:pPr>
              <w:widowControl/>
              <w:ind w:firstLine="480"/>
              <w:jc w:val="center"/>
              <w:rPr>
                <w:rFonts w:ascii="宋体" w:hAnsi="宋体" w:cs="宋体"/>
                <w:kern w:val="0"/>
                <w:sz w:val="24"/>
              </w:rPr>
            </w:pPr>
            <w:r>
              <w:rPr>
                <w:rFonts w:hint="eastAsia" w:ascii="宋体" w:hAnsi="宋体" w:cs="宋体"/>
                <w:kern w:val="0"/>
                <w:sz w:val="24"/>
              </w:rPr>
              <w:t>134.32</w:t>
            </w:r>
          </w:p>
        </w:tc>
      </w:tr>
      <w:tr>
        <w:tblPrEx>
          <w:tblCellMar>
            <w:top w:w="0" w:type="dxa"/>
            <w:left w:w="108" w:type="dxa"/>
            <w:bottom w:w="0" w:type="dxa"/>
            <w:right w:w="108" w:type="dxa"/>
          </w:tblCellMar>
        </w:tblPrEx>
        <w:trPr>
          <w:trHeight w:val="270" w:hRule="atLeast"/>
        </w:trPr>
        <w:tc>
          <w:tcPr>
            <w:tcW w:w="2286"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总计</w:t>
            </w:r>
          </w:p>
        </w:tc>
        <w:tc>
          <w:tcPr>
            <w:tcW w:w="2714"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ind w:firstLine="482"/>
              <w:jc w:val="center"/>
              <w:rPr>
                <w:rFonts w:ascii="宋体" w:hAnsi="宋体" w:cs="宋体"/>
                <w:b/>
                <w:bCs/>
                <w:kern w:val="0"/>
                <w:sz w:val="24"/>
              </w:rPr>
            </w:pPr>
            <w:r>
              <w:rPr>
                <w:rFonts w:hint="eastAsia" w:ascii="宋体" w:hAnsi="宋体" w:cs="宋体"/>
                <w:b/>
                <w:bCs/>
                <w:kern w:val="0"/>
                <w:sz w:val="24"/>
              </w:rPr>
              <w:t>1925.45</w:t>
            </w:r>
          </w:p>
        </w:tc>
      </w:tr>
    </w:tbl>
    <w:p>
      <w:pPr>
        <w:adjustRightInd w:val="0"/>
        <w:snapToGrid w:val="0"/>
        <w:ind w:firstLine="562"/>
        <w:jc w:val="center"/>
        <w:rPr>
          <w:b/>
          <w:bCs/>
          <w:szCs w:val="28"/>
        </w:rPr>
      </w:pPr>
      <w:r>
        <w:rPr>
          <w:rFonts w:hint="eastAsia"/>
          <w:b/>
          <w:bCs/>
          <w:szCs w:val="28"/>
        </w:rPr>
        <w:t>表</w:t>
      </w:r>
      <w:r>
        <w:rPr>
          <w:b/>
          <w:bCs/>
          <w:szCs w:val="28"/>
        </w:rPr>
        <w:t>7-6</w:t>
      </w:r>
      <w:r>
        <w:rPr>
          <w:rFonts w:hint="eastAsia"/>
          <w:b/>
          <w:bCs/>
          <w:szCs w:val="28"/>
        </w:rPr>
        <w:t>晋宁县农村生活污水治理实施计划（中期202</w:t>
      </w:r>
      <w:r>
        <w:rPr>
          <w:b/>
          <w:bCs/>
          <w:szCs w:val="28"/>
        </w:rPr>
        <w:t>5</w:t>
      </w:r>
      <w:r>
        <w:rPr>
          <w:rFonts w:hint="eastAsia"/>
          <w:b/>
          <w:bCs/>
          <w:szCs w:val="28"/>
        </w:rPr>
        <w:t>）</w:t>
      </w:r>
    </w:p>
    <w:tbl>
      <w:tblPr>
        <w:tblStyle w:val="26"/>
        <w:tblW w:w="5000" w:type="pct"/>
        <w:tblInd w:w="0" w:type="dxa"/>
        <w:tblLayout w:type="autofit"/>
        <w:tblCellMar>
          <w:top w:w="0" w:type="dxa"/>
          <w:left w:w="108" w:type="dxa"/>
          <w:bottom w:w="0" w:type="dxa"/>
          <w:right w:w="108" w:type="dxa"/>
        </w:tblCellMar>
      </w:tblPr>
      <w:tblGrid>
        <w:gridCol w:w="4742"/>
        <w:gridCol w:w="5368"/>
      </w:tblGrid>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乡镇/行政村</w:t>
            </w:r>
            <w:r>
              <w:rPr>
                <w:rFonts w:ascii="宋体" w:hAnsi="宋体" w:cs="宋体"/>
                <w:b/>
                <w:bCs/>
                <w:kern w:val="0"/>
                <w:sz w:val="24"/>
              </w:rPr>
              <w:t>/</w:t>
            </w:r>
            <w:r>
              <w:rPr>
                <w:rFonts w:hint="eastAsia" w:ascii="宋体" w:hAnsi="宋体" w:cs="宋体"/>
                <w:b/>
                <w:bCs/>
                <w:kern w:val="0"/>
                <w:sz w:val="24"/>
              </w:rPr>
              <w:t>自然村</w:t>
            </w:r>
          </w:p>
        </w:tc>
        <w:tc>
          <w:tcPr>
            <w:tcW w:w="265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总投资（万元）</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宝峰街道</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199.87</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酸水塘村委会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105.24</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酸水塘下村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105.24</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中和铺村委会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94.63</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下大村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94.63</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晋城镇</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218.86</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新街村委会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64.82</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吕家坝</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64.82</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永和村委会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154.04</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东大营</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64.23</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吕家营</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89.81</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昆阳街道办事处</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42.10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大新村委会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42.10</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湾河村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42.10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六街镇</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185.52</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六街村委会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97.43</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一街子</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97.43</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龙王塘村委会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29.36</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大沟箐村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29.36</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王家湾村委会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58.73</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大柳树村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58.73</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双河彝族乡</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206.97</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干河村委会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119.17</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鱼塘村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119.17</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双河村委会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87.80</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下庄河村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87.80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夕阳彝族乡</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1465.28</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保安村委会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158.20</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田心</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34.54</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下保安</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77.36</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杨家村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46.30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高梁地村委会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97.63</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高粱地村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57.21</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小石板河村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40.42</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绿溪村委会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261.46</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大风口村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61.41</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大绿溪村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100.02</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绿溪新村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100.02</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木杵榔村委会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119.46</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果木</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45.46</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木杵榔村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74.00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木鲊村委会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182.79</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把火山组</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49.65</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二组</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66.57</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三组</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66.57</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田房村委会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122.81</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马鞍</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46.30</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田房</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76.52</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夕阳村委会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212.76</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小绿溪</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72.32</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丫租</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50.49</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张安村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89.95</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241" w:firstLineChars="100"/>
              <w:jc w:val="center"/>
              <w:rPr>
                <w:rFonts w:ascii="宋体" w:hAnsi="宋体" w:cs="宋体"/>
                <w:b/>
                <w:bCs/>
                <w:kern w:val="0"/>
                <w:sz w:val="24"/>
              </w:rPr>
            </w:pPr>
            <w:r>
              <w:rPr>
                <w:rFonts w:hint="eastAsia" w:ascii="宋体" w:hAnsi="宋体" w:cs="宋体"/>
                <w:b/>
                <w:bCs/>
                <w:kern w:val="0"/>
                <w:sz w:val="24"/>
              </w:rPr>
              <w:t>新山村委会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310.18</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大夕阳</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55.53</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法多</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77.36</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旧村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46.08</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小山村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57.21</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小夕阳</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74.00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总计</w:t>
            </w:r>
          </w:p>
        </w:tc>
        <w:tc>
          <w:tcPr>
            <w:tcW w:w="265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2318.61</w:t>
            </w:r>
          </w:p>
        </w:tc>
      </w:tr>
    </w:tbl>
    <w:p>
      <w:pPr>
        <w:adjustRightInd w:val="0"/>
        <w:snapToGrid w:val="0"/>
        <w:ind w:firstLine="562"/>
        <w:jc w:val="center"/>
        <w:rPr>
          <w:b/>
          <w:bCs/>
          <w:szCs w:val="28"/>
        </w:rPr>
      </w:pPr>
      <w:r>
        <w:rPr>
          <w:rFonts w:hint="eastAsia"/>
          <w:b/>
          <w:bCs/>
          <w:szCs w:val="28"/>
        </w:rPr>
        <w:t>表</w:t>
      </w:r>
      <w:r>
        <w:rPr>
          <w:b/>
          <w:bCs/>
          <w:szCs w:val="28"/>
        </w:rPr>
        <w:t>7-7</w:t>
      </w:r>
      <w:r>
        <w:rPr>
          <w:rFonts w:hint="eastAsia"/>
          <w:b/>
          <w:bCs/>
          <w:szCs w:val="28"/>
        </w:rPr>
        <w:t>晋宁县农村生活污水治理实施计划（远期）</w:t>
      </w:r>
    </w:p>
    <w:tbl>
      <w:tblPr>
        <w:tblStyle w:val="26"/>
        <w:tblW w:w="5000" w:type="pct"/>
        <w:tblInd w:w="0" w:type="dxa"/>
        <w:tblLayout w:type="autofit"/>
        <w:tblCellMar>
          <w:top w:w="0" w:type="dxa"/>
          <w:left w:w="108" w:type="dxa"/>
          <w:bottom w:w="0" w:type="dxa"/>
          <w:right w:w="108" w:type="dxa"/>
        </w:tblCellMar>
      </w:tblPr>
      <w:tblGrid>
        <w:gridCol w:w="4742"/>
        <w:gridCol w:w="5368"/>
      </w:tblGrid>
      <w:tr>
        <w:tblPrEx>
          <w:tblCellMar>
            <w:top w:w="0" w:type="dxa"/>
            <w:left w:w="108" w:type="dxa"/>
            <w:bottom w:w="0" w:type="dxa"/>
            <w:right w:w="108" w:type="dxa"/>
          </w:tblCellMar>
        </w:tblPrEx>
        <w:trPr>
          <w:trHeight w:val="270" w:hRule="atLeast"/>
          <w:tblHeader/>
        </w:trPr>
        <w:tc>
          <w:tcPr>
            <w:tcW w:w="234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乡镇/行政村</w:t>
            </w:r>
            <w:r>
              <w:rPr>
                <w:rFonts w:ascii="宋体" w:hAnsi="宋体" w:cs="宋体"/>
                <w:b/>
                <w:bCs/>
                <w:kern w:val="0"/>
                <w:sz w:val="24"/>
              </w:rPr>
              <w:t>/</w:t>
            </w:r>
            <w:r>
              <w:rPr>
                <w:rFonts w:hint="eastAsia" w:ascii="宋体" w:hAnsi="宋体" w:cs="宋体"/>
                <w:b/>
                <w:bCs/>
                <w:kern w:val="0"/>
                <w:sz w:val="24"/>
              </w:rPr>
              <w:t>自然村</w:t>
            </w:r>
          </w:p>
        </w:tc>
        <w:tc>
          <w:tcPr>
            <w:tcW w:w="265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总投资（万元）</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二街镇</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95.40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鲁黑村委会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95.40</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王家庄</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59.73</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杨柳箐</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35.68</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晋城镇</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213.25</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十里村委会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61.41</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大江</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61.41</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孙家坝村委会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72.32</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孙家院</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72.32</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新街村委会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76.52</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郑家营</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76.52</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盐井村委会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3.00</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斗地冲</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3.00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六街镇</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103.11</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干海村委会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72.44</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兴旺村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72.44</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龙王塘村委会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30.67</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西中营村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30.67</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上蒜镇</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0.00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洗澡塘村委会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0.00</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西平坝村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0.00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双河彝族乡</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336.44</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干河村委会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62.63</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料草坝村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62.63</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新房子村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0.00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荒川村委会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149.53</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海孜营村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52.18</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后山坡村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46.95</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小荒川村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50.40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老江河村委会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124.28</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大村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37.35</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双河厂村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28.65</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小村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58.28</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夕阳彝族乡</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0.00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打黑村委会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0.00</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杨柳河村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0.00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绿溪村委会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0.00</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水井村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0.00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木杵榔村委会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0.00</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小木杵榔村</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0.00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夕阳村委会</w:t>
            </w:r>
          </w:p>
        </w:tc>
        <w:tc>
          <w:tcPr>
            <w:tcW w:w="26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0.00</w:t>
            </w:r>
          </w:p>
        </w:tc>
      </w:tr>
      <w:tr>
        <w:tblPrEx>
          <w:tblCellMar>
            <w:top w:w="0" w:type="dxa"/>
            <w:left w:w="108" w:type="dxa"/>
            <w:bottom w:w="0" w:type="dxa"/>
            <w:right w:w="108" w:type="dxa"/>
          </w:tblCellMar>
        </w:tblPrEx>
        <w:trPr>
          <w:trHeight w:val="270" w:hRule="atLeast"/>
        </w:trPr>
        <w:tc>
          <w:tcPr>
            <w:tcW w:w="2345"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山背后</w:t>
            </w:r>
          </w:p>
        </w:tc>
        <w:tc>
          <w:tcPr>
            <w:tcW w:w="2655" w:type="pct"/>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480"/>
              <w:jc w:val="center"/>
              <w:rPr>
                <w:rFonts w:ascii="宋体" w:hAnsi="宋体" w:cs="宋体"/>
                <w:kern w:val="0"/>
                <w:sz w:val="24"/>
              </w:rPr>
            </w:pPr>
            <w:r>
              <w:rPr>
                <w:rFonts w:hint="eastAsia" w:ascii="宋体" w:hAnsi="宋体" w:cs="宋体"/>
                <w:kern w:val="0"/>
                <w:sz w:val="24"/>
              </w:rPr>
              <w:t>0.00</w:t>
            </w:r>
          </w:p>
        </w:tc>
      </w:tr>
      <w:tr>
        <w:tblPrEx>
          <w:tblCellMar>
            <w:top w:w="0" w:type="dxa"/>
            <w:left w:w="108" w:type="dxa"/>
            <w:bottom w:w="0" w:type="dxa"/>
            <w:right w:w="108" w:type="dxa"/>
          </w:tblCellMar>
        </w:tblPrEx>
        <w:trPr>
          <w:trHeight w:val="270" w:hRule="atLeast"/>
        </w:trPr>
        <w:tc>
          <w:tcPr>
            <w:tcW w:w="234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总计</w:t>
            </w:r>
          </w:p>
        </w:tc>
        <w:tc>
          <w:tcPr>
            <w:tcW w:w="2655" w:type="pct"/>
            <w:tcBorders>
              <w:top w:val="single" w:color="auto" w:sz="4" w:space="0"/>
              <w:left w:val="single" w:color="auto" w:sz="4" w:space="0"/>
              <w:bottom w:val="single" w:color="auto" w:sz="4" w:space="0"/>
              <w:right w:val="single" w:color="auto" w:sz="4" w:space="0"/>
            </w:tcBorders>
            <w:shd w:val="clear" w:color="DCE6F1" w:fill="DCE6F1"/>
            <w:noWrap/>
            <w:vAlign w:val="center"/>
          </w:tcPr>
          <w:p>
            <w:pPr>
              <w:widowControl/>
              <w:adjustRightInd w:val="0"/>
              <w:snapToGrid w:val="0"/>
              <w:ind w:firstLine="482"/>
              <w:jc w:val="center"/>
              <w:rPr>
                <w:rFonts w:ascii="宋体" w:hAnsi="宋体" w:cs="宋体"/>
                <w:b/>
                <w:bCs/>
                <w:kern w:val="0"/>
                <w:sz w:val="24"/>
              </w:rPr>
            </w:pPr>
            <w:r>
              <w:rPr>
                <w:rFonts w:hint="eastAsia" w:ascii="宋体" w:hAnsi="宋体" w:cs="宋体"/>
                <w:b/>
                <w:bCs/>
                <w:kern w:val="0"/>
                <w:sz w:val="24"/>
              </w:rPr>
              <w:t>748.20</w:t>
            </w:r>
          </w:p>
        </w:tc>
      </w:tr>
    </w:tbl>
    <w:p>
      <w:pPr>
        <w:adjustRightInd w:val="0"/>
        <w:snapToGrid w:val="0"/>
        <w:ind w:firstLine="560"/>
        <w:rPr>
          <w:rFonts w:ascii="方正仿宋_GB2312" w:hAnsi="方正仿宋_GB2312" w:eastAsia="方正仿宋_GB2312" w:cs="方正仿宋_GB2312"/>
          <w:szCs w:val="28"/>
        </w:rPr>
      </w:pPr>
    </w:p>
    <w:p>
      <w:pPr>
        <w:adjustRightInd w:val="0"/>
        <w:snapToGrid w:val="0"/>
        <w:ind w:firstLine="560"/>
        <w:jc w:val="center"/>
        <w:rPr>
          <w:bCs/>
        </w:rPr>
      </w:pPr>
    </w:p>
    <w:p>
      <w:pPr>
        <w:adjustRightInd w:val="0"/>
        <w:snapToGrid w:val="0"/>
        <w:ind w:firstLine="560"/>
        <w:jc w:val="center"/>
        <w:rPr>
          <w:bCs/>
        </w:rPr>
        <w:sectPr>
          <w:footerReference r:id="rId11" w:type="first"/>
          <w:pgSz w:w="23814" w:h="16840"/>
          <w:pgMar w:top="1440" w:right="1800" w:bottom="1440" w:left="1800" w:header="851" w:footer="992" w:gutter="0"/>
          <w:cols w:space="425" w:num="2"/>
          <w:titlePg/>
          <w:docGrid w:linePitch="381" w:charSpace="0"/>
        </w:sectPr>
      </w:pPr>
    </w:p>
    <w:p>
      <w:pPr>
        <w:ind w:firstLine="198" w:firstLineChars="55"/>
        <w:jc w:val="left"/>
        <w:outlineLvl w:val="0"/>
        <w:rPr>
          <w:rFonts w:eastAsia="方正小标宋_GBK"/>
          <w:sz w:val="36"/>
          <w:szCs w:val="36"/>
        </w:rPr>
      </w:pPr>
      <w:bookmarkStart w:id="111" w:name="_Toc39930939"/>
      <w:bookmarkStart w:id="112" w:name="_Toc43042556"/>
      <w:r>
        <w:rPr>
          <w:rFonts w:hint="eastAsia" w:eastAsia="方正小标宋_GBK"/>
          <w:sz w:val="36"/>
          <w:szCs w:val="36"/>
        </w:rPr>
        <w:t>第八章</w:t>
      </w:r>
      <w:r>
        <w:rPr>
          <w:rFonts w:eastAsia="方正小标宋_GBK"/>
          <w:sz w:val="36"/>
          <w:szCs w:val="36"/>
        </w:rPr>
        <w:t>效益分析</w:t>
      </w:r>
      <w:bookmarkEnd w:id="111"/>
      <w:bookmarkEnd w:id="112"/>
    </w:p>
    <w:p>
      <w:pPr>
        <w:adjustRightInd w:val="0"/>
        <w:snapToGrid w:val="0"/>
        <w:ind w:firstLine="560"/>
        <w:rPr>
          <w:szCs w:val="28"/>
        </w:rPr>
      </w:pPr>
      <w:r>
        <w:rPr>
          <w:rFonts w:hint="eastAsia"/>
          <w:szCs w:val="28"/>
        </w:rPr>
        <w:t>本规划针对</w:t>
      </w:r>
      <w:r>
        <w:rPr>
          <w:szCs w:val="28"/>
        </w:rPr>
        <w:t>晋宁县</w:t>
      </w:r>
      <w:r>
        <w:rPr>
          <w:rFonts w:hint="eastAsia"/>
          <w:szCs w:val="28"/>
        </w:rPr>
        <w:t>各乡镇及下辖农村生活污水处理的现状问题，对生活污水的收集、处理给出了具体的解决方案，规划兼具技术可行性和操作可行性，便于实施，且能带来较好的环境、社会、经济效益。</w:t>
      </w:r>
    </w:p>
    <w:p>
      <w:pPr>
        <w:spacing w:beforeLines="50"/>
        <w:ind w:firstLine="640"/>
        <w:jc w:val="left"/>
        <w:outlineLvl w:val="1"/>
        <w:rPr>
          <w:rFonts w:eastAsia="方正黑体_GBK"/>
          <w:b/>
          <w:sz w:val="32"/>
          <w:szCs w:val="32"/>
        </w:rPr>
      </w:pPr>
      <w:bookmarkStart w:id="113" w:name="_Toc39930940"/>
      <w:bookmarkStart w:id="114" w:name="_Toc43042557"/>
      <w:r>
        <w:rPr>
          <w:rFonts w:eastAsia="方正黑体_GBK"/>
          <w:b/>
          <w:sz w:val="32"/>
          <w:szCs w:val="32"/>
        </w:rPr>
        <w:t>8.1环境效益</w:t>
      </w:r>
      <w:bookmarkEnd w:id="113"/>
      <w:bookmarkEnd w:id="114"/>
    </w:p>
    <w:p>
      <w:pPr>
        <w:adjustRightInd w:val="0"/>
        <w:snapToGrid w:val="0"/>
        <w:ind w:firstLine="560"/>
        <w:rPr>
          <w:szCs w:val="28"/>
        </w:rPr>
      </w:pPr>
      <w:r>
        <w:rPr>
          <w:rFonts w:hint="eastAsia"/>
          <w:szCs w:val="28"/>
        </w:rPr>
        <w:t>规划在分析比较现阶段全省各级污水处理和运行管理模式的基础上，经过论证按照全过程管理的基本原则，构建合理的污水收集、处理及运维管理体系。污水经污水收集系统收集送至各污水处理设施进行处理。</w:t>
      </w:r>
    </w:p>
    <w:p>
      <w:pPr>
        <w:adjustRightInd w:val="0"/>
        <w:snapToGrid w:val="0"/>
        <w:ind w:firstLine="560"/>
        <w:rPr>
          <w:szCs w:val="28"/>
        </w:rPr>
      </w:pPr>
      <w:r>
        <w:rPr>
          <w:rFonts w:hint="eastAsia"/>
          <w:szCs w:val="28"/>
        </w:rPr>
        <w:t>通过规划的逐步实施，将在规划范围内构建科学合理的污水处理系统和运维管理系统，实现污水收集及处理设施的合理布局与建设；通过污水管网的合理布局、规范化建设与管理，在满足处理污水效果的同时全方位改进和提高</w:t>
      </w:r>
      <w:r>
        <w:rPr>
          <w:szCs w:val="28"/>
        </w:rPr>
        <w:t>晋宁县</w:t>
      </w:r>
      <w:r>
        <w:rPr>
          <w:rFonts w:hint="eastAsia"/>
          <w:szCs w:val="28"/>
        </w:rPr>
        <w:t>水环境质量。</w:t>
      </w:r>
    </w:p>
    <w:p>
      <w:pPr>
        <w:adjustRightInd w:val="0"/>
        <w:snapToGrid w:val="0"/>
        <w:ind w:firstLine="560"/>
        <w:rPr>
          <w:szCs w:val="28"/>
        </w:rPr>
      </w:pPr>
      <w:r>
        <w:rPr>
          <w:rFonts w:hint="eastAsia"/>
          <w:szCs w:val="28"/>
        </w:rPr>
        <w:t>规划的实施有利于提高</w:t>
      </w:r>
      <w:r>
        <w:rPr>
          <w:szCs w:val="28"/>
        </w:rPr>
        <w:t>晋宁县</w:t>
      </w:r>
      <w:r>
        <w:rPr>
          <w:rFonts w:hint="eastAsia"/>
          <w:szCs w:val="28"/>
        </w:rPr>
        <w:t>对农村生活污水污染的治理力度，</w:t>
      </w:r>
      <w:r>
        <w:rPr>
          <w:szCs w:val="28"/>
        </w:rPr>
        <w:t>晋宁县</w:t>
      </w:r>
      <w:r>
        <w:rPr>
          <w:rFonts w:hint="eastAsia"/>
          <w:szCs w:val="28"/>
        </w:rPr>
        <w:t>农村村民产生的污水将得到有效收集处理，从源头上削减了各村落排放进入河道或其他水体的生活污染，污染负荷明显减少。其规划环境效益削减见表</w:t>
      </w:r>
      <w:r>
        <w:rPr>
          <w:szCs w:val="28"/>
        </w:rPr>
        <w:t>8.1-1</w:t>
      </w:r>
      <w:r>
        <w:rPr>
          <w:rFonts w:hint="eastAsia"/>
          <w:szCs w:val="28"/>
        </w:rPr>
        <w:t>。</w:t>
      </w:r>
    </w:p>
    <w:p>
      <w:pPr>
        <w:adjustRightInd w:val="0"/>
        <w:snapToGrid w:val="0"/>
        <w:ind w:firstLine="562"/>
        <w:jc w:val="center"/>
        <w:rPr>
          <w:b/>
        </w:rPr>
      </w:pPr>
      <w:r>
        <w:rPr>
          <w:rFonts w:hint="eastAsia"/>
          <w:b/>
        </w:rPr>
        <w:t>表</w:t>
      </w:r>
      <w:r>
        <w:rPr>
          <w:b/>
        </w:rPr>
        <w:t xml:space="preserve">8.1-1  </w:t>
      </w:r>
      <w:r>
        <w:rPr>
          <w:rFonts w:hint="eastAsia"/>
          <w:b/>
        </w:rPr>
        <w:t>农村生活污染削减量表</w:t>
      </w:r>
    </w:p>
    <w:tbl>
      <w:tblPr>
        <w:tblStyle w:val="26"/>
        <w:tblW w:w="10222" w:type="dxa"/>
        <w:tblInd w:w="92" w:type="dxa"/>
        <w:tblLayout w:type="autofit"/>
        <w:tblCellMar>
          <w:top w:w="0" w:type="dxa"/>
          <w:left w:w="108" w:type="dxa"/>
          <w:bottom w:w="0" w:type="dxa"/>
          <w:right w:w="108" w:type="dxa"/>
        </w:tblCellMar>
      </w:tblPr>
      <w:tblGrid>
        <w:gridCol w:w="623"/>
        <w:gridCol w:w="1094"/>
        <w:gridCol w:w="1276"/>
        <w:gridCol w:w="1134"/>
        <w:gridCol w:w="1134"/>
        <w:gridCol w:w="992"/>
        <w:gridCol w:w="993"/>
        <w:gridCol w:w="992"/>
        <w:gridCol w:w="992"/>
        <w:gridCol w:w="992"/>
      </w:tblGrid>
      <w:tr>
        <w:tblPrEx>
          <w:tblCellMar>
            <w:top w:w="0" w:type="dxa"/>
            <w:left w:w="108" w:type="dxa"/>
            <w:bottom w:w="0" w:type="dxa"/>
            <w:right w:w="108" w:type="dxa"/>
          </w:tblCellMar>
        </w:tblPrEx>
        <w:trPr>
          <w:trHeight w:val="20" w:hRule="atLeast"/>
          <w:tblHeader/>
        </w:trPr>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09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b/>
                <w:bCs/>
                <w:color w:val="000000"/>
                <w:kern w:val="0"/>
                <w:sz w:val="20"/>
                <w:szCs w:val="20"/>
              </w:rPr>
            </w:pPr>
            <w:r>
              <w:rPr>
                <w:rFonts w:hint="eastAsia" w:ascii="宋体" w:hAnsi="宋体" w:cs="宋体"/>
                <w:b/>
                <w:bCs/>
                <w:color w:val="000000"/>
                <w:kern w:val="0"/>
                <w:sz w:val="20"/>
                <w:szCs w:val="20"/>
              </w:rPr>
              <w:t>乡镇</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b/>
                <w:bCs/>
                <w:color w:val="000000"/>
                <w:kern w:val="0"/>
                <w:sz w:val="20"/>
                <w:szCs w:val="20"/>
              </w:rPr>
            </w:pPr>
            <w:r>
              <w:rPr>
                <w:rFonts w:hint="eastAsia" w:ascii="宋体" w:hAnsi="宋体" w:cs="宋体"/>
                <w:b/>
                <w:bCs/>
                <w:color w:val="000000"/>
                <w:kern w:val="0"/>
                <w:sz w:val="20"/>
                <w:szCs w:val="20"/>
              </w:rPr>
              <w:t>行政村</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b/>
                <w:bCs/>
                <w:color w:val="000000"/>
                <w:kern w:val="0"/>
                <w:sz w:val="20"/>
                <w:szCs w:val="20"/>
              </w:rPr>
            </w:pPr>
            <w:r>
              <w:rPr>
                <w:rFonts w:hint="eastAsia" w:ascii="宋体" w:hAnsi="宋体" w:cs="宋体"/>
                <w:b/>
                <w:bCs/>
                <w:color w:val="000000"/>
                <w:kern w:val="0"/>
                <w:sz w:val="20"/>
                <w:szCs w:val="20"/>
              </w:rPr>
              <w:t>自然村</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000000"/>
                <w:kern w:val="0"/>
                <w:sz w:val="20"/>
                <w:szCs w:val="20"/>
              </w:rPr>
            </w:pPr>
            <w:r>
              <w:rPr>
                <w:rFonts w:hint="eastAsia" w:ascii="宋体" w:hAnsi="宋体" w:cs="宋体"/>
                <w:b/>
                <w:bCs/>
                <w:color w:val="000000"/>
                <w:kern w:val="0"/>
                <w:sz w:val="20"/>
                <w:szCs w:val="20"/>
              </w:rPr>
              <w:t>生活污水削减量（t/a）</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b/>
                <w:bCs/>
                <w:color w:val="000000"/>
                <w:kern w:val="0"/>
                <w:sz w:val="20"/>
                <w:szCs w:val="20"/>
              </w:rPr>
            </w:pPr>
            <w:r>
              <w:rPr>
                <w:b/>
                <w:bCs/>
                <w:color w:val="000000"/>
                <w:kern w:val="0"/>
                <w:sz w:val="20"/>
                <w:szCs w:val="20"/>
              </w:rPr>
              <w:t>COD</w:t>
            </w:r>
            <w:r>
              <w:rPr>
                <w:rFonts w:hint="eastAsia" w:ascii="宋体" w:hAnsi="宋体"/>
                <w:b/>
                <w:bCs/>
                <w:color w:val="000000"/>
                <w:kern w:val="0"/>
                <w:sz w:val="20"/>
                <w:szCs w:val="20"/>
              </w:rPr>
              <w:t>（</w:t>
            </w:r>
            <w:r>
              <w:rPr>
                <w:b/>
                <w:bCs/>
                <w:color w:val="000000"/>
                <w:kern w:val="0"/>
                <w:sz w:val="20"/>
                <w:szCs w:val="20"/>
              </w:rPr>
              <w:t>kg/a</w:t>
            </w:r>
            <w:r>
              <w:rPr>
                <w:rFonts w:hint="eastAsia" w:ascii="宋体" w:hAnsi="宋体"/>
                <w:b/>
                <w:bCs/>
                <w:color w:val="000000"/>
                <w:kern w:val="0"/>
                <w:sz w:val="20"/>
                <w:szCs w:val="20"/>
              </w:rPr>
              <w:t>）</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b/>
                <w:bCs/>
                <w:color w:val="000000"/>
                <w:kern w:val="0"/>
                <w:sz w:val="20"/>
                <w:szCs w:val="20"/>
              </w:rPr>
            </w:pPr>
            <w:r>
              <w:rPr>
                <w:b/>
                <w:bCs/>
                <w:color w:val="000000"/>
                <w:kern w:val="0"/>
                <w:sz w:val="20"/>
                <w:szCs w:val="20"/>
              </w:rPr>
              <w:t>NH</w:t>
            </w:r>
            <w:r>
              <w:rPr>
                <w:b/>
                <w:bCs/>
                <w:color w:val="000000"/>
                <w:kern w:val="0"/>
                <w:sz w:val="20"/>
                <w:szCs w:val="20"/>
                <w:vertAlign w:val="subscript"/>
              </w:rPr>
              <w:t>3</w:t>
            </w:r>
            <w:r>
              <w:rPr>
                <w:b/>
                <w:bCs/>
                <w:color w:val="000000"/>
                <w:kern w:val="0"/>
                <w:sz w:val="20"/>
                <w:szCs w:val="20"/>
                <w:vertAlign w:val="superscript"/>
              </w:rPr>
              <w:t>+</w:t>
            </w:r>
            <w:r>
              <w:rPr>
                <w:b/>
                <w:bCs/>
                <w:color w:val="000000"/>
                <w:kern w:val="0"/>
                <w:sz w:val="20"/>
                <w:szCs w:val="20"/>
              </w:rPr>
              <w:t>-N</w:t>
            </w:r>
            <w:r>
              <w:rPr>
                <w:rFonts w:hint="eastAsia" w:ascii="宋体" w:hAnsi="宋体"/>
                <w:b/>
                <w:bCs/>
                <w:color w:val="000000"/>
                <w:kern w:val="0"/>
                <w:sz w:val="20"/>
                <w:szCs w:val="20"/>
              </w:rPr>
              <w:t>（</w:t>
            </w:r>
            <w:r>
              <w:rPr>
                <w:b/>
                <w:bCs/>
                <w:color w:val="000000"/>
                <w:kern w:val="0"/>
                <w:sz w:val="20"/>
                <w:szCs w:val="20"/>
              </w:rPr>
              <w:t>kg/a</w:t>
            </w:r>
            <w:r>
              <w:rPr>
                <w:rFonts w:hint="eastAsia" w:ascii="宋体" w:hAnsi="宋体"/>
                <w:b/>
                <w:bCs/>
                <w:color w:val="000000"/>
                <w:kern w:val="0"/>
                <w:sz w:val="20"/>
                <w:szCs w:val="20"/>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b/>
                <w:bCs/>
                <w:color w:val="000000"/>
                <w:kern w:val="0"/>
                <w:sz w:val="20"/>
                <w:szCs w:val="20"/>
              </w:rPr>
            </w:pPr>
            <w:r>
              <w:rPr>
                <w:b/>
                <w:bCs/>
                <w:color w:val="000000"/>
                <w:kern w:val="0"/>
                <w:sz w:val="20"/>
                <w:szCs w:val="20"/>
              </w:rPr>
              <w:t>TN</w:t>
            </w:r>
            <w:r>
              <w:rPr>
                <w:rFonts w:hint="eastAsia" w:ascii="宋体" w:hAnsi="宋体"/>
                <w:b/>
                <w:bCs/>
                <w:color w:val="000000"/>
                <w:kern w:val="0"/>
                <w:sz w:val="20"/>
                <w:szCs w:val="20"/>
              </w:rPr>
              <w:t>（</w:t>
            </w:r>
            <w:r>
              <w:rPr>
                <w:b/>
                <w:bCs/>
                <w:color w:val="000000"/>
                <w:kern w:val="0"/>
                <w:sz w:val="20"/>
                <w:szCs w:val="20"/>
              </w:rPr>
              <w:t>kg/a</w:t>
            </w:r>
            <w:r>
              <w:rPr>
                <w:rFonts w:hint="eastAsia" w:ascii="宋体" w:hAnsi="宋体"/>
                <w:b/>
                <w:bCs/>
                <w:color w:val="000000"/>
                <w:kern w:val="0"/>
                <w:sz w:val="20"/>
                <w:szCs w:val="20"/>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b/>
                <w:bCs/>
                <w:color w:val="000000"/>
                <w:kern w:val="0"/>
                <w:sz w:val="20"/>
                <w:szCs w:val="20"/>
              </w:rPr>
            </w:pPr>
            <w:r>
              <w:rPr>
                <w:b/>
                <w:bCs/>
                <w:color w:val="000000"/>
                <w:kern w:val="0"/>
                <w:sz w:val="20"/>
                <w:szCs w:val="20"/>
              </w:rPr>
              <w:t>TP</w:t>
            </w:r>
            <w:r>
              <w:rPr>
                <w:rFonts w:hint="eastAsia" w:ascii="宋体" w:hAnsi="宋体"/>
                <w:b/>
                <w:bCs/>
                <w:color w:val="000000"/>
                <w:kern w:val="0"/>
                <w:sz w:val="20"/>
                <w:szCs w:val="20"/>
              </w:rPr>
              <w:t>（</w:t>
            </w:r>
            <w:r>
              <w:rPr>
                <w:b/>
                <w:bCs/>
                <w:color w:val="000000"/>
                <w:kern w:val="0"/>
                <w:sz w:val="20"/>
                <w:szCs w:val="20"/>
              </w:rPr>
              <w:t>kg/a</w:t>
            </w:r>
            <w:r>
              <w:rPr>
                <w:rFonts w:hint="eastAsia" w:ascii="宋体" w:hAnsi="宋体"/>
                <w:b/>
                <w:bCs/>
                <w:color w:val="000000"/>
                <w:kern w:val="0"/>
                <w:sz w:val="20"/>
                <w:szCs w:val="20"/>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b/>
                <w:bCs/>
                <w:color w:val="000000"/>
                <w:kern w:val="0"/>
                <w:sz w:val="20"/>
                <w:szCs w:val="20"/>
              </w:rPr>
            </w:pPr>
            <w:r>
              <w:rPr>
                <w:b/>
                <w:bCs/>
                <w:color w:val="000000"/>
                <w:kern w:val="0"/>
                <w:sz w:val="20"/>
                <w:szCs w:val="20"/>
              </w:rPr>
              <w:t>SS</w:t>
            </w:r>
            <w:r>
              <w:rPr>
                <w:rFonts w:hint="eastAsia" w:ascii="宋体" w:hAnsi="宋体"/>
                <w:b/>
                <w:bCs/>
                <w:color w:val="000000"/>
                <w:kern w:val="0"/>
                <w:sz w:val="20"/>
                <w:szCs w:val="20"/>
              </w:rPr>
              <w:t>（</w:t>
            </w:r>
            <w:r>
              <w:rPr>
                <w:b/>
                <w:bCs/>
                <w:color w:val="000000"/>
                <w:kern w:val="0"/>
                <w:sz w:val="20"/>
                <w:szCs w:val="20"/>
              </w:rPr>
              <w:t>kg/a</w:t>
            </w:r>
            <w:r>
              <w:rPr>
                <w:rFonts w:hint="eastAsia" w:ascii="宋体" w:hAnsi="宋体"/>
                <w:b/>
                <w:bCs/>
                <w:color w:val="000000"/>
                <w:kern w:val="0"/>
                <w:sz w:val="20"/>
                <w:szCs w:val="20"/>
              </w:rPr>
              <w:t>）</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昆阳街道办事处</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大新村委会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里和村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4233.6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0.89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0.64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昆阳街道办事处</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大新村委会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大新城村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33387.2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7.01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5.01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昆阳街道办事处</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大新村委会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小新城村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6909</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1.45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1.04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昆阳街道办事处</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大新村委会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湾河村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1569.6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0.24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昆阳街道办事处</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大新村委会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洪家村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2192.4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0.46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0.33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昆阳街道办事处</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大新村委会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凤仪村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8496.6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1.78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1.27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昆阳街道办事处</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安企村委会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老王坝河</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13494.6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2.83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2.02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昆阳街道办事处</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回龙村委会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麦地村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15379.2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3.23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2.31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昆阳街道办事处</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回龙村委会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回龙村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36608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7.69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0.92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5.49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昆阳街道办事处</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瓦窑村委会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袁家营</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14884.8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3.13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2.23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昆阳街道办事处</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乌龙村委会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小乌龙</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4788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1.01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0.72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昆阳街道办事处</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余家海村委会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余家海村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10731</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2.25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1.61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前卫村委会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大麦地</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2520</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0.38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小河口村委会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陈家竹园</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5090.4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1.07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0.76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小河口村委会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鸡房</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23814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5.00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3.57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小河口村委会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老弯山</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1310.4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0.28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小河口村委会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艾家庄</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1675.8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韩家营村委会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八街子</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18433.8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3.87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2.77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韩家营村委会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韩家营</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15846.6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3.33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2.38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韩家营村委会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任家营</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16728.6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3.51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2.51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中和铺村委会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中和铺小营</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5586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1.17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0.84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中和铺村委会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下大村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12318.6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2.59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1.85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中和铺村委会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上大村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12112.8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2.54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1.82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昌家营村委会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迎香村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3931.2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0.59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昌家营村委会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昌家营</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17140.2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3.60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2.57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清水河村委会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清水河</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15321.6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3.22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2.30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海龙村委会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海龙</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13843.2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2.91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2.08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酸水塘村委会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酸水塘上村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9962.4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2.09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1.49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宝峰街道</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酸水塘村委会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酸水塘下村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13141.8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2.76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1.97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小海村委会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梁家营</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4032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永和村委会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东大营</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7938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1.67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1.19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永和村委会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将家村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3175.2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0.67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0.48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永和村委会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吕家营</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14435.4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3.03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2.17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永和村委会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任家村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4586.4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0.96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0.69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永和村委会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田家村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2620.8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0.39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永和村委会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西大营</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10848.6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2.28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1.63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永和村委会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袁家村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2066.4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0.31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新庄村委会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河湾</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10172.4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2.14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1.53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新庄村委会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王家坝</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11671.8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2.45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0.29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1.75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富有村委会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49644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10.43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0.74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1.24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7.45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富有村委会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小梨园</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3024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广济村委会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34860</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7.32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5.23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广济村委会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三季桥</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3326.4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0.70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关岭村委会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麻丽园</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2764.8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0.58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0.41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盐井村委会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斗地冲</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1411.2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0.30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0.21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十里村委会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大江</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5418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1.14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0.81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新街村委会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吕家坝</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7203</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1.51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1.08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新街村委会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牛王寺</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18748.8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3.94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2.81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新街村委会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郑家营</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5670</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1.19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0.09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文河村委会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上郑家湾</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8849.4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1.86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1.33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文河村委会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观音寺</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8761.2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1.84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1.31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文河村委会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孙家嘴</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4032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文河村委会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下郑家湾</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11348.4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2.38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1.70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安乐村委会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杨家河</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25578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5.37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3.84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安乐村委会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大河尾</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5745.6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1.21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0.09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沙堤村委会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马家河上村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14112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2.96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2.12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沙堤村委会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马家河下村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13112.4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2.75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1.97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沙堤村委会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余家沟下村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11730.6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2.46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0.29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1.76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59</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沙堤村委会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张家村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4855.2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1.02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0.73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三槐村委会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三槐</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17287.2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3.63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2.59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61</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孙家坝村委会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马家村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8996.4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1.89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1.35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62</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孙家坝村委会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钱家塘</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3024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63</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孙家坝村委会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孙家坝</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10201.8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2.14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1.53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孙家坝村委会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孙家院</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4914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1.03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0.74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65</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孙家坝村委会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土家村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729.6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0.11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66</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孙家坝村委会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湾村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8408.4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1.77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1.26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67</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孙家坝村委会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熊家村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993.6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0.21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68</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孙家坝村委会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雅房</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15787.8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3.32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0.39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2.37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69</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晋城镇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宋家营村委会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新房子</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1134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70</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二街镇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肖家村委会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螃蟹河</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3124.8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0.66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71</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二街镇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朱家村委会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顺民村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7056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1.48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1.06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二街镇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鲁黑村委会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王家庄</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2534.4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0.38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73</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二街镇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鲁黑村委会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甘海孜</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2764.8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0.58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0.41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74</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二街镇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鲁黑村委会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杨柳箐</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2491.2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0.52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二街镇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甸头村委会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甸头村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2696.4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0.57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76</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二街镇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甸头村委会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东冲村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1800</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0.38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77</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上蒜镇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下石美村委会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下石美村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51714.6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10.86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0.78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1.29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7.76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78</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上蒜镇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竹园村委会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双深沟村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1713.6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0.36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79</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上蒜镇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柳坝村委会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黄梨山村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1890</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0.40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0.28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上蒜镇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洗澡塘村委会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西平坝村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648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81</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六街镇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六街村委会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一街子</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9790.2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2.06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1.47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82</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六街镇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大营村委会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大营村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6820.8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1.43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1.02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83</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六街镇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龙王塘村委会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大沟箐村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1785.6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0.37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84</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六街镇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龙王塘村委会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西中营村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2192.4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0.46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0.33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85</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六街镇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新寨村委会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堰塘村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1843.2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0.39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0.28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86</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六街镇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干海村委会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兴旺村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7350</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1.54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1.10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87</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六街镇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干海村委会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长地兴村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18110.4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3.80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2.72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88</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六街镇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青菜村委会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小湾山村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22612.8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4.75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3.39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89</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六街镇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青菜村委会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菜仔塘村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432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0.09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六街镇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王家湾村委会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杨建村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1598.4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0.24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91</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六街镇</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王家湾村委会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大柳树村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3024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92</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椿树营村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3844.8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0.81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0.58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93</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下庄河村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5980.8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1.26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0.09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0.90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94</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新庄村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4147.2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0.87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0.62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石槽河村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7627.2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1.60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0.19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1.14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96</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荒川村委会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撇坡村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6703.2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1.41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1.01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97</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荒川村委会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小荒川村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4003.2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98</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荒川村委会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瑶冲村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9072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1.91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1.36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99</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荒川村委会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后山坡村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2606.4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0.39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荒川村委会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海孜营村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3240</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0.68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0.49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101</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荒川村委会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新桥村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4003.2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102</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干河村委会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鱼塘村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7879.2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1.65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1.18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103</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干河村委会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干河村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6468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1.36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0.97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104</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干河村委会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新房子村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1468.8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0.31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0.22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干河村委会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料草坝村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3816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0.80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106</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老江河村委会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2160</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0.32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107</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老江河村委会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3009.6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108</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老江河村委会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双河厂村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2217.6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0.47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0.33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109</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双河彝族乡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老江河村委会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法古甸村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7812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1.64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1.17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110</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张安村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4420.8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0.93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111</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山背后</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964.8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0.20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0.14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112</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鲁企祖</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8047.2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1.69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1.21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113</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丫租</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2246.4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0.47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0.34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114</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小绿溪</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3758.4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0.79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0.09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115</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保安村委会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田心</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1756.8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0.37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116</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保安村委会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下保安</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4032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117</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保安村委会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杨家村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2390.4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0.50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118</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田房村委会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田房</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3729.6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0.78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0.09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119</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田房村委会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大摆衣</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13024.2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2.74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1.95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120</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田房村委会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马鞍</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2160</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0.32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121</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新山村委会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法多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4334.4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0.91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122</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新山村委会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大夕阳</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2534.4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0.53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0.38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123</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新山村委会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小夕阳</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3528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0.74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0.09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0.53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124</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新山村委会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小山村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2606.4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0.39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新山村委会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旧村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2361.6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0.50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126</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打黑村委会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打黑新村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1008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0.21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127</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打黑村委会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白马龙村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11020.8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2.31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1.65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128</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打黑村委会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杨柳河村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907.2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0.19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0.14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129</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绿溪村委会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大绿溪村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4953.6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1.04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0.74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130</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绿溪村委会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天井村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8467.2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1.78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1.27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131</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绿溪村委会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大风口村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3268.8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0.69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0.49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132</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绿溪村委会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绿溪新村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4953.6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1.04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0.74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133</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绿溪村委会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水井村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1353.6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0.28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0.02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0.20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134</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木杵榔村委会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木杵榔村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3643.2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0.77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0.09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0.55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135</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木杵榔村委会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果木</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1972.8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0.41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0.05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136</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木杵榔村委会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小木杵榔村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446.4</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0.09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137</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木鲊村委会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一组</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5644.8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1.19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0.08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0.85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138</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木鲊村委会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二组</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5703.6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1.20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0.09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139</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木鲊村委会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三组</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5703.6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1.20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0.09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0.86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140</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木鲊村委会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把火山组</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4032</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0.85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0.10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0.60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141</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高梁地村委会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高粱地村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2865.6</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0.60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0.04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0.07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0.01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0.43 </w:t>
            </w:r>
          </w:p>
        </w:tc>
      </w:tr>
      <w:tr>
        <w:tblPrEx>
          <w:tblCellMar>
            <w:top w:w="0" w:type="dxa"/>
            <w:left w:w="108" w:type="dxa"/>
            <w:bottom w:w="0" w:type="dxa"/>
            <w:right w:w="108" w:type="dxa"/>
          </w:tblCellMar>
        </w:tblPrEx>
        <w:trPr>
          <w:trHeight w:val="20"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142</w:t>
            </w:r>
          </w:p>
        </w:tc>
        <w:tc>
          <w:tcPr>
            <w:tcW w:w="109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夕阳彝族乡</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高梁地村委会</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小石板河村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2260.8</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0.47 </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0.03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0.06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0.34 </w:t>
            </w:r>
          </w:p>
        </w:tc>
      </w:tr>
    </w:tbl>
    <w:p>
      <w:pPr>
        <w:adjustRightInd w:val="0"/>
        <w:snapToGrid w:val="0"/>
        <w:ind w:firstLine="562"/>
        <w:jc w:val="center"/>
        <w:rPr>
          <w:b/>
          <w:lang w:val="de-DE"/>
        </w:rPr>
      </w:pPr>
    </w:p>
    <w:p>
      <w:pPr>
        <w:spacing w:beforeLines="50"/>
        <w:ind w:firstLine="640"/>
        <w:jc w:val="left"/>
        <w:outlineLvl w:val="1"/>
        <w:rPr>
          <w:rFonts w:eastAsia="方正黑体_GBK"/>
          <w:b/>
          <w:sz w:val="32"/>
          <w:szCs w:val="32"/>
        </w:rPr>
      </w:pPr>
      <w:bookmarkStart w:id="115" w:name="_Toc43042558"/>
      <w:bookmarkStart w:id="116" w:name="_Toc39930941"/>
      <w:r>
        <w:rPr>
          <w:rFonts w:eastAsia="方正黑体_GBK"/>
          <w:b/>
          <w:sz w:val="32"/>
          <w:szCs w:val="32"/>
        </w:rPr>
        <w:t>8.2社会效益</w:t>
      </w:r>
      <w:bookmarkEnd w:id="115"/>
      <w:bookmarkEnd w:id="116"/>
    </w:p>
    <w:p>
      <w:pPr>
        <w:adjustRightInd w:val="0"/>
        <w:snapToGrid w:val="0"/>
        <w:ind w:firstLine="560"/>
        <w:rPr>
          <w:szCs w:val="28"/>
        </w:rPr>
      </w:pPr>
      <w:r>
        <w:rPr>
          <w:rFonts w:hint="eastAsia"/>
          <w:szCs w:val="28"/>
        </w:rPr>
        <w:t>污水处理设施的建设是改善生态环境，保护水资源，保障人民身体健康，造福社会的环保工程。水质改善将提高人民生活水平与生活质量，降低医疗费用，减少因水质污染等引发的疾病，提高当地群众的健康水平与卫生水平。</w:t>
      </w:r>
    </w:p>
    <w:p>
      <w:pPr>
        <w:adjustRightInd w:val="0"/>
        <w:snapToGrid w:val="0"/>
        <w:ind w:firstLine="560"/>
        <w:rPr>
          <w:szCs w:val="28"/>
        </w:rPr>
      </w:pPr>
      <w:r>
        <w:rPr>
          <w:rFonts w:hint="eastAsia"/>
          <w:szCs w:val="28"/>
        </w:rPr>
        <w:t>污水治理系统的良好运行，水环境的改善，也提高了乡村的整体形象。齐全的基础设施及优越的投资环境能够提高乡镇旅游和招商引资的综合竞争力。</w:t>
      </w:r>
    </w:p>
    <w:p>
      <w:pPr>
        <w:adjustRightInd w:val="0"/>
        <w:snapToGrid w:val="0"/>
        <w:ind w:firstLine="560"/>
        <w:rPr>
          <w:szCs w:val="28"/>
        </w:rPr>
      </w:pPr>
      <w:r>
        <w:rPr>
          <w:rFonts w:hint="eastAsia"/>
          <w:szCs w:val="28"/>
        </w:rPr>
        <w:t>污水处理系统工程是一项把乡村建设成为一座环境优美，生活宜居、方便文明卫生乡村至关重要的基础设施。</w:t>
      </w:r>
    </w:p>
    <w:p>
      <w:pPr>
        <w:spacing w:beforeLines="50"/>
        <w:ind w:firstLine="640"/>
        <w:jc w:val="left"/>
        <w:outlineLvl w:val="1"/>
        <w:rPr>
          <w:rFonts w:eastAsia="方正黑体_GBK"/>
          <w:b/>
          <w:sz w:val="32"/>
          <w:szCs w:val="32"/>
        </w:rPr>
      </w:pPr>
      <w:bookmarkStart w:id="117" w:name="_Toc43042559"/>
      <w:bookmarkStart w:id="118" w:name="_Toc39930942"/>
      <w:r>
        <w:rPr>
          <w:rFonts w:eastAsia="方正黑体_GBK"/>
          <w:b/>
          <w:sz w:val="32"/>
          <w:szCs w:val="32"/>
        </w:rPr>
        <w:t>8.3经济效益</w:t>
      </w:r>
      <w:bookmarkEnd w:id="117"/>
      <w:bookmarkEnd w:id="118"/>
    </w:p>
    <w:p>
      <w:pPr>
        <w:adjustRightInd w:val="0"/>
        <w:snapToGrid w:val="0"/>
        <w:ind w:firstLine="560"/>
        <w:rPr>
          <w:szCs w:val="28"/>
        </w:rPr>
      </w:pPr>
      <w:r>
        <w:rPr>
          <w:rFonts w:hint="eastAsia"/>
          <w:szCs w:val="28"/>
        </w:rPr>
        <w:t>农村污水处理设施作为农村基础设施的重要组成部分，其本身并不产生直接的经济效益，但对经济发展的贡献巨大。污水处理设施的建设通过改善环境，提高环境质量水平，改善各乡镇生态水系环境，避免和减轻污水排放对工农业生产及其国民经济发展所造成的经济损失等所产生的间接经济效益将是巨大的。主要体现在：有利于改善投资环境、吸引外资；增加农业的产量；提高农副产品的质量，改善居民的生活环境。</w:t>
      </w:r>
    </w:p>
    <w:p>
      <w:pPr>
        <w:widowControl/>
        <w:ind w:firstLine="560"/>
        <w:jc w:val="left"/>
        <w:rPr>
          <w:szCs w:val="28"/>
        </w:rPr>
      </w:pPr>
      <w:r>
        <w:rPr>
          <w:szCs w:val="28"/>
        </w:rPr>
        <w:br w:type="page"/>
      </w:r>
    </w:p>
    <w:p>
      <w:pPr>
        <w:ind w:firstLine="198" w:firstLineChars="55"/>
        <w:jc w:val="left"/>
        <w:outlineLvl w:val="0"/>
        <w:rPr>
          <w:szCs w:val="28"/>
        </w:rPr>
      </w:pPr>
      <w:bookmarkStart w:id="119" w:name="_Toc43042560"/>
      <w:bookmarkStart w:id="120" w:name="_Toc39930946"/>
      <w:r>
        <w:rPr>
          <w:rFonts w:hint="eastAsia" w:eastAsia="方正小标宋_GBK"/>
          <w:sz w:val="36"/>
          <w:szCs w:val="36"/>
        </w:rPr>
        <w:t>第九章</w:t>
      </w:r>
      <w:r>
        <w:rPr>
          <w:rFonts w:eastAsia="方正小标宋_GBK"/>
          <w:sz w:val="36"/>
          <w:szCs w:val="36"/>
        </w:rPr>
        <w:t>保障措施</w:t>
      </w:r>
      <w:bookmarkEnd w:id="119"/>
      <w:bookmarkEnd w:id="120"/>
      <w:r>
        <w:rPr>
          <w:szCs w:val="28"/>
        </w:rPr>
        <w:tab/>
      </w:r>
    </w:p>
    <w:p>
      <w:pPr>
        <w:spacing w:beforeLines="50"/>
        <w:ind w:firstLine="198" w:firstLineChars="62"/>
        <w:jc w:val="left"/>
        <w:outlineLvl w:val="1"/>
        <w:rPr>
          <w:rFonts w:eastAsia="方正黑体_GBK"/>
          <w:b/>
          <w:sz w:val="32"/>
          <w:szCs w:val="32"/>
        </w:rPr>
      </w:pPr>
      <w:bookmarkStart w:id="121" w:name="_Toc9587877"/>
      <w:bookmarkStart w:id="122" w:name="_Toc43042561"/>
      <w:bookmarkStart w:id="123" w:name="_Toc39930947"/>
      <w:bookmarkStart w:id="124" w:name="_Toc492562634"/>
      <w:r>
        <w:rPr>
          <w:rFonts w:eastAsia="方正黑体_GBK"/>
          <w:b/>
          <w:sz w:val="32"/>
          <w:szCs w:val="32"/>
        </w:rPr>
        <w:t>9.1组织保障</w:t>
      </w:r>
      <w:bookmarkEnd w:id="121"/>
      <w:bookmarkEnd w:id="122"/>
      <w:bookmarkEnd w:id="123"/>
    </w:p>
    <w:p>
      <w:pPr>
        <w:adjustRightInd w:val="0"/>
        <w:snapToGrid w:val="0"/>
        <w:ind w:firstLine="560"/>
        <w:rPr>
          <w:szCs w:val="28"/>
        </w:rPr>
      </w:pPr>
      <w:r>
        <w:rPr>
          <w:rFonts w:hint="eastAsia"/>
          <w:szCs w:val="28"/>
        </w:rPr>
        <w:t>加强组织领导，切实推进农村生活污水治理工作展开。制定完善各项责任制，实行一级抓一级，层层抓落实。发挥政府统一协调和政策导向作用，建立起以城带乡、以工补农的机制。晋宁县人居办从相关部门抽调和社会招聘组成专门工作班子，晋宁县生态环境局主要负责做好年度建设计划安排、运维管理、检查监督和考核验收等工作，做好郊区村、中心村、重点村建设中的污水处理项目；晋宁县住建局要负责做好农村环境整治等工程项目的组织实施，对全区农村污水处理项目处理实效进行监督监测；晋宁县发改局负责做好农村生活污水处理项目的立项工作；晋宁县财政局负责相关资金的整合和做好项目资金的保障工作。各乡镇（街道办事处）是农村生活污水处理工程项目的主体，成立专门领导组织，根据本地资源、环境和生态特点，制定切实可行的实施方案，积极稳妥地组织实施。</w:t>
      </w:r>
    </w:p>
    <w:p>
      <w:pPr>
        <w:adjustRightInd w:val="0"/>
        <w:snapToGrid w:val="0"/>
        <w:ind w:firstLine="560"/>
        <w:rPr>
          <w:szCs w:val="28"/>
        </w:rPr>
      </w:pPr>
    </w:p>
    <w:p>
      <w:pPr>
        <w:spacing w:beforeLines="50"/>
        <w:ind w:firstLine="198" w:firstLineChars="62"/>
        <w:jc w:val="left"/>
        <w:outlineLvl w:val="1"/>
        <w:rPr>
          <w:rFonts w:eastAsia="方正黑体_GBK"/>
          <w:b/>
          <w:sz w:val="32"/>
          <w:szCs w:val="32"/>
        </w:rPr>
      </w:pPr>
      <w:bookmarkStart w:id="125" w:name="_Toc9587878"/>
      <w:bookmarkStart w:id="126" w:name="_Toc43042562"/>
      <w:bookmarkStart w:id="127" w:name="_Toc39930948"/>
      <w:r>
        <w:rPr>
          <w:rFonts w:eastAsia="方正黑体_GBK"/>
          <w:b/>
          <w:sz w:val="32"/>
          <w:szCs w:val="32"/>
        </w:rPr>
        <w:t>9.2资金保障</w:t>
      </w:r>
      <w:bookmarkEnd w:id="125"/>
      <w:bookmarkEnd w:id="126"/>
      <w:bookmarkEnd w:id="127"/>
    </w:p>
    <w:p>
      <w:pPr>
        <w:adjustRightInd w:val="0"/>
        <w:snapToGrid w:val="0"/>
        <w:ind w:firstLine="560"/>
        <w:rPr>
          <w:szCs w:val="28"/>
        </w:rPr>
      </w:pPr>
      <w:bookmarkStart w:id="128" w:name="_Toc9587879"/>
      <w:r>
        <w:rPr>
          <w:rFonts w:hint="eastAsia"/>
          <w:szCs w:val="28"/>
        </w:rPr>
        <w:t>由于晋宁县农民居住分散，加之山区半山区特殊的地理环境，导致农村生活污水治理成本相对较高。各级财政应加大对乡镇（街道办事处）污水处理设施建设的扶持力度，设立农村污水处理专项资金，建设及运维资金纳入年度财政预算，并积极申请省、市相关经费补助。在区财政承担部分基础上，剩余根据各乡镇（街道办事处）工作开展情况进行绩效考核，实行以奖代补，既有效地化解了镇村的资金压力，又提高了工作的积极性和主动性。各级各部门要简化审批手续、降低规费标准、开辟绿色通道、优化服务质量，凡涉及农村生活污水治理工程建设收费的项目，要能免则免、能减则减。对于一部分村级经济薄弱的村，各级财政应每年根据实施计划安排专项补助的基础上，要通过与部门、企业或社团的结对，或通过盘活村里有关资源等方法，多方筹资解决。鼓励引导和支持企业、社会团体、个人等社会力量，积极拓宽融资渠道，通过投资、捐助、认建等形式，建立政府、社会和群众多元投入机制，参与农村生活污水处理设施建设与改造。</w:t>
      </w:r>
    </w:p>
    <w:p>
      <w:pPr>
        <w:spacing w:beforeLines="50"/>
        <w:ind w:firstLine="198" w:firstLineChars="62"/>
        <w:jc w:val="left"/>
        <w:outlineLvl w:val="1"/>
        <w:rPr>
          <w:rFonts w:eastAsia="方正黑体_GBK"/>
          <w:b/>
          <w:sz w:val="32"/>
          <w:szCs w:val="32"/>
        </w:rPr>
      </w:pPr>
      <w:bookmarkStart w:id="129" w:name="_Toc39930949"/>
      <w:bookmarkStart w:id="130" w:name="_Toc43042563"/>
      <w:r>
        <w:rPr>
          <w:rFonts w:eastAsia="方正黑体_GBK"/>
          <w:b/>
          <w:sz w:val="32"/>
          <w:szCs w:val="32"/>
        </w:rPr>
        <w:t>9.3技术保障</w:t>
      </w:r>
      <w:bookmarkEnd w:id="128"/>
      <w:bookmarkEnd w:id="129"/>
      <w:bookmarkEnd w:id="130"/>
    </w:p>
    <w:p>
      <w:pPr>
        <w:adjustRightInd w:val="0"/>
        <w:snapToGrid w:val="0"/>
        <w:ind w:firstLine="560"/>
        <w:rPr>
          <w:szCs w:val="28"/>
        </w:rPr>
      </w:pPr>
      <w:bookmarkStart w:id="131" w:name="_Toc9587880"/>
      <w:r>
        <w:rPr>
          <w:rFonts w:hint="eastAsia"/>
          <w:szCs w:val="28"/>
        </w:rPr>
        <w:t>为保质保量的完成工程任务，邀请新农村建设、环境工程、工程设计和施工监理等方面的专家，建设治水专家团队，结合晋宁县农村生活污水治理的特殊性，进行技术把关和咨询服务，强化对第三方服务企业指导，形成农村生活污水治理新模式。坚持“走出去”与“请进来”相结合。组织人员到先进地区学习，通过看现场、听讲课、寻找差距与不足；邀请各地先进乡镇、村等分享经验，为晋宁县农村生活污水治理工程“问诊把脉”，针对性地进行培训和辅导。</w:t>
      </w:r>
    </w:p>
    <w:p>
      <w:pPr>
        <w:spacing w:beforeLines="50"/>
        <w:ind w:firstLine="198" w:firstLineChars="62"/>
        <w:jc w:val="left"/>
        <w:outlineLvl w:val="1"/>
        <w:rPr>
          <w:rFonts w:eastAsia="方正黑体_GBK"/>
          <w:b/>
          <w:sz w:val="32"/>
          <w:szCs w:val="32"/>
        </w:rPr>
      </w:pPr>
      <w:bookmarkStart w:id="132" w:name="_Toc39930950"/>
      <w:bookmarkStart w:id="133" w:name="_Toc43042564"/>
      <w:r>
        <w:rPr>
          <w:rFonts w:eastAsia="方正黑体_GBK"/>
          <w:b/>
          <w:sz w:val="32"/>
          <w:szCs w:val="32"/>
        </w:rPr>
        <w:t>9.4监管保障</w:t>
      </w:r>
      <w:bookmarkEnd w:id="131"/>
      <w:bookmarkEnd w:id="132"/>
      <w:bookmarkEnd w:id="133"/>
    </w:p>
    <w:bookmarkEnd w:id="124"/>
    <w:p>
      <w:pPr>
        <w:adjustRightInd w:val="0"/>
        <w:snapToGrid w:val="0"/>
        <w:ind w:firstLine="560"/>
        <w:rPr>
          <w:szCs w:val="28"/>
        </w:rPr>
      </w:pPr>
      <w:r>
        <w:rPr>
          <w:rFonts w:hint="eastAsia"/>
          <w:szCs w:val="28"/>
        </w:rPr>
        <w:t>切实加强水环境污染防治的执法监管。公开民主监督，实行“五公开”制度，认真把握农村生活污水处理设施运维管理的关键环节，进一步完善管理标准、日常制度、考核评价体系等，倒逼抓好运维管理。切实对晋宁县各乡镇（街道办事处）、运维公司进行考核，定期总结运维报告，变被动应对为主动预控，变局部关注为系统监控，既提高工作效率，又延长设备的使用寿命，使得污水处理设施长期、效、稳定运行。完善在线监管机制，开展日常环境检查机制，现场考核运维管理水平、出水水质、数字化维护管理水平以及社会评价，考核结果将作为运维资金奖补的结算依据。</w:t>
      </w:r>
    </w:p>
    <w:p>
      <w:pPr>
        <w:adjustRightInd w:val="0"/>
        <w:snapToGrid w:val="0"/>
        <w:ind w:firstLine="560"/>
        <w:rPr>
          <w:szCs w:val="28"/>
        </w:rPr>
      </w:pPr>
      <w:r>
        <w:rPr>
          <w:rFonts w:hint="eastAsia"/>
          <w:szCs w:val="28"/>
        </w:rPr>
        <w:t>组织开展农村生活污水污染源减排核查政及技术研究，开展污染源减排核算体系和减排核算试点，申报国家分散型生活污水处理设施污染源减排认可。发挥镇、村基层组织作用，入村、入户、入心宣传农村污水治理的重要意义。借助网络、电视、广播、报纸及学校等机构，对污水处理体系建设的社会效益、经济效益进行了大力的宣传，引导居民对水污染治理的重要性有进一步的认识，营造绿色环保的良好社会氛围。发动公众参与，调动村民参与生活污水治理工程建设和设施运维管理、监督的积极性，争取群众的支持，提高全社会的参与和责任意识。开展多种有关饮水安全的宣传活动，大力宣传水资源保护的思想，提高居民对水污染危害的危机认识，从源头保护水资源。</w:t>
      </w:r>
    </w:p>
    <w:p>
      <w:pPr>
        <w:widowControl/>
        <w:ind w:firstLine="440"/>
        <w:jc w:val="left"/>
        <w:rPr>
          <w:rFonts w:ascii="宋体" w:hAnsi="宋体"/>
          <w:kern w:val="0"/>
          <w:sz w:val="22"/>
        </w:rPr>
      </w:pPr>
    </w:p>
    <w:p>
      <w:pPr>
        <w:pStyle w:val="4"/>
      </w:pPr>
    </w:p>
    <w:sectPr>
      <w:footerReference r:id="rId12" w:type="default"/>
      <w:pgSz w:w="23814" w:h="16840" w:orient="landscape"/>
      <w:pgMar w:top="1797" w:right="1440" w:bottom="1797" w:left="1440" w:header="851" w:footer="992" w:gutter="0"/>
      <w:cols w:space="425" w:num="2"/>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方正仿宋_GB2312">
    <w:altName w:val="微软雅黑"/>
    <w:panose1 w:val="00000000000000000000"/>
    <w:charset w:val="86"/>
    <w:family w:val="auto"/>
    <w:pitch w:val="default"/>
    <w:sig w:usb0="00000000" w:usb1="00000000" w:usb2="00000012"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634620"/>
      <w:docPartObj>
        <w:docPartGallery w:val="AutoText"/>
      </w:docPartObj>
    </w:sdtPr>
    <w:sdtEndPr>
      <w:rPr>
        <w:sz w:val="24"/>
        <w:szCs w:val="24"/>
      </w:rPr>
    </w:sdtEndPr>
    <w:sdtContent>
      <w:p>
        <w:pPr>
          <w:pStyle w:val="15"/>
          <w:ind w:firstLine="36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45</w:t>
        </w:r>
        <w:r>
          <w:rPr>
            <w:sz w:val="24"/>
            <w:szCs w:val="24"/>
            <w:lang w:val="zh-CN"/>
          </w:rPr>
          <w:fldChar w:fldCharType="end"/>
        </w:r>
      </w:p>
    </w:sdtContent>
  </w:sdt>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360"/>
      <w:rPr>
        <w:rStyle w:val="29"/>
      </w:rPr>
    </w:pPr>
    <w:r>
      <w:rPr>
        <w:rStyle w:val="29"/>
      </w:rPr>
      <w:fldChar w:fldCharType="begin"/>
    </w:r>
    <w:r>
      <w:rPr>
        <w:rStyle w:val="29"/>
      </w:rPr>
      <w:instrText xml:space="preserve">PAGE  </w:instrText>
    </w:r>
    <w:r>
      <w:rPr>
        <w:rStyle w:val="29"/>
      </w:rPr>
      <w:fldChar w:fldCharType="end"/>
    </w:r>
  </w:p>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fldChar w:fldCharType="begin"/>
    </w:r>
    <w:r>
      <w:instrText xml:space="preserve">PAGE   \* MERGEFORMAT</w:instrText>
    </w:r>
    <w:r>
      <w:fldChar w:fldCharType="separate"/>
    </w:r>
    <w:r>
      <w:rPr>
        <w:lang w:val="zh-CN"/>
      </w:rPr>
      <w:t>26</w:t>
    </w:r>
    <w:r>
      <w:rPr>
        <w:lang w:val="zh-CN"/>
      </w:rPr>
      <w:fldChar w:fldCharType="end"/>
    </w:r>
  </w:p>
  <w:p>
    <w:pPr>
      <w:pStyle w:val="1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80"/>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rPr>
      <w:t>47</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E0998"/>
    <w:multiLevelType w:val="multilevel"/>
    <w:tmpl w:val="154E0998"/>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2660"/>
    <w:rsid w:val="000036B6"/>
    <w:rsid w:val="00004C6A"/>
    <w:rsid w:val="00004F4E"/>
    <w:rsid w:val="000064FC"/>
    <w:rsid w:val="00010A0F"/>
    <w:rsid w:val="0001257B"/>
    <w:rsid w:val="00016739"/>
    <w:rsid w:val="000173CA"/>
    <w:rsid w:val="000178C6"/>
    <w:rsid w:val="00017DB5"/>
    <w:rsid w:val="0002381F"/>
    <w:rsid w:val="00023D92"/>
    <w:rsid w:val="0002603B"/>
    <w:rsid w:val="00026FA5"/>
    <w:rsid w:val="00027956"/>
    <w:rsid w:val="0003061B"/>
    <w:rsid w:val="00031534"/>
    <w:rsid w:val="00031BEB"/>
    <w:rsid w:val="0003575C"/>
    <w:rsid w:val="00036CAA"/>
    <w:rsid w:val="000370EC"/>
    <w:rsid w:val="00037264"/>
    <w:rsid w:val="000379BE"/>
    <w:rsid w:val="00043BF3"/>
    <w:rsid w:val="000457F4"/>
    <w:rsid w:val="00045A22"/>
    <w:rsid w:val="000465FC"/>
    <w:rsid w:val="0004672E"/>
    <w:rsid w:val="00047137"/>
    <w:rsid w:val="00047974"/>
    <w:rsid w:val="00050353"/>
    <w:rsid w:val="00053CE6"/>
    <w:rsid w:val="00055402"/>
    <w:rsid w:val="0005562A"/>
    <w:rsid w:val="000566B8"/>
    <w:rsid w:val="0006024D"/>
    <w:rsid w:val="00061516"/>
    <w:rsid w:val="00062B54"/>
    <w:rsid w:val="00062DF3"/>
    <w:rsid w:val="000630EB"/>
    <w:rsid w:val="00063365"/>
    <w:rsid w:val="0006357C"/>
    <w:rsid w:val="00065C7D"/>
    <w:rsid w:val="000665FF"/>
    <w:rsid w:val="00070E53"/>
    <w:rsid w:val="0007216A"/>
    <w:rsid w:val="000722BA"/>
    <w:rsid w:val="000734B1"/>
    <w:rsid w:val="00075A6E"/>
    <w:rsid w:val="000774AD"/>
    <w:rsid w:val="00087E3A"/>
    <w:rsid w:val="00091729"/>
    <w:rsid w:val="0009397D"/>
    <w:rsid w:val="00094CBD"/>
    <w:rsid w:val="00095EE1"/>
    <w:rsid w:val="00096255"/>
    <w:rsid w:val="00097431"/>
    <w:rsid w:val="00097464"/>
    <w:rsid w:val="000A04BE"/>
    <w:rsid w:val="000A33E8"/>
    <w:rsid w:val="000A3C9A"/>
    <w:rsid w:val="000A409C"/>
    <w:rsid w:val="000A41B1"/>
    <w:rsid w:val="000A738F"/>
    <w:rsid w:val="000A7CAA"/>
    <w:rsid w:val="000B3CBE"/>
    <w:rsid w:val="000B54EF"/>
    <w:rsid w:val="000B66E1"/>
    <w:rsid w:val="000B7B02"/>
    <w:rsid w:val="000C134B"/>
    <w:rsid w:val="000C1C00"/>
    <w:rsid w:val="000C2609"/>
    <w:rsid w:val="000C3B1D"/>
    <w:rsid w:val="000C617A"/>
    <w:rsid w:val="000D1A03"/>
    <w:rsid w:val="000D3E74"/>
    <w:rsid w:val="000D7EAC"/>
    <w:rsid w:val="000E0A87"/>
    <w:rsid w:val="000E1599"/>
    <w:rsid w:val="000E27E2"/>
    <w:rsid w:val="000E336C"/>
    <w:rsid w:val="000E65FA"/>
    <w:rsid w:val="000E71B8"/>
    <w:rsid w:val="000F0A76"/>
    <w:rsid w:val="000F12BB"/>
    <w:rsid w:val="000F1994"/>
    <w:rsid w:val="000F1A49"/>
    <w:rsid w:val="000F4E78"/>
    <w:rsid w:val="000F6760"/>
    <w:rsid w:val="000F72F6"/>
    <w:rsid w:val="000F7673"/>
    <w:rsid w:val="001007D2"/>
    <w:rsid w:val="00100B48"/>
    <w:rsid w:val="00110984"/>
    <w:rsid w:val="001148A8"/>
    <w:rsid w:val="00114CD7"/>
    <w:rsid w:val="00114E96"/>
    <w:rsid w:val="00114FA1"/>
    <w:rsid w:val="00117FB4"/>
    <w:rsid w:val="00123E32"/>
    <w:rsid w:val="00124D94"/>
    <w:rsid w:val="00125248"/>
    <w:rsid w:val="0013018F"/>
    <w:rsid w:val="00135082"/>
    <w:rsid w:val="00137391"/>
    <w:rsid w:val="00140717"/>
    <w:rsid w:val="00140D2C"/>
    <w:rsid w:val="001438E4"/>
    <w:rsid w:val="001449EF"/>
    <w:rsid w:val="001460FB"/>
    <w:rsid w:val="00146337"/>
    <w:rsid w:val="00151604"/>
    <w:rsid w:val="00152436"/>
    <w:rsid w:val="00152FA5"/>
    <w:rsid w:val="00155514"/>
    <w:rsid w:val="001567D6"/>
    <w:rsid w:val="0015741F"/>
    <w:rsid w:val="001618AD"/>
    <w:rsid w:val="00161A5F"/>
    <w:rsid w:val="00161C13"/>
    <w:rsid w:val="00162725"/>
    <w:rsid w:val="00163D91"/>
    <w:rsid w:val="001646D9"/>
    <w:rsid w:val="00175024"/>
    <w:rsid w:val="00175C2C"/>
    <w:rsid w:val="00175CCE"/>
    <w:rsid w:val="00175D1B"/>
    <w:rsid w:val="001772A0"/>
    <w:rsid w:val="001802A9"/>
    <w:rsid w:val="0018086C"/>
    <w:rsid w:val="00180B2E"/>
    <w:rsid w:val="00181CBA"/>
    <w:rsid w:val="0018242E"/>
    <w:rsid w:val="0018371F"/>
    <w:rsid w:val="00191466"/>
    <w:rsid w:val="00192942"/>
    <w:rsid w:val="00196AA0"/>
    <w:rsid w:val="00196E12"/>
    <w:rsid w:val="001A3458"/>
    <w:rsid w:val="001A75BF"/>
    <w:rsid w:val="001B2E47"/>
    <w:rsid w:val="001B3689"/>
    <w:rsid w:val="001B5136"/>
    <w:rsid w:val="001B550A"/>
    <w:rsid w:val="001B63C6"/>
    <w:rsid w:val="001B7044"/>
    <w:rsid w:val="001C27FA"/>
    <w:rsid w:val="001C3258"/>
    <w:rsid w:val="001C3279"/>
    <w:rsid w:val="001C64E5"/>
    <w:rsid w:val="001C691F"/>
    <w:rsid w:val="001D1568"/>
    <w:rsid w:val="001D422F"/>
    <w:rsid w:val="001E48AC"/>
    <w:rsid w:val="001F009B"/>
    <w:rsid w:val="001F3DE4"/>
    <w:rsid w:val="001F5E0A"/>
    <w:rsid w:val="001F77D2"/>
    <w:rsid w:val="0020170B"/>
    <w:rsid w:val="002021F7"/>
    <w:rsid w:val="00202F1F"/>
    <w:rsid w:val="00207C7F"/>
    <w:rsid w:val="002112F2"/>
    <w:rsid w:val="002138F9"/>
    <w:rsid w:val="002144C0"/>
    <w:rsid w:val="00215F30"/>
    <w:rsid w:val="002174C3"/>
    <w:rsid w:val="00217D8A"/>
    <w:rsid w:val="00222000"/>
    <w:rsid w:val="002233F8"/>
    <w:rsid w:val="00224534"/>
    <w:rsid w:val="00225459"/>
    <w:rsid w:val="002273EC"/>
    <w:rsid w:val="002277BB"/>
    <w:rsid w:val="002321A2"/>
    <w:rsid w:val="00232256"/>
    <w:rsid w:val="002330A6"/>
    <w:rsid w:val="002378B7"/>
    <w:rsid w:val="00237D2B"/>
    <w:rsid w:val="002406A8"/>
    <w:rsid w:val="00241F41"/>
    <w:rsid w:val="00245592"/>
    <w:rsid w:val="00247608"/>
    <w:rsid w:val="00250D45"/>
    <w:rsid w:val="0025214B"/>
    <w:rsid w:val="00253F28"/>
    <w:rsid w:val="00255B56"/>
    <w:rsid w:val="002560D3"/>
    <w:rsid w:val="00257567"/>
    <w:rsid w:val="00257EA9"/>
    <w:rsid w:val="00260168"/>
    <w:rsid w:val="00262403"/>
    <w:rsid w:val="002647EB"/>
    <w:rsid w:val="002654FD"/>
    <w:rsid w:val="00270810"/>
    <w:rsid w:val="002712CC"/>
    <w:rsid w:val="00275AC0"/>
    <w:rsid w:val="002765C9"/>
    <w:rsid w:val="002772FA"/>
    <w:rsid w:val="00277B06"/>
    <w:rsid w:val="002801AE"/>
    <w:rsid w:val="00280399"/>
    <w:rsid w:val="00280A9A"/>
    <w:rsid w:val="002826A2"/>
    <w:rsid w:val="00283522"/>
    <w:rsid w:val="00283F72"/>
    <w:rsid w:val="002847A0"/>
    <w:rsid w:val="0028482B"/>
    <w:rsid w:val="00287E20"/>
    <w:rsid w:val="00287E87"/>
    <w:rsid w:val="00290038"/>
    <w:rsid w:val="00290284"/>
    <w:rsid w:val="00291854"/>
    <w:rsid w:val="00293336"/>
    <w:rsid w:val="002A2E3F"/>
    <w:rsid w:val="002A5947"/>
    <w:rsid w:val="002B1007"/>
    <w:rsid w:val="002B3F70"/>
    <w:rsid w:val="002B4CD0"/>
    <w:rsid w:val="002B5D27"/>
    <w:rsid w:val="002B7FAC"/>
    <w:rsid w:val="002C00EA"/>
    <w:rsid w:val="002C33B2"/>
    <w:rsid w:val="002C5516"/>
    <w:rsid w:val="002D071F"/>
    <w:rsid w:val="002D091C"/>
    <w:rsid w:val="002D60CB"/>
    <w:rsid w:val="002E1926"/>
    <w:rsid w:val="002E3F75"/>
    <w:rsid w:val="002E7A5F"/>
    <w:rsid w:val="002F046E"/>
    <w:rsid w:val="002F0E81"/>
    <w:rsid w:val="002F1369"/>
    <w:rsid w:val="002F2656"/>
    <w:rsid w:val="002F28E4"/>
    <w:rsid w:val="002F3833"/>
    <w:rsid w:val="002F3F8A"/>
    <w:rsid w:val="002F42BE"/>
    <w:rsid w:val="002F432C"/>
    <w:rsid w:val="002F6951"/>
    <w:rsid w:val="0030027B"/>
    <w:rsid w:val="00300399"/>
    <w:rsid w:val="0030175E"/>
    <w:rsid w:val="00301FE3"/>
    <w:rsid w:val="00302931"/>
    <w:rsid w:val="00303CBE"/>
    <w:rsid w:val="0030692B"/>
    <w:rsid w:val="00306BA6"/>
    <w:rsid w:val="00306D67"/>
    <w:rsid w:val="0030734B"/>
    <w:rsid w:val="003075CC"/>
    <w:rsid w:val="00310E54"/>
    <w:rsid w:val="00313170"/>
    <w:rsid w:val="00313A34"/>
    <w:rsid w:val="003150CC"/>
    <w:rsid w:val="00316625"/>
    <w:rsid w:val="00320F99"/>
    <w:rsid w:val="00322D7B"/>
    <w:rsid w:val="00323FD8"/>
    <w:rsid w:val="003241B3"/>
    <w:rsid w:val="00324B2C"/>
    <w:rsid w:val="00325972"/>
    <w:rsid w:val="0032682B"/>
    <w:rsid w:val="00326F66"/>
    <w:rsid w:val="00327073"/>
    <w:rsid w:val="0032730E"/>
    <w:rsid w:val="00332E7C"/>
    <w:rsid w:val="00333783"/>
    <w:rsid w:val="003349D5"/>
    <w:rsid w:val="00335D55"/>
    <w:rsid w:val="00337228"/>
    <w:rsid w:val="00337664"/>
    <w:rsid w:val="0033792C"/>
    <w:rsid w:val="003408BB"/>
    <w:rsid w:val="00341493"/>
    <w:rsid w:val="00342563"/>
    <w:rsid w:val="00345F7E"/>
    <w:rsid w:val="003463DD"/>
    <w:rsid w:val="00346529"/>
    <w:rsid w:val="00346E8C"/>
    <w:rsid w:val="003527D8"/>
    <w:rsid w:val="00356162"/>
    <w:rsid w:val="0035647D"/>
    <w:rsid w:val="00357D8D"/>
    <w:rsid w:val="003608B3"/>
    <w:rsid w:val="00360C2A"/>
    <w:rsid w:val="00363BB0"/>
    <w:rsid w:val="00366030"/>
    <w:rsid w:val="0036677A"/>
    <w:rsid w:val="00366BB2"/>
    <w:rsid w:val="003670F2"/>
    <w:rsid w:val="00367AD3"/>
    <w:rsid w:val="00367D3D"/>
    <w:rsid w:val="00372AF7"/>
    <w:rsid w:val="00372D18"/>
    <w:rsid w:val="00373E82"/>
    <w:rsid w:val="0038008B"/>
    <w:rsid w:val="00381307"/>
    <w:rsid w:val="00381D02"/>
    <w:rsid w:val="00381E8A"/>
    <w:rsid w:val="0038306A"/>
    <w:rsid w:val="00387529"/>
    <w:rsid w:val="00387F49"/>
    <w:rsid w:val="003932DF"/>
    <w:rsid w:val="00393751"/>
    <w:rsid w:val="00393C45"/>
    <w:rsid w:val="00394526"/>
    <w:rsid w:val="0039478F"/>
    <w:rsid w:val="00395810"/>
    <w:rsid w:val="00396CAB"/>
    <w:rsid w:val="00397D17"/>
    <w:rsid w:val="003A02EB"/>
    <w:rsid w:val="003A156E"/>
    <w:rsid w:val="003A4CB2"/>
    <w:rsid w:val="003A6239"/>
    <w:rsid w:val="003B161B"/>
    <w:rsid w:val="003B36DE"/>
    <w:rsid w:val="003B7CAD"/>
    <w:rsid w:val="003C12F6"/>
    <w:rsid w:val="003C1DA1"/>
    <w:rsid w:val="003C4068"/>
    <w:rsid w:val="003C4F67"/>
    <w:rsid w:val="003C7AE3"/>
    <w:rsid w:val="003D0044"/>
    <w:rsid w:val="003D2B6A"/>
    <w:rsid w:val="003D4D5E"/>
    <w:rsid w:val="003E1734"/>
    <w:rsid w:val="003E4770"/>
    <w:rsid w:val="003E4772"/>
    <w:rsid w:val="003E6B47"/>
    <w:rsid w:val="003E71D2"/>
    <w:rsid w:val="003F00CA"/>
    <w:rsid w:val="003F1C71"/>
    <w:rsid w:val="003F52F9"/>
    <w:rsid w:val="00401F86"/>
    <w:rsid w:val="0040607F"/>
    <w:rsid w:val="0041123D"/>
    <w:rsid w:val="004152E2"/>
    <w:rsid w:val="00415802"/>
    <w:rsid w:val="00415BFE"/>
    <w:rsid w:val="00415CAD"/>
    <w:rsid w:val="0041734E"/>
    <w:rsid w:val="00420C27"/>
    <w:rsid w:val="0042213F"/>
    <w:rsid w:val="00423ACB"/>
    <w:rsid w:val="00424BDC"/>
    <w:rsid w:val="004278BF"/>
    <w:rsid w:val="00431224"/>
    <w:rsid w:val="004329CD"/>
    <w:rsid w:val="00435D93"/>
    <w:rsid w:val="00440123"/>
    <w:rsid w:val="00440F82"/>
    <w:rsid w:val="004423E1"/>
    <w:rsid w:val="00446D64"/>
    <w:rsid w:val="00447FEF"/>
    <w:rsid w:val="00452ACC"/>
    <w:rsid w:val="004532D4"/>
    <w:rsid w:val="00453B81"/>
    <w:rsid w:val="00453DBB"/>
    <w:rsid w:val="0045733F"/>
    <w:rsid w:val="00461566"/>
    <w:rsid w:val="004617B9"/>
    <w:rsid w:val="00461AFE"/>
    <w:rsid w:val="0046732D"/>
    <w:rsid w:val="00467C88"/>
    <w:rsid w:val="0047093A"/>
    <w:rsid w:val="00472660"/>
    <w:rsid w:val="0047781A"/>
    <w:rsid w:val="0048646A"/>
    <w:rsid w:val="00486D99"/>
    <w:rsid w:val="00486FDF"/>
    <w:rsid w:val="004900EA"/>
    <w:rsid w:val="004909C8"/>
    <w:rsid w:val="004930D9"/>
    <w:rsid w:val="0049313E"/>
    <w:rsid w:val="00495405"/>
    <w:rsid w:val="004960D8"/>
    <w:rsid w:val="004A1500"/>
    <w:rsid w:val="004A2F0A"/>
    <w:rsid w:val="004A4008"/>
    <w:rsid w:val="004A7215"/>
    <w:rsid w:val="004B0A2A"/>
    <w:rsid w:val="004B1B21"/>
    <w:rsid w:val="004B2CEB"/>
    <w:rsid w:val="004B3C7C"/>
    <w:rsid w:val="004B4320"/>
    <w:rsid w:val="004B44DD"/>
    <w:rsid w:val="004C03BD"/>
    <w:rsid w:val="004C2D5D"/>
    <w:rsid w:val="004C2FD6"/>
    <w:rsid w:val="004C3A02"/>
    <w:rsid w:val="004C6048"/>
    <w:rsid w:val="004C6060"/>
    <w:rsid w:val="004C7D35"/>
    <w:rsid w:val="004D0B98"/>
    <w:rsid w:val="004D223C"/>
    <w:rsid w:val="004D428D"/>
    <w:rsid w:val="004D75F9"/>
    <w:rsid w:val="004D78F6"/>
    <w:rsid w:val="004E15FD"/>
    <w:rsid w:val="004E2D0C"/>
    <w:rsid w:val="004E54DB"/>
    <w:rsid w:val="004E5E3A"/>
    <w:rsid w:val="004E6B8E"/>
    <w:rsid w:val="004E6E03"/>
    <w:rsid w:val="004F12B0"/>
    <w:rsid w:val="004F193E"/>
    <w:rsid w:val="004F4079"/>
    <w:rsid w:val="005010C2"/>
    <w:rsid w:val="00501362"/>
    <w:rsid w:val="00502EAD"/>
    <w:rsid w:val="00504C43"/>
    <w:rsid w:val="00510468"/>
    <w:rsid w:val="005107C0"/>
    <w:rsid w:val="00510C34"/>
    <w:rsid w:val="00510C63"/>
    <w:rsid w:val="00510FC7"/>
    <w:rsid w:val="00511755"/>
    <w:rsid w:val="00511C0F"/>
    <w:rsid w:val="00511D01"/>
    <w:rsid w:val="0051279C"/>
    <w:rsid w:val="005137E3"/>
    <w:rsid w:val="00516001"/>
    <w:rsid w:val="005164FB"/>
    <w:rsid w:val="0052085F"/>
    <w:rsid w:val="00523BF8"/>
    <w:rsid w:val="00525E89"/>
    <w:rsid w:val="00526AA1"/>
    <w:rsid w:val="005304C6"/>
    <w:rsid w:val="00532D58"/>
    <w:rsid w:val="00532EA6"/>
    <w:rsid w:val="0053365E"/>
    <w:rsid w:val="005412D9"/>
    <w:rsid w:val="00541F93"/>
    <w:rsid w:val="00542942"/>
    <w:rsid w:val="00545170"/>
    <w:rsid w:val="005460F9"/>
    <w:rsid w:val="00550B99"/>
    <w:rsid w:val="0055156A"/>
    <w:rsid w:val="0055366A"/>
    <w:rsid w:val="005576C6"/>
    <w:rsid w:val="005626A6"/>
    <w:rsid w:val="00563156"/>
    <w:rsid w:val="0056346D"/>
    <w:rsid w:val="00566DE1"/>
    <w:rsid w:val="00573618"/>
    <w:rsid w:val="0057749A"/>
    <w:rsid w:val="00581A4D"/>
    <w:rsid w:val="0058442E"/>
    <w:rsid w:val="005857C0"/>
    <w:rsid w:val="0058687E"/>
    <w:rsid w:val="005918A1"/>
    <w:rsid w:val="00594930"/>
    <w:rsid w:val="00597899"/>
    <w:rsid w:val="00597B93"/>
    <w:rsid w:val="005A3778"/>
    <w:rsid w:val="005A3AA9"/>
    <w:rsid w:val="005A4EFE"/>
    <w:rsid w:val="005A6DA4"/>
    <w:rsid w:val="005A73B2"/>
    <w:rsid w:val="005B2483"/>
    <w:rsid w:val="005B562B"/>
    <w:rsid w:val="005B776D"/>
    <w:rsid w:val="005C0F70"/>
    <w:rsid w:val="005C363F"/>
    <w:rsid w:val="005C4232"/>
    <w:rsid w:val="005C78D2"/>
    <w:rsid w:val="005D0638"/>
    <w:rsid w:val="005D284B"/>
    <w:rsid w:val="005D2F52"/>
    <w:rsid w:val="005D613B"/>
    <w:rsid w:val="005D7F2A"/>
    <w:rsid w:val="005E311B"/>
    <w:rsid w:val="005F1381"/>
    <w:rsid w:val="005F3952"/>
    <w:rsid w:val="005F3C73"/>
    <w:rsid w:val="005F58D1"/>
    <w:rsid w:val="005F7911"/>
    <w:rsid w:val="005F7DC1"/>
    <w:rsid w:val="005F7F53"/>
    <w:rsid w:val="00600736"/>
    <w:rsid w:val="00606376"/>
    <w:rsid w:val="00611726"/>
    <w:rsid w:val="0061283D"/>
    <w:rsid w:val="0061299D"/>
    <w:rsid w:val="00614695"/>
    <w:rsid w:val="00615009"/>
    <w:rsid w:val="00615438"/>
    <w:rsid w:val="0061573F"/>
    <w:rsid w:val="00616888"/>
    <w:rsid w:val="006206A7"/>
    <w:rsid w:val="006218A0"/>
    <w:rsid w:val="00621BDC"/>
    <w:rsid w:val="0062280D"/>
    <w:rsid w:val="00625397"/>
    <w:rsid w:val="006267E1"/>
    <w:rsid w:val="00627EE5"/>
    <w:rsid w:val="00631E79"/>
    <w:rsid w:val="00633695"/>
    <w:rsid w:val="00633770"/>
    <w:rsid w:val="0063794F"/>
    <w:rsid w:val="0064371E"/>
    <w:rsid w:val="00643B23"/>
    <w:rsid w:val="00644418"/>
    <w:rsid w:val="006454F6"/>
    <w:rsid w:val="00646283"/>
    <w:rsid w:val="006463BC"/>
    <w:rsid w:val="00647498"/>
    <w:rsid w:val="00647956"/>
    <w:rsid w:val="00647C3E"/>
    <w:rsid w:val="00650A1F"/>
    <w:rsid w:val="0065188D"/>
    <w:rsid w:val="0065212E"/>
    <w:rsid w:val="00656A18"/>
    <w:rsid w:val="00662798"/>
    <w:rsid w:val="0066339D"/>
    <w:rsid w:val="006633BB"/>
    <w:rsid w:val="00665225"/>
    <w:rsid w:val="00665E25"/>
    <w:rsid w:val="00667337"/>
    <w:rsid w:val="0067464D"/>
    <w:rsid w:val="00676262"/>
    <w:rsid w:val="0067738C"/>
    <w:rsid w:val="00677505"/>
    <w:rsid w:val="00677BCC"/>
    <w:rsid w:val="00680B0B"/>
    <w:rsid w:val="00681AD7"/>
    <w:rsid w:val="006832E7"/>
    <w:rsid w:val="006838F7"/>
    <w:rsid w:val="00683F77"/>
    <w:rsid w:val="00684790"/>
    <w:rsid w:val="00687121"/>
    <w:rsid w:val="0069087D"/>
    <w:rsid w:val="00690A4C"/>
    <w:rsid w:val="00691507"/>
    <w:rsid w:val="00692DA6"/>
    <w:rsid w:val="0069320A"/>
    <w:rsid w:val="00693996"/>
    <w:rsid w:val="00694940"/>
    <w:rsid w:val="006A059F"/>
    <w:rsid w:val="006A1A8B"/>
    <w:rsid w:val="006A497E"/>
    <w:rsid w:val="006A540D"/>
    <w:rsid w:val="006A7C96"/>
    <w:rsid w:val="006B1F08"/>
    <w:rsid w:val="006B3B4C"/>
    <w:rsid w:val="006B4BAB"/>
    <w:rsid w:val="006B6255"/>
    <w:rsid w:val="006B6AE4"/>
    <w:rsid w:val="006B7651"/>
    <w:rsid w:val="006C1566"/>
    <w:rsid w:val="006C2F20"/>
    <w:rsid w:val="006C3606"/>
    <w:rsid w:val="006C3C8E"/>
    <w:rsid w:val="006C41D2"/>
    <w:rsid w:val="006C4485"/>
    <w:rsid w:val="006C44A1"/>
    <w:rsid w:val="006C7983"/>
    <w:rsid w:val="006C7F67"/>
    <w:rsid w:val="006D13CD"/>
    <w:rsid w:val="006D1F7E"/>
    <w:rsid w:val="006D2B39"/>
    <w:rsid w:val="006D3B8C"/>
    <w:rsid w:val="006D3E43"/>
    <w:rsid w:val="006D42D5"/>
    <w:rsid w:val="006D4607"/>
    <w:rsid w:val="006D5F6E"/>
    <w:rsid w:val="006D75F0"/>
    <w:rsid w:val="006E4E5A"/>
    <w:rsid w:val="006E5F4B"/>
    <w:rsid w:val="006F1E5D"/>
    <w:rsid w:val="006F2AB0"/>
    <w:rsid w:val="006F3ED3"/>
    <w:rsid w:val="006F47A6"/>
    <w:rsid w:val="006F503C"/>
    <w:rsid w:val="006F6F5A"/>
    <w:rsid w:val="00700B66"/>
    <w:rsid w:val="007025CB"/>
    <w:rsid w:val="00703248"/>
    <w:rsid w:val="00703430"/>
    <w:rsid w:val="00703EA9"/>
    <w:rsid w:val="00704BC6"/>
    <w:rsid w:val="00706CD7"/>
    <w:rsid w:val="00707B50"/>
    <w:rsid w:val="007121E3"/>
    <w:rsid w:val="0071613F"/>
    <w:rsid w:val="007203AE"/>
    <w:rsid w:val="00720950"/>
    <w:rsid w:val="00722116"/>
    <w:rsid w:val="00724070"/>
    <w:rsid w:val="007273DB"/>
    <w:rsid w:val="00731547"/>
    <w:rsid w:val="007345B5"/>
    <w:rsid w:val="0073500C"/>
    <w:rsid w:val="00737615"/>
    <w:rsid w:val="00740055"/>
    <w:rsid w:val="00741F96"/>
    <w:rsid w:val="00742C92"/>
    <w:rsid w:val="00742F2B"/>
    <w:rsid w:val="00745B00"/>
    <w:rsid w:val="00745CE7"/>
    <w:rsid w:val="00746A30"/>
    <w:rsid w:val="0074734C"/>
    <w:rsid w:val="007511ED"/>
    <w:rsid w:val="007521A2"/>
    <w:rsid w:val="00752467"/>
    <w:rsid w:val="00753277"/>
    <w:rsid w:val="0075629D"/>
    <w:rsid w:val="007639FF"/>
    <w:rsid w:val="007652AF"/>
    <w:rsid w:val="007707FD"/>
    <w:rsid w:val="00771D6C"/>
    <w:rsid w:val="00773B63"/>
    <w:rsid w:val="00774BBC"/>
    <w:rsid w:val="0077617C"/>
    <w:rsid w:val="007768F1"/>
    <w:rsid w:val="0078590C"/>
    <w:rsid w:val="007867DB"/>
    <w:rsid w:val="0078715B"/>
    <w:rsid w:val="00791190"/>
    <w:rsid w:val="00792310"/>
    <w:rsid w:val="00793219"/>
    <w:rsid w:val="007940F8"/>
    <w:rsid w:val="007A100A"/>
    <w:rsid w:val="007A3720"/>
    <w:rsid w:val="007A511E"/>
    <w:rsid w:val="007A6129"/>
    <w:rsid w:val="007A6CAB"/>
    <w:rsid w:val="007A7989"/>
    <w:rsid w:val="007B0BCF"/>
    <w:rsid w:val="007B1006"/>
    <w:rsid w:val="007B17A9"/>
    <w:rsid w:val="007B2945"/>
    <w:rsid w:val="007B3A77"/>
    <w:rsid w:val="007C4860"/>
    <w:rsid w:val="007C4CA7"/>
    <w:rsid w:val="007C7411"/>
    <w:rsid w:val="007C778E"/>
    <w:rsid w:val="007D07AE"/>
    <w:rsid w:val="007D13DC"/>
    <w:rsid w:val="007D17E5"/>
    <w:rsid w:val="007D2436"/>
    <w:rsid w:val="007D393B"/>
    <w:rsid w:val="007D3F14"/>
    <w:rsid w:val="007E0DB2"/>
    <w:rsid w:val="007E2487"/>
    <w:rsid w:val="007E3171"/>
    <w:rsid w:val="007F0D92"/>
    <w:rsid w:val="007F200A"/>
    <w:rsid w:val="007F3F71"/>
    <w:rsid w:val="007F42CD"/>
    <w:rsid w:val="007F737C"/>
    <w:rsid w:val="008019A2"/>
    <w:rsid w:val="0080284B"/>
    <w:rsid w:val="00804E6A"/>
    <w:rsid w:val="00806103"/>
    <w:rsid w:val="00806DA5"/>
    <w:rsid w:val="008074B3"/>
    <w:rsid w:val="00810AC5"/>
    <w:rsid w:val="0081122B"/>
    <w:rsid w:val="00813D65"/>
    <w:rsid w:val="0082008B"/>
    <w:rsid w:val="00820B7A"/>
    <w:rsid w:val="00821969"/>
    <w:rsid w:val="008220C3"/>
    <w:rsid w:val="00822927"/>
    <w:rsid w:val="00822CFA"/>
    <w:rsid w:val="00823D0A"/>
    <w:rsid w:val="00825A76"/>
    <w:rsid w:val="00825F4F"/>
    <w:rsid w:val="008278A6"/>
    <w:rsid w:val="00831B80"/>
    <w:rsid w:val="008323CB"/>
    <w:rsid w:val="0083269C"/>
    <w:rsid w:val="00833269"/>
    <w:rsid w:val="00837A48"/>
    <w:rsid w:val="008421CE"/>
    <w:rsid w:val="00843375"/>
    <w:rsid w:val="00843972"/>
    <w:rsid w:val="008444C9"/>
    <w:rsid w:val="008476AC"/>
    <w:rsid w:val="008531F1"/>
    <w:rsid w:val="00853C18"/>
    <w:rsid w:val="00853C9F"/>
    <w:rsid w:val="00855311"/>
    <w:rsid w:val="00856572"/>
    <w:rsid w:val="00857944"/>
    <w:rsid w:val="008624F5"/>
    <w:rsid w:val="008626CF"/>
    <w:rsid w:val="00865298"/>
    <w:rsid w:val="00870C8F"/>
    <w:rsid w:val="00870D21"/>
    <w:rsid w:val="00872A47"/>
    <w:rsid w:val="00873EEC"/>
    <w:rsid w:val="00877953"/>
    <w:rsid w:val="00880321"/>
    <w:rsid w:val="00881F6C"/>
    <w:rsid w:val="00882484"/>
    <w:rsid w:val="00884191"/>
    <w:rsid w:val="008875FE"/>
    <w:rsid w:val="00890493"/>
    <w:rsid w:val="00890788"/>
    <w:rsid w:val="0089362C"/>
    <w:rsid w:val="0089391B"/>
    <w:rsid w:val="00895FFD"/>
    <w:rsid w:val="008973B8"/>
    <w:rsid w:val="008B047F"/>
    <w:rsid w:val="008B125D"/>
    <w:rsid w:val="008B2357"/>
    <w:rsid w:val="008C243A"/>
    <w:rsid w:val="008C5FA4"/>
    <w:rsid w:val="008C6FA4"/>
    <w:rsid w:val="008D046B"/>
    <w:rsid w:val="008D08CB"/>
    <w:rsid w:val="008D0A8C"/>
    <w:rsid w:val="008D160B"/>
    <w:rsid w:val="008D242A"/>
    <w:rsid w:val="008D33CD"/>
    <w:rsid w:val="008D5C7F"/>
    <w:rsid w:val="008E30F0"/>
    <w:rsid w:val="008E3F8A"/>
    <w:rsid w:val="008E6C20"/>
    <w:rsid w:val="008E6D0C"/>
    <w:rsid w:val="008E78DF"/>
    <w:rsid w:val="008F3A29"/>
    <w:rsid w:val="008F3C01"/>
    <w:rsid w:val="008F3E78"/>
    <w:rsid w:val="008F7425"/>
    <w:rsid w:val="008F77AE"/>
    <w:rsid w:val="009001C4"/>
    <w:rsid w:val="009014E9"/>
    <w:rsid w:val="009025B8"/>
    <w:rsid w:val="00902ED9"/>
    <w:rsid w:val="0090455E"/>
    <w:rsid w:val="0090459B"/>
    <w:rsid w:val="00905F77"/>
    <w:rsid w:val="00910F1B"/>
    <w:rsid w:val="009110BA"/>
    <w:rsid w:val="009135CA"/>
    <w:rsid w:val="00914914"/>
    <w:rsid w:val="00922222"/>
    <w:rsid w:val="00923526"/>
    <w:rsid w:val="00924E48"/>
    <w:rsid w:val="009307D1"/>
    <w:rsid w:val="00932052"/>
    <w:rsid w:val="009320AF"/>
    <w:rsid w:val="00932EDC"/>
    <w:rsid w:val="009331E4"/>
    <w:rsid w:val="00933801"/>
    <w:rsid w:val="00934278"/>
    <w:rsid w:val="00935CA2"/>
    <w:rsid w:val="009368D1"/>
    <w:rsid w:val="009369FB"/>
    <w:rsid w:val="00937764"/>
    <w:rsid w:val="0093781F"/>
    <w:rsid w:val="00942262"/>
    <w:rsid w:val="00943077"/>
    <w:rsid w:val="0094331A"/>
    <w:rsid w:val="00953622"/>
    <w:rsid w:val="00954B78"/>
    <w:rsid w:val="009562DF"/>
    <w:rsid w:val="009579B8"/>
    <w:rsid w:val="00960A3F"/>
    <w:rsid w:val="00960DE3"/>
    <w:rsid w:val="00962B86"/>
    <w:rsid w:val="00964A31"/>
    <w:rsid w:val="009657F4"/>
    <w:rsid w:val="0097356A"/>
    <w:rsid w:val="00973B41"/>
    <w:rsid w:val="00974E8E"/>
    <w:rsid w:val="0097615D"/>
    <w:rsid w:val="00976495"/>
    <w:rsid w:val="00976515"/>
    <w:rsid w:val="00976A65"/>
    <w:rsid w:val="00976F6C"/>
    <w:rsid w:val="00982C8D"/>
    <w:rsid w:val="00984A55"/>
    <w:rsid w:val="00987734"/>
    <w:rsid w:val="009A063B"/>
    <w:rsid w:val="009A0C29"/>
    <w:rsid w:val="009A1240"/>
    <w:rsid w:val="009A3367"/>
    <w:rsid w:val="009A45FB"/>
    <w:rsid w:val="009A666C"/>
    <w:rsid w:val="009B372D"/>
    <w:rsid w:val="009B4814"/>
    <w:rsid w:val="009B504F"/>
    <w:rsid w:val="009C111A"/>
    <w:rsid w:val="009C33EC"/>
    <w:rsid w:val="009C3A25"/>
    <w:rsid w:val="009D002D"/>
    <w:rsid w:val="009D03AC"/>
    <w:rsid w:val="009D11E0"/>
    <w:rsid w:val="009D13F2"/>
    <w:rsid w:val="009D1B03"/>
    <w:rsid w:val="009D2257"/>
    <w:rsid w:val="009D3A59"/>
    <w:rsid w:val="009D3AA6"/>
    <w:rsid w:val="009D4D34"/>
    <w:rsid w:val="009D688B"/>
    <w:rsid w:val="009D76EF"/>
    <w:rsid w:val="009D7A28"/>
    <w:rsid w:val="009E0C8D"/>
    <w:rsid w:val="009E1334"/>
    <w:rsid w:val="009E1607"/>
    <w:rsid w:val="009E7479"/>
    <w:rsid w:val="009F5B8F"/>
    <w:rsid w:val="009F64E2"/>
    <w:rsid w:val="009F68BE"/>
    <w:rsid w:val="009F6BF3"/>
    <w:rsid w:val="009F73D4"/>
    <w:rsid w:val="00A00567"/>
    <w:rsid w:val="00A01775"/>
    <w:rsid w:val="00A028BA"/>
    <w:rsid w:val="00A03536"/>
    <w:rsid w:val="00A0405B"/>
    <w:rsid w:val="00A11A62"/>
    <w:rsid w:val="00A1450A"/>
    <w:rsid w:val="00A1531B"/>
    <w:rsid w:val="00A15510"/>
    <w:rsid w:val="00A166F6"/>
    <w:rsid w:val="00A16C1A"/>
    <w:rsid w:val="00A22BC6"/>
    <w:rsid w:val="00A264DD"/>
    <w:rsid w:val="00A27740"/>
    <w:rsid w:val="00A27897"/>
    <w:rsid w:val="00A35976"/>
    <w:rsid w:val="00A4082E"/>
    <w:rsid w:val="00A46A64"/>
    <w:rsid w:val="00A47198"/>
    <w:rsid w:val="00A50736"/>
    <w:rsid w:val="00A513CF"/>
    <w:rsid w:val="00A51D2B"/>
    <w:rsid w:val="00A529A1"/>
    <w:rsid w:val="00A54625"/>
    <w:rsid w:val="00A56228"/>
    <w:rsid w:val="00A565FD"/>
    <w:rsid w:val="00A60867"/>
    <w:rsid w:val="00A62789"/>
    <w:rsid w:val="00A63BCA"/>
    <w:rsid w:val="00A66DC2"/>
    <w:rsid w:val="00A67560"/>
    <w:rsid w:val="00A67A86"/>
    <w:rsid w:val="00A74735"/>
    <w:rsid w:val="00A74BB9"/>
    <w:rsid w:val="00A83B28"/>
    <w:rsid w:val="00A83CDD"/>
    <w:rsid w:val="00A87F22"/>
    <w:rsid w:val="00A9048F"/>
    <w:rsid w:val="00A90617"/>
    <w:rsid w:val="00A91CEE"/>
    <w:rsid w:val="00A95860"/>
    <w:rsid w:val="00A96F3E"/>
    <w:rsid w:val="00AA1B86"/>
    <w:rsid w:val="00AA1E33"/>
    <w:rsid w:val="00AA5A3A"/>
    <w:rsid w:val="00AA7BA8"/>
    <w:rsid w:val="00AB1AA7"/>
    <w:rsid w:val="00AB379F"/>
    <w:rsid w:val="00AB534F"/>
    <w:rsid w:val="00AB569C"/>
    <w:rsid w:val="00AB6257"/>
    <w:rsid w:val="00AC110F"/>
    <w:rsid w:val="00AC1DD6"/>
    <w:rsid w:val="00AC2116"/>
    <w:rsid w:val="00AC3967"/>
    <w:rsid w:val="00AC40C0"/>
    <w:rsid w:val="00AC6F29"/>
    <w:rsid w:val="00AD09A0"/>
    <w:rsid w:val="00AD0F83"/>
    <w:rsid w:val="00AD0FC8"/>
    <w:rsid w:val="00AD51CC"/>
    <w:rsid w:val="00AD57C7"/>
    <w:rsid w:val="00AD7C31"/>
    <w:rsid w:val="00AE009B"/>
    <w:rsid w:val="00AE0A51"/>
    <w:rsid w:val="00AE1CCE"/>
    <w:rsid w:val="00AE2B84"/>
    <w:rsid w:val="00AE34EE"/>
    <w:rsid w:val="00AE4E07"/>
    <w:rsid w:val="00AE5B77"/>
    <w:rsid w:val="00AE6662"/>
    <w:rsid w:val="00AE7070"/>
    <w:rsid w:val="00AF072B"/>
    <w:rsid w:val="00AF1121"/>
    <w:rsid w:val="00AF5322"/>
    <w:rsid w:val="00AF603E"/>
    <w:rsid w:val="00AF6A45"/>
    <w:rsid w:val="00B01F27"/>
    <w:rsid w:val="00B02A90"/>
    <w:rsid w:val="00B02C45"/>
    <w:rsid w:val="00B034CB"/>
    <w:rsid w:val="00B0382A"/>
    <w:rsid w:val="00B04349"/>
    <w:rsid w:val="00B04B6A"/>
    <w:rsid w:val="00B10173"/>
    <w:rsid w:val="00B10296"/>
    <w:rsid w:val="00B11690"/>
    <w:rsid w:val="00B119E6"/>
    <w:rsid w:val="00B11D8F"/>
    <w:rsid w:val="00B155FE"/>
    <w:rsid w:val="00B166CF"/>
    <w:rsid w:val="00B17B3A"/>
    <w:rsid w:val="00B20122"/>
    <w:rsid w:val="00B22296"/>
    <w:rsid w:val="00B232A8"/>
    <w:rsid w:val="00B24B63"/>
    <w:rsid w:val="00B271C2"/>
    <w:rsid w:val="00B30337"/>
    <w:rsid w:val="00B30CC1"/>
    <w:rsid w:val="00B3453D"/>
    <w:rsid w:val="00B34699"/>
    <w:rsid w:val="00B351DE"/>
    <w:rsid w:val="00B35E64"/>
    <w:rsid w:val="00B36A02"/>
    <w:rsid w:val="00B36C3E"/>
    <w:rsid w:val="00B37BEE"/>
    <w:rsid w:val="00B40053"/>
    <w:rsid w:val="00B40EE6"/>
    <w:rsid w:val="00B440E6"/>
    <w:rsid w:val="00B45795"/>
    <w:rsid w:val="00B469B7"/>
    <w:rsid w:val="00B47284"/>
    <w:rsid w:val="00B47604"/>
    <w:rsid w:val="00B509E3"/>
    <w:rsid w:val="00B517CE"/>
    <w:rsid w:val="00B5350F"/>
    <w:rsid w:val="00B53AD5"/>
    <w:rsid w:val="00B55D64"/>
    <w:rsid w:val="00B614C1"/>
    <w:rsid w:val="00B62BA1"/>
    <w:rsid w:val="00B63467"/>
    <w:rsid w:val="00B6494F"/>
    <w:rsid w:val="00B664B3"/>
    <w:rsid w:val="00B67013"/>
    <w:rsid w:val="00B67206"/>
    <w:rsid w:val="00B71741"/>
    <w:rsid w:val="00B72F09"/>
    <w:rsid w:val="00B73404"/>
    <w:rsid w:val="00B77640"/>
    <w:rsid w:val="00B8055F"/>
    <w:rsid w:val="00B8169D"/>
    <w:rsid w:val="00B8198B"/>
    <w:rsid w:val="00B81DAE"/>
    <w:rsid w:val="00B82CBA"/>
    <w:rsid w:val="00B83531"/>
    <w:rsid w:val="00B8700E"/>
    <w:rsid w:val="00B87424"/>
    <w:rsid w:val="00B909B6"/>
    <w:rsid w:val="00B91697"/>
    <w:rsid w:val="00B93FF2"/>
    <w:rsid w:val="00B9577E"/>
    <w:rsid w:val="00B96681"/>
    <w:rsid w:val="00BA132E"/>
    <w:rsid w:val="00BA1379"/>
    <w:rsid w:val="00BA32C4"/>
    <w:rsid w:val="00BA37E1"/>
    <w:rsid w:val="00BA5CF5"/>
    <w:rsid w:val="00BA7568"/>
    <w:rsid w:val="00BA75B3"/>
    <w:rsid w:val="00BB51AC"/>
    <w:rsid w:val="00BB6769"/>
    <w:rsid w:val="00BC0981"/>
    <w:rsid w:val="00BC0982"/>
    <w:rsid w:val="00BC1C34"/>
    <w:rsid w:val="00BC4392"/>
    <w:rsid w:val="00BC4C3B"/>
    <w:rsid w:val="00BC622B"/>
    <w:rsid w:val="00BC75AD"/>
    <w:rsid w:val="00BC78CD"/>
    <w:rsid w:val="00BC7C89"/>
    <w:rsid w:val="00BD0940"/>
    <w:rsid w:val="00BD2DDC"/>
    <w:rsid w:val="00BD451E"/>
    <w:rsid w:val="00BD5C8B"/>
    <w:rsid w:val="00BE0556"/>
    <w:rsid w:val="00BE2BFC"/>
    <w:rsid w:val="00BE447E"/>
    <w:rsid w:val="00BE4D1B"/>
    <w:rsid w:val="00BE5216"/>
    <w:rsid w:val="00BE5EA3"/>
    <w:rsid w:val="00BF3716"/>
    <w:rsid w:val="00BF3CDE"/>
    <w:rsid w:val="00BF6BEB"/>
    <w:rsid w:val="00C0148A"/>
    <w:rsid w:val="00C01675"/>
    <w:rsid w:val="00C03381"/>
    <w:rsid w:val="00C04A3E"/>
    <w:rsid w:val="00C056D0"/>
    <w:rsid w:val="00C07A16"/>
    <w:rsid w:val="00C10394"/>
    <w:rsid w:val="00C10635"/>
    <w:rsid w:val="00C1076B"/>
    <w:rsid w:val="00C22172"/>
    <w:rsid w:val="00C226B5"/>
    <w:rsid w:val="00C246F8"/>
    <w:rsid w:val="00C24A61"/>
    <w:rsid w:val="00C2613F"/>
    <w:rsid w:val="00C30904"/>
    <w:rsid w:val="00C331D2"/>
    <w:rsid w:val="00C334FF"/>
    <w:rsid w:val="00C36761"/>
    <w:rsid w:val="00C37547"/>
    <w:rsid w:val="00C507BF"/>
    <w:rsid w:val="00C50D85"/>
    <w:rsid w:val="00C5135E"/>
    <w:rsid w:val="00C52833"/>
    <w:rsid w:val="00C552E6"/>
    <w:rsid w:val="00C55B85"/>
    <w:rsid w:val="00C57AAA"/>
    <w:rsid w:val="00C6531C"/>
    <w:rsid w:val="00C730C7"/>
    <w:rsid w:val="00C738B3"/>
    <w:rsid w:val="00C7433B"/>
    <w:rsid w:val="00C743C8"/>
    <w:rsid w:val="00C74877"/>
    <w:rsid w:val="00C74966"/>
    <w:rsid w:val="00C750B2"/>
    <w:rsid w:val="00C80570"/>
    <w:rsid w:val="00C80B06"/>
    <w:rsid w:val="00C84277"/>
    <w:rsid w:val="00C842BE"/>
    <w:rsid w:val="00C8632A"/>
    <w:rsid w:val="00C87886"/>
    <w:rsid w:val="00C91498"/>
    <w:rsid w:val="00C91FB8"/>
    <w:rsid w:val="00C93EB5"/>
    <w:rsid w:val="00CA6669"/>
    <w:rsid w:val="00CA7411"/>
    <w:rsid w:val="00CB047E"/>
    <w:rsid w:val="00CB15F5"/>
    <w:rsid w:val="00CB30B8"/>
    <w:rsid w:val="00CB3239"/>
    <w:rsid w:val="00CB3508"/>
    <w:rsid w:val="00CB77D1"/>
    <w:rsid w:val="00CB7A85"/>
    <w:rsid w:val="00CC1B05"/>
    <w:rsid w:val="00CC1F24"/>
    <w:rsid w:val="00CC4EBC"/>
    <w:rsid w:val="00CC7257"/>
    <w:rsid w:val="00CD0B61"/>
    <w:rsid w:val="00CD5DCA"/>
    <w:rsid w:val="00CD702F"/>
    <w:rsid w:val="00CE0D5C"/>
    <w:rsid w:val="00CE240D"/>
    <w:rsid w:val="00CE2520"/>
    <w:rsid w:val="00CE2ACA"/>
    <w:rsid w:val="00CE2D80"/>
    <w:rsid w:val="00CE355A"/>
    <w:rsid w:val="00CE669B"/>
    <w:rsid w:val="00CE7120"/>
    <w:rsid w:val="00CE7D60"/>
    <w:rsid w:val="00CF3254"/>
    <w:rsid w:val="00CF3F3B"/>
    <w:rsid w:val="00CF4ADF"/>
    <w:rsid w:val="00CF500D"/>
    <w:rsid w:val="00CF6712"/>
    <w:rsid w:val="00CF67B3"/>
    <w:rsid w:val="00CF6F60"/>
    <w:rsid w:val="00D0257D"/>
    <w:rsid w:val="00D02BF7"/>
    <w:rsid w:val="00D037F3"/>
    <w:rsid w:val="00D06B86"/>
    <w:rsid w:val="00D0714D"/>
    <w:rsid w:val="00D110E3"/>
    <w:rsid w:val="00D11D33"/>
    <w:rsid w:val="00D1210C"/>
    <w:rsid w:val="00D122F4"/>
    <w:rsid w:val="00D14B27"/>
    <w:rsid w:val="00D14F55"/>
    <w:rsid w:val="00D164A4"/>
    <w:rsid w:val="00D16601"/>
    <w:rsid w:val="00D16742"/>
    <w:rsid w:val="00D217F0"/>
    <w:rsid w:val="00D219A9"/>
    <w:rsid w:val="00D24AA4"/>
    <w:rsid w:val="00D26F5C"/>
    <w:rsid w:val="00D3002F"/>
    <w:rsid w:val="00D30CE1"/>
    <w:rsid w:val="00D319A3"/>
    <w:rsid w:val="00D33E10"/>
    <w:rsid w:val="00D34217"/>
    <w:rsid w:val="00D34D43"/>
    <w:rsid w:val="00D35A34"/>
    <w:rsid w:val="00D40FF5"/>
    <w:rsid w:val="00D43986"/>
    <w:rsid w:val="00D4627C"/>
    <w:rsid w:val="00D53147"/>
    <w:rsid w:val="00D609B9"/>
    <w:rsid w:val="00D60C4D"/>
    <w:rsid w:val="00D64531"/>
    <w:rsid w:val="00D649C1"/>
    <w:rsid w:val="00D667AE"/>
    <w:rsid w:val="00D67365"/>
    <w:rsid w:val="00D675DE"/>
    <w:rsid w:val="00D67C96"/>
    <w:rsid w:val="00D73193"/>
    <w:rsid w:val="00D732D0"/>
    <w:rsid w:val="00D74A0F"/>
    <w:rsid w:val="00D75F4C"/>
    <w:rsid w:val="00D761B7"/>
    <w:rsid w:val="00D819F1"/>
    <w:rsid w:val="00D81B87"/>
    <w:rsid w:val="00D82386"/>
    <w:rsid w:val="00D82E8C"/>
    <w:rsid w:val="00D83BB3"/>
    <w:rsid w:val="00D85303"/>
    <w:rsid w:val="00D900C7"/>
    <w:rsid w:val="00D924BA"/>
    <w:rsid w:val="00D92575"/>
    <w:rsid w:val="00D93343"/>
    <w:rsid w:val="00DA13E9"/>
    <w:rsid w:val="00DA1583"/>
    <w:rsid w:val="00DA35E2"/>
    <w:rsid w:val="00DB100E"/>
    <w:rsid w:val="00DB190E"/>
    <w:rsid w:val="00DB6B72"/>
    <w:rsid w:val="00DB7351"/>
    <w:rsid w:val="00DC1A40"/>
    <w:rsid w:val="00DC24DB"/>
    <w:rsid w:val="00DC39B0"/>
    <w:rsid w:val="00DC3AFC"/>
    <w:rsid w:val="00DC4332"/>
    <w:rsid w:val="00DC521F"/>
    <w:rsid w:val="00DC5DBF"/>
    <w:rsid w:val="00DC6574"/>
    <w:rsid w:val="00DC7F7C"/>
    <w:rsid w:val="00DD0462"/>
    <w:rsid w:val="00DD11CC"/>
    <w:rsid w:val="00DD3F6C"/>
    <w:rsid w:val="00DD5ED7"/>
    <w:rsid w:val="00DD6E07"/>
    <w:rsid w:val="00DE1058"/>
    <w:rsid w:val="00DE4869"/>
    <w:rsid w:val="00DE4D75"/>
    <w:rsid w:val="00DE5891"/>
    <w:rsid w:val="00DF10FA"/>
    <w:rsid w:val="00DF3725"/>
    <w:rsid w:val="00DF3E03"/>
    <w:rsid w:val="00DF4151"/>
    <w:rsid w:val="00DF4814"/>
    <w:rsid w:val="00DF7D84"/>
    <w:rsid w:val="00DF7D91"/>
    <w:rsid w:val="00DF7DDB"/>
    <w:rsid w:val="00E0195A"/>
    <w:rsid w:val="00E156D5"/>
    <w:rsid w:val="00E16506"/>
    <w:rsid w:val="00E2127C"/>
    <w:rsid w:val="00E26314"/>
    <w:rsid w:val="00E275CE"/>
    <w:rsid w:val="00E3077F"/>
    <w:rsid w:val="00E331C9"/>
    <w:rsid w:val="00E335F4"/>
    <w:rsid w:val="00E356CE"/>
    <w:rsid w:val="00E375DD"/>
    <w:rsid w:val="00E44CA5"/>
    <w:rsid w:val="00E46377"/>
    <w:rsid w:val="00E56C9B"/>
    <w:rsid w:val="00E57F4D"/>
    <w:rsid w:val="00E63E5D"/>
    <w:rsid w:val="00E6404A"/>
    <w:rsid w:val="00E64610"/>
    <w:rsid w:val="00E64906"/>
    <w:rsid w:val="00E71A8C"/>
    <w:rsid w:val="00E73A41"/>
    <w:rsid w:val="00E73C3D"/>
    <w:rsid w:val="00E75A9A"/>
    <w:rsid w:val="00E76B81"/>
    <w:rsid w:val="00E83F44"/>
    <w:rsid w:val="00E849BB"/>
    <w:rsid w:val="00E86D24"/>
    <w:rsid w:val="00E9020E"/>
    <w:rsid w:val="00E9057F"/>
    <w:rsid w:val="00E9367D"/>
    <w:rsid w:val="00E968BE"/>
    <w:rsid w:val="00E97D62"/>
    <w:rsid w:val="00EA224D"/>
    <w:rsid w:val="00EA3320"/>
    <w:rsid w:val="00EA3519"/>
    <w:rsid w:val="00EA4F6F"/>
    <w:rsid w:val="00EA6264"/>
    <w:rsid w:val="00EA7445"/>
    <w:rsid w:val="00EB0921"/>
    <w:rsid w:val="00EB128E"/>
    <w:rsid w:val="00EB1BA4"/>
    <w:rsid w:val="00EB1F19"/>
    <w:rsid w:val="00EB2F6F"/>
    <w:rsid w:val="00EB5D9A"/>
    <w:rsid w:val="00EC0391"/>
    <w:rsid w:val="00EC0B47"/>
    <w:rsid w:val="00EC0D29"/>
    <w:rsid w:val="00EC11C5"/>
    <w:rsid w:val="00EC1CA5"/>
    <w:rsid w:val="00EC2C21"/>
    <w:rsid w:val="00EC4AFE"/>
    <w:rsid w:val="00EC6AC1"/>
    <w:rsid w:val="00EC7561"/>
    <w:rsid w:val="00EC7AF6"/>
    <w:rsid w:val="00ED0E49"/>
    <w:rsid w:val="00ED6F21"/>
    <w:rsid w:val="00EE0B67"/>
    <w:rsid w:val="00EE18A2"/>
    <w:rsid w:val="00EE1A3A"/>
    <w:rsid w:val="00EE1E1C"/>
    <w:rsid w:val="00EE6484"/>
    <w:rsid w:val="00EF2069"/>
    <w:rsid w:val="00EF2652"/>
    <w:rsid w:val="00EF32D0"/>
    <w:rsid w:val="00EF344F"/>
    <w:rsid w:val="00EF56BE"/>
    <w:rsid w:val="00EF621B"/>
    <w:rsid w:val="00EF67D3"/>
    <w:rsid w:val="00EF7260"/>
    <w:rsid w:val="00F003CF"/>
    <w:rsid w:val="00F017E9"/>
    <w:rsid w:val="00F01A83"/>
    <w:rsid w:val="00F04529"/>
    <w:rsid w:val="00F0558C"/>
    <w:rsid w:val="00F07437"/>
    <w:rsid w:val="00F108C5"/>
    <w:rsid w:val="00F10F70"/>
    <w:rsid w:val="00F11D24"/>
    <w:rsid w:val="00F15C36"/>
    <w:rsid w:val="00F17654"/>
    <w:rsid w:val="00F204AE"/>
    <w:rsid w:val="00F26EE2"/>
    <w:rsid w:val="00F273A6"/>
    <w:rsid w:val="00F305DB"/>
    <w:rsid w:val="00F319B2"/>
    <w:rsid w:val="00F337B5"/>
    <w:rsid w:val="00F342E6"/>
    <w:rsid w:val="00F37C8D"/>
    <w:rsid w:val="00F406B7"/>
    <w:rsid w:val="00F40888"/>
    <w:rsid w:val="00F43993"/>
    <w:rsid w:val="00F454A1"/>
    <w:rsid w:val="00F504D8"/>
    <w:rsid w:val="00F50A87"/>
    <w:rsid w:val="00F5256C"/>
    <w:rsid w:val="00F52E00"/>
    <w:rsid w:val="00F533BF"/>
    <w:rsid w:val="00F6084B"/>
    <w:rsid w:val="00F63D05"/>
    <w:rsid w:val="00F6469E"/>
    <w:rsid w:val="00F674B6"/>
    <w:rsid w:val="00F75196"/>
    <w:rsid w:val="00F82913"/>
    <w:rsid w:val="00F84E64"/>
    <w:rsid w:val="00F85BD7"/>
    <w:rsid w:val="00F86437"/>
    <w:rsid w:val="00F87912"/>
    <w:rsid w:val="00F93BCF"/>
    <w:rsid w:val="00F93C3B"/>
    <w:rsid w:val="00F94000"/>
    <w:rsid w:val="00FA17DE"/>
    <w:rsid w:val="00FA262A"/>
    <w:rsid w:val="00FA7186"/>
    <w:rsid w:val="00FA7CC6"/>
    <w:rsid w:val="00FC108E"/>
    <w:rsid w:val="00FC15E2"/>
    <w:rsid w:val="00FC1812"/>
    <w:rsid w:val="00FC1A71"/>
    <w:rsid w:val="00FC4220"/>
    <w:rsid w:val="00FC49AA"/>
    <w:rsid w:val="00FC6064"/>
    <w:rsid w:val="00FC63FB"/>
    <w:rsid w:val="00FD184B"/>
    <w:rsid w:val="00FD5BF3"/>
    <w:rsid w:val="00FD6762"/>
    <w:rsid w:val="00FD78D4"/>
    <w:rsid w:val="00FD7A07"/>
    <w:rsid w:val="00FE16A5"/>
    <w:rsid w:val="00FE7294"/>
    <w:rsid w:val="00FF1A61"/>
    <w:rsid w:val="00FF359C"/>
    <w:rsid w:val="00FF4073"/>
    <w:rsid w:val="00FF4FC9"/>
    <w:rsid w:val="00FF5A6A"/>
    <w:rsid w:val="1B432B60"/>
    <w:rsid w:val="32C75E52"/>
    <w:rsid w:val="380230FE"/>
    <w:rsid w:val="38FC3467"/>
    <w:rsid w:val="3A98262E"/>
    <w:rsid w:val="3DED4A2C"/>
    <w:rsid w:val="49FC5D27"/>
    <w:rsid w:val="62D67DE4"/>
    <w:rsid w:val="67302CF5"/>
    <w:rsid w:val="71DA4A95"/>
    <w:rsid w:val="79A94595"/>
    <w:rsid w:val="79DE3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宋体" w:cs="Times New Roman"/>
      <w:kern w:val="2"/>
      <w:sz w:val="28"/>
      <w:szCs w:val="22"/>
      <w:lang w:val="en-US" w:eastAsia="zh-CN" w:bidi="ar-SA"/>
    </w:rPr>
  </w:style>
  <w:style w:type="paragraph" w:styleId="2">
    <w:name w:val="heading 1"/>
    <w:basedOn w:val="1"/>
    <w:next w:val="1"/>
    <w:link w:val="34"/>
    <w:qFormat/>
    <w:uiPriority w:val="9"/>
    <w:pPr>
      <w:keepNext/>
      <w:keepLines/>
      <w:spacing w:before="360" w:after="360" w:line="578" w:lineRule="auto"/>
      <w:jc w:val="center"/>
      <w:outlineLvl w:val="0"/>
    </w:pPr>
    <w:rPr>
      <w:b/>
      <w:bCs/>
      <w:kern w:val="44"/>
      <w:sz w:val="44"/>
      <w:szCs w:val="44"/>
    </w:rPr>
  </w:style>
  <w:style w:type="paragraph" w:styleId="3">
    <w:name w:val="heading 2"/>
    <w:basedOn w:val="1"/>
    <w:next w:val="1"/>
    <w:link w:val="35"/>
    <w:unhideWhenUsed/>
    <w:qFormat/>
    <w:uiPriority w:val="9"/>
    <w:pPr>
      <w:keepNext/>
      <w:keepLines/>
      <w:spacing w:before="300" w:after="300" w:line="415" w:lineRule="auto"/>
      <w:ind w:firstLine="0" w:firstLineChars="0"/>
      <w:outlineLvl w:val="1"/>
    </w:pPr>
    <w:rPr>
      <w:rFonts w:ascii="Cambria" w:hAnsi="Cambria"/>
      <w:b/>
      <w:bCs/>
      <w:sz w:val="32"/>
      <w:szCs w:val="32"/>
    </w:rPr>
  </w:style>
  <w:style w:type="paragraph" w:styleId="4">
    <w:name w:val="heading 3"/>
    <w:basedOn w:val="1"/>
    <w:next w:val="1"/>
    <w:link w:val="36"/>
    <w:unhideWhenUsed/>
    <w:qFormat/>
    <w:uiPriority w:val="99"/>
    <w:pPr>
      <w:keepNext/>
      <w:keepLines/>
      <w:spacing w:before="280" w:after="280" w:line="415" w:lineRule="auto"/>
      <w:ind w:firstLine="0" w:firstLineChars="0"/>
      <w:outlineLvl w:val="2"/>
    </w:pPr>
    <w:rPr>
      <w:b/>
      <w:bCs/>
      <w:szCs w:val="32"/>
    </w:rPr>
  </w:style>
  <w:style w:type="paragraph" w:styleId="5">
    <w:name w:val="heading 4"/>
    <w:basedOn w:val="1"/>
    <w:next w:val="1"/>
    <w:link w:val="37"/>
    <w:unhideWhenUsed/>
    <w:qFormat/>
    <w:uiPriority w:val="9"/>
    <w:pPr>
      <w:keepNext/>
      <w:keepLines/>
      <w:spacing w:before="280" w:after="280" w:line="377" w:lineRule="auto"/>
      <w:ind w:firstLine="0" w:firstLineChars="0"/>
      <w:outlineLvl w:val="3"/>
    </w:pPr>
    <w:rPr>
      <w:rFonts w:ascii="Cambria" w:hAnsi="Cambria"/>
      <w:b/>
      <w:bCs/>
      <w:szCs w:val="28"/>
    </w:rPr>
  </w:style>
  <w:style w:type="paragraph" w:styleId="6">
    <w:name w:val="heading 5"/>
    <w:basedOn w:val="1"/>
    <w:next w:val="1"/>
    <w:link w:val="38"/>
    <w:unhideWhenUsed/>
    <w:qFormat/>
    <w:uiPriority w:val="9"/>
    <w:pPr>
      <w:keepNext/>
      <w:keepLines/>
      <w:spacing w:before="280" w:after="290" w:line="376" w:lineRule="auto"/>
      <w:outlineLvl w:val="4"/>
    </w:pPr>
    <w:rPr>
      <w:b/>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caption"/>
    <w:basedOn w:val="1"/>
    <w:next w:val="1"/>
    <w:unhideWhenUsed/>
    <w:qFormat/>
    <w:uiPriority w:val="35"/>
    <w:pPr>
      <w:spacing w:line="240" w:lineRule="auto"/>
      <w:ind w:firstLine="0" w:firstLineChars="0"/>
    </w:pPr>
    <w:rPr>
      <w:rFonts w:eastAsia="黑体" w:asciiTheme="majorHAnsi" w:hAnsiTheme="majorHAnsi" w:cstheme="majorBidi"/>
      <w:sz w:val="20"/>
      <w:szCs w:val="20"/>
    </w:rPr>
  </w:style>
  <w:style w:type="paragraph" w:styleId="9">
    <w:name w:val="Document Map"/>
    <w:basedOn w:val="1"/>
    <w:link w:val="39"/>
    <w:semiHidden/>
    <w:unhideWhenUsed/>
    <w:qFormat/>
    <w:uiPriority w:val="99"/>
    <w:rPr>
      <w:rFonts w:ascii="宋体"/>
      <w:sz w:val="18"/>
      <w:szCs w:val="18"/>
    </w:rPr>
  </w:style>
  <w:style w:type="paragraph" w:styleId="10">
    <w:name w:val="annotation text"/>
    <w:basedOn w:val="1"/>
    <w:link w:val="40"/>
    <w:unhideWhenUsed/>
    <w:qFormat/>
    <w:uiPriority w:val="99"/>
    <w:pPr>
      <w:jc w:val="left"/>
    </w:pPr>
  </w:style>
  <w:style w:type="paragraph" w:styleId="11">
    <w:name w:val="toc 5"/>
    <w:basedOn w:val="1"/>
    <w:next w:val="1"/>
    <w:unhideWhenUsed/>
    <w:qFormat/>
    <w:uiPriority w:val="39"/>
    <w:pPr>
      <w:ind w:left="1680" w:leftChars="800"/>
    </w:pPr>
  </w:style>
  <w:style w:type="paragraph" w:styleId="12">
    <w:name w:val="toc 3"/>
    <w:basedOn w:val="1"/>
    <w:next w:val="1"/>
    <w:unhideWhenUsed/>
    <w:qFormat/>
    <w:uiPriority w:val="39"/>
    <w:pPr>
      <w:ind w:left="840" w:leftChars="400"/>
    </w:pPr>
  </w:style>
  <w:style w:type="paragraph" w:styleId="13">
    <w:name w:val="toc 8"/>
    <w:basedOn w:val="1"/>
    <w:next w:val="1"/>
    <w:unhideWhenUsed/>
    <w:qFormat/>
    <w:uiPriority w:val="39"/>
    <w:pPr>
      <w:ind w:left="2940" w:leftChars="1400"/>
    </w:pPr>
  </w:style>
  <w:style w:type="paragraph" w:styleId="14">
    <w:name w:val="Balloon Text"/>
    <w:basedOn w:val="1"/>
    <w:link w:val="41"/>
    <w:semiHidden/>
    <w:unhideWhenUsed/>
    <w:qFormat/>
    <w:uiPriority w:val="99"/>
    <w:rPr>
      <w:sz w:val="18"/>
      <w:szCs w:val="18"/>
    </w:rPr>
  </w:style>
  <w:style w:type="paragraph" w:styleId="15">
    <w:name w:val="footer"/>
    <w:basedOn w:val="1"/>
    <w:link w:val="42"/>
    <w:unhideWhenUsed/>
    <w:qFormat/>
    <w:uiPriority w:val="99"/>
    <w:pPr>
      <w:tabs>
        <w:tab w:val="center" w:pos="4153"/>
        <w:tab w:val="right" w:pos="8306"/>
      </w:tabs>
      <w:snapToGrid w:val="0"/>
      <w:jc w:val="left"/>
    </w:pPr>
    <w:rPr>
      <w:sz w:val="18"/>
      <w:szCs w:val="18"/>
    </w:rPr>
  </w:style>
  <w:style w:type="paragraph" w:styleId="16">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4"/>
    <w:basedOn w:val="1"/>
    <w:next w:val="1"/>
    <w:unhideWhenUsed/>
    <w:qFormat/>
    <w:uiPriority w:val="39"/>
    <w:pPr>
      <w:ind w:left="1260" w:leftChars="600"/>
    </w:pPr>
  </w:style>
  <w:style w:type="paragraph" w:styleId="19">
    <w:name w:val="Subtitle"/>
    <w:basedOn w:val="1"/>
    <w:next w:val="1"/>
    <w:link w:val="44"/>
    <w:qFormat/>
    <w:uiPriority w:val="11"/>
    <w:pPr>
      <w:spacing w:before="240" w:after="60" w:line="312" w:lineRule="auto"/>
      <w:jc w:val="center"/>
      <w:outlineLvl w:val="1"/>
    </w:pPr>
    <w:rPr>
      <w:rFonts w:ascii="Cambria" w:hAnsi="Cambria"/>
      <w:b/>
      <w:bCs/>
      <w:kern w:val="28"/>
      <w:sz w:val="32"/>
      <w:szCs w:val="32"/>
    </w:rPr>
  </w:style>
  <w:style w:type="paragraph" w:styleId="20">
    <w:name w:val="toc 6"/>
    <w:basedOn w:val="1"/>
    <w:next w:val="1"/>
    <w:unhideWhenUsed/>
    <w:qFormat/>
    <w:uiPriority w:val="39"/>
    <w:pPr>
      <w:ind w:left="2100" w:leftChars="1000"/>
    </w:pPr>
  </w:style>
  <w:style w:type="paragraph" w:styleId="21">
    <w:name w:val="toc 2"/>
    <w:basedOn w:val="1"/>
    <w:next w:val="1"/>
    <w:unhideWhenUsed/>
    <w:qFormat/>
    <w:uiPriority w:val="39"/>
    <w:pPr>
      <w:ind w:left="420" w:leftChars="200"/>
    </w:pPr>
  </w:style>
  <w:style w:type="paragraph" w:styleId="22">
    <w:name w:val="toc 9"/>
    <w:basedOn w:val="1"/>
    <w:next w:val="1"/>
    <w:unhideWhenUsed/>
    <w:qFormat/>
    <w:uiPriority w:val="39"/>
    <w:pPr>
      <w:ind w:left="3360" w:leftChars="1600"/>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paragraph" w:styleId="24">
    <w:name w:val="Title"/>
    <w:basedOn w:val="1"/>
    <w:next w:val="1"/>
    <w:link w:val="45"/>
    <w:qFormat/>
    <w:uiPriority w:val="10"/>
    <w:pPr>
      <w:spacing w:before="240" w:after="60"/>
      <w:jc w:val="center"/>
      <w:outlineLvl w:val="0"/>
    </w:pPr>
    <w:rPr>
      <w:rFonts w:ascii="Cambria" w:hAnsi="Cambria"/>
      <w:b/>
      <w:bCs/>
      <w:sz w:val="32"/>
      <w:szCs w:val="32"/>
    </w:rPr>
  </w:style>
  <w:style w:type="paragraph" w:styleId="25">
    <w:name w:val="annotation subject"/>
    <w:basedOn w:val="10"/>
    <w:next w:val="10"/>
    <w:link w:val="77"/>
    <w:semiHidden/>
    <w:unhideWhenUsed/>
    <w:qFormat/>
    <w:uiPriority w:val="99"/>
    <w:rPr>
      <w:b/>
      <w:bCs/>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qFormat/>
    <w:uiPriority w:val="0"/>
  </w:style>
  <w:style w:type="character" w:styleId="30">
    <w:name w:val="FollowedHyperlink"/>
    <w:semiHidden/>
    <w:unhideWhenUsed/>
    <w:qFormat/>
    <w:uiPriority w:val="99"/>
    <w:rPr>
      <w:color w:val="800080"/>
      <w:u w:val="single"/>
    </w:rPr>
  </w:style>
  <w:style w:type="character" w:styleId="31">
    <w:name w:val="Emphasis"/>
    <w:qFormat/>
    <w:uiPriority w:val="20"/>
    <w:rPr>
      <w:i/>
      <w:iCs/>
    </w:rPr>
  </w:style>
  <w:style w:type="character" w:styleId="32">
    <w:name w:val="Hyperlink"/>
    <w:unhideWhenUsed/>
    <w:qFormat/>
    <w:uiPriority w:val="99"/>
    <w:rPr>
      <w:color w:val="0000FF"/>
      <w:u w:val="single"/>
    </w:rPr>
  </w:style>
  <w:style w:type="character" w:styleId="33">
    <w:name w:val="annotation reference"/>
    <w:semiHidden/>
    <w:unhideWhenUsed/>
    <w:qFormat/>
    <w:uiPriority w:val="99"/>
    <w:rPr>
      <w:sz w:val="21"/>
      <w:szCs w:val="21"/>
    </w:rPr>
  </w:style>
  <w:style w:type="character" w:customStyle="1" w:styleId="34">
    <w:name w:val="标题 1 Char1"/>
    <w:link w:val="2"/>
    <w:qFormat/>
    <w:uiPriority w:val="9"/>
    <w:rPr>
      <w:b/>
      <w:bCs/>
      <w:kern w:val="44"/>
      <w:sz w:val="44"/>
      <w:szCs w:val="44"/>
    </w:rPr>
  </w:style>
  <w:style w:type="character" w:customStyle="1" w:styleId="35">
    <w:name w:val="标题 2 Char1"/>
    <w:link w:val="3"/>
    <w:qFormat/>
    <w:uiPriority w:val="9"/>
    <w:rPr>
      <w:rFonts w:ascii="Cambria" w:hAnsi="Cambria"/>
      <w:b/>
      <w:bCs/>
      <w:kern w:val="2"/>
      <w:sz w:val="32"/>
      <w:szCs w:val="32"/>
    </w:rPr>
  </w:style>
  <w:style w:type="character" w:customStyle="1" w:styleId="36">
    <w:name w:val="标题 3 Char1"/>
    <w:link w:val="4"/>
    <w:qFormat/>
    <w:uiPriority w:val="9"/>
    <w:rPr>
      <w:rFonts w:ascii="Times New Roman" w:hAnsi="Times New Roman"/>
      <w:b/>
      <w:bCs/>
      <w:kern w:val="2"/>
      <w:sz w:val="28"/>
      <w:szCs w:val="32"/>
    </w:rPr>
  </w:style>
  <w:style w:type="character" w:customStyle="1" w:styleId="37">
    <w:name w:val="标题 4 Char1"/>
    <w:link w:val="5"/>
    <w:qFormat/>
    <w:uiPriority w:val="9"/>
    <w:rPr>
      <w:rFonts w:ascii="Cambria" w:hAnsi="Cambria"/>
      <w:b/>
      <w:bCs/>
      <w:kern w:val="2"/>
      <w:sz w:val="24"/>
      <w:szCs w:val="28"/>
    </w:rPr>
  </w:style>
  <w:style w:type="character" w:customStyle="1" w:styleId="38">
    <w:name w:val="标题 5 Char1"/>
    <w:link w:val="6"/>
    <w:qFormat/>
    <w:uiPriority w:val="9"/>
    <w:rPr>
      <w:b/>
      <w:bCs/>
      <w:sz w:val="28"/>
      <w:szCs w:val="28"/>
    </w:rPr>
  </w:style>
  <w:style w:type="character" w:customStyle="1" w:styleId="39">
    <w:name w:val="文档结构图 Char1"/>
    <w:link w:val="9"/>
    <w:semiHidden/>
    <w:qFormat/>
    <w:uiPriority w:val="99"/>
    <w:rPr>
      <w:rFonts w:ascii="宋体" w:eastAsia="宋体"/>
      <w:sz w:val="18"/>
      <w:szCs w:val="18"/>
    </w:rPr>
  </w:style>
  <w:style w:type="character" w:customStyle="1" w:styleId="40">
    <w:name w:val="批注文字 Char1"/>
    <w:basedOn w:val="28"/>
    <w:link w:val="10"/>
    <w:qFormat/>
    <w:uiPriority w:val="99"/>
  </w:style>
  <w:style w:type="character" w:customStyle="1" w:styleId="41">
    <w:name w:val="批注框文本 Char1"/>
    <w:link w:val="14"/>
    <w:semiHidden/>
    <w:qFormat/>
    <w:uiPriority w:val="99"/>
    <w:rPr>
      <w:sz w:val="18"/>
      <w:szCs w:val="18"/>
    </w:rPr>
  </w:style>
  <w:style w:type="character" w:customStyle="1" w:styleId="42">
    <w:name w:val="页脚 Char1"/>
    <w:link w:val="15"/>
    <w:qFormat/>
    <w:uiPriority w:val="99"/>
    <w:rPr>
      <w:sz w:val="18"/>
      <w:szCs w:val="18"/>
    </w:rPr>
  </w:style>
  <w:style w:type="character" w:customStyle="1" w:styleId="43">
    <w:name w:val="页眉 Char1"/>
    <w:link w:val="16"/>
    <w:qFormat/>
    <w:uiPriority w:val="99"/>
    <w:rPr>
      <w:sz w:val="18"/>
      <w:szCs w:val="18"/>
    </w:rPr>
  </w:style>
  <w:style w:type="character" w:customStyle="1" w:styleId="44">
    <w:name w:val="副标题 Char1"/>
    <w:link w:val="19"/>
    <w:qFormat/>
    <w:uiPriority w:val="11"/>
    <w:rPr>
      <w:rFonts w:ascii="Cambria" w:hAnsi="Cambria" w:eastAsia="宋体" w:cs="Times New Roman"/>
      <w:b/>
      <w:bCs/>
      <w:kern w:val="28"/>
      <w:sz w:val="32"/>
      <w:szCs w:val="32"/>
    </w:rPr>
  </w:style>
  <w:style w:type="character" w:customStyle="1" w:styleId="45">
    <w:name w:val="标题 Char1"/>
    <w:link w:val="24"/>
    <w:qFormat/>
    <w:uiPriority w:val="10"/>
    <w:rPr>
      <w:rFonts w:ascii="Cambria" w:hAnsi="Cambria" w:eastAsia="宋体" w:cs="Times New Roman"/>
      <w:b/>
      <w:bCs/>
      <w:sz w:val="32"/>
      <w:szCs w:val="32"/>
    </w:rPr>
  </w:style>
  <w:style w:type="paragraph" w:styleId="46">
    <w:name w:val="List Paragraph"/>
    <w:basedOn w:val="1"/>
    <w:qFormat/>
    <w:uiPriority w:val="34"/>
    <w:pPr>
      <w:ind w:firstLine="420"/>
    </w:pPr>
  </w:style>
  <w:style w:type="paragraph" w:customStyle="1" w:styleId="47">
    <w:name w:val="二级标题"/>
    <w:basedOn w:val="1"/>
    <w:link w:val="48"/>
    <w:qFormat/>
    <w:uiPriority w:val="0"/>
    <w:rPr>
      <w:rFonts w:hAnsi="宋体"/>
      <w:b/>
      <w:szCs w:val="30"/>
    </w:rPr>
  </w:style>
  <w:style w:type="character" w:customStyle="1" w:styleId="48">
    <w:name w:val="二级标题 Char"/>
    <w:link w:val="47"/>
    <w:qFormat/>
    <w:uiPriority w:val="0"/>
    <w:rPr>
      <w:rFonts w:ascii="Times New Roman" w:hAnsi="宋体" w:cs="Times New Roman"/>
      <w:b/>
      <w:sz w:val="28"/>
      <w:szCs w:val="30"/>
    </w:rPr>
  </w:style>
  <w:style w:type="paragraph" w:customStyle="1" w:styleId="49">
    <w:name w:val="一级标题"/>
    <w:basedOn w:val="1"/>
    <w:link w:val="50"/>
    <w:qFormat/>
    <w:uiPriority w:val="0"/>
    <w:rPr>
      <w:b/>
      <w:sz w:val="30"/>
      <w:szCs w:val="32"/>
    </w:rPr>
  </w:style>
  <w:style w:type="character" w:customStyle="1" w:styleId="50">
    <w:name w:val="一级标题 Char"/>
    <w:link w:val="49"/>
    <w:qFormat/>
    <w:uiPriority w:val="0"/>
    <w:rPr>
      <w:rFonts w:ascii="Times New Roman" w:hAnsi="Times New Roman" w:cs="Times New Roman"/>
      <w:b/>
      <w:sz w:val="30"/>
      <w:szCs w:val="32"/>
    </w:rPr>
  </w:style>
  <w:style w:type="paragraph" w:customStyle="1" w:styleId="51">
    <w:name w:val="三级标题"/>
    <w:basedOn w:val="1"/>
    <w:link w:val="52"/>
    <w:qFormat/>
    <w:uiPriority w:val="0"/>
    <w:pPr>
      <w:ind w:firstLine="482"/>
    </w:pPr>
    <w:rPr>
      <w:b/>
      <w:szCs w:val="24"/>
    </w:rPr>
  </w:style>
  <w:style w:type="character" w:customStyle="1" w:styleId="52">
    <w:name w:val="三级标题 Char"/>
    <w:link w:val="51"/>
    <w:qFormat/>
    <w:uiPriority w:val="0"/>
    <w:rPr>
      <w:rFonts w:ascii="Times New Roman" w:hAnsi="Times New Roman" w:cs="Times New Roman"/>
      <w:b/>
      <w:sz w:val="24"/>
      <w:szCs w:val="24"/>
    </w:rPr>
  </w:style>
  <w:style w:type="character" w:customStyle="1" w:styleId="53">
    <w:name w:val="表格2 Char"/>
    <w:link w:val="54"/>
    <w:qFormat/>
    <w:uiPriority w:val="0"/>
    <w:rPr>
      <w:rFonts w:ascii="Times New Roman" w:hAnsi="Times New Roman"/>
      <w:sz w:val="24"/>
      <w:szCs w:val="24"/>
    </w:rPr>
  </w:style>
  <w:style w:type="paragraph" w:customStyle="1" w:styleId="54">
    <w:name w:val="表格2"/>
    <w:basedOn w:val="1"/>
    <w:link w:val="53"/>
    <w:qFormat/>
    <w:uiPriority w:val="0"/>
    <w:pPr>
      <w:spacing w:before="60" w:after="60" w:line="80" w:lineRule="atLeast"/>
      <w:jc w:val="center"/>
      <w:outlineLvl w:val="0"/>
    </w:pPr>
    <w:rPr>
      <w:szCs w:val="24"/>
    </w:rPr>
  </w:style>
  <w:style w:type="paragraph" w:customStyle="1" w:styleId="5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6">
    <w:name w:val="普通内容 Char Char"/>
    <w:link w:val="57"/>
    <w:qFormat/>
    <w:uiPriority w:val="0"/>
    <w:rPr>
      <w:rFonts w:eastAsia="宋体"/>
      <w:sz w:val="24"/>
      <w:szCs w:val="24"/>
    </w:rPr>
  </w:style>
  <w:style w:type="paragraph" w:customStyle="1" w:styleId="57">
    <w:name w:val="普通内容"/>
    <w:basedOn w:val="1"/>
    <w:link w:val="56"/>
    <w:qFormat/>
    <w:uiPriority w:val="0"/>
    <w:pPr>
      <w:tabs>
        <w:tab w:val="left" w:pos="600"/>
      </w:tabs>
      <w:ind w:left="4200" w:leftChars="2000" w:firstLine="482"/>
    </w:pPr>
    <w:rPr>
      <w:szCs w:val="24"/>
    </w:rPr>
  </w:style>
  <w:style w:type="paragraph" w:customStyle="1" w:styleId="58">
    <w:name w:val="p0"/>
    <w:basedOn w:val="1"/>
    <w:qFormat/>
    <w:uiPriority w:val="0"/>
    <w:pPr>
      <w:widowControl/>
    </w:pPr>
    <w:rPr>
      <w:kern w:val="0"/>
      <w:szCs w:val="21"/>
    </w:rPr>
  </w:style>
  <w:style w:type="character" w:customStyle="1" w:styleId="59">
    <w:name w:val="样式 宋体 + (西文) ˎ̥ Char1"/>
    <w:link w:val="60"/>
    <w:qFormat/>
    <w:locked/>
    <w:uiPriority w:val="0"/>
    <w:rPr>
      <w:rFonts w:ascii="ˎ̥" w:hAnsi="ˎ̥"/>
      <w:sz w:val="24"/>
    </w:rPr>
  </w:style>
  <w:style w:type="paragraph" w:customStyle="1" w:styleId="60">
    <w:name w:val="样式 宋体 + (西文) ˎ̥"/>
    <w:basedOn w:val="1"/>
    <w:link w:val="59"/>
    <w:qFormat/>
    <w:uiPriority w:val="0"/>
    <w:pPr>
      <w:spacing w:line="460" w:lineRule="exact"/>
      <w:ind w:firstLine="510"/>
    </w:pPr>
    <w:rPr>
      <w:rFonts w:ascii="ˎ̥" w:hAnsi="ˎ̥"/>
    </w:rPr>
  </w:style>
  <w:style w:type="character" w:customStyle="1" w:styleId="61">
    <w:name w:val="fontstyle01"/>
    <w:qFormat/>
    <w:uiPriority w:val="0"/>
    <w:rPr>
      <w:rFonts w:hint="eastAsia" w:ascii="宋体" w:hAnsi="宋体" w:eastAsia="宋体"/>
      <w:color w:val="000000"/>
      <w:sz w:val="20"/>
      <w:szCs w:val="20"/>
    </w:rPr>
  </w:style>
  <w:style w:type="paragraph" w:customStyle="1" w:styleId="62">
    <w:name w:val="Char"/>
    <w:basedOn w:val="1"/>
    <w:qFormat/>
    <w:uiPriority w:val="0"/>
    <w:rPr>
      <w:rFonts w:ascii="宋体" w:hAnsi="宋体" w:cs="宋体"/>
      <w:szCs w:val="24"/>
    </w:rPr>
  </w:style>
  <w:style w:type="paragraph" w:customStyle="1" w:styleId="63">
    <w:name w:val="文本（小四）"/>
    <w:basedOn w:val="1"/>
    <w:link w:val="64"/>
    <w:qFormat/>
    <w:uiPriority w:val="0"/>
    <w:pPr>
      <w:adjustRightInd w:val="0"/>
      <w:snapToGrid w:val="0"/>
      <w:ind w:firstLine="480"/>
      <w:jc w:val="left"/>
    </w:pPr>
    <w:rPr>
      <w:szCs w:val="20"/>
    </w:rPr>
  </w:style>
  <w:style w:type="character" w:customStyle="1" w:styleId="64">
    <w:name w:val="文本（小四） Char"/>
    <w:link w:val="63"/>
    <w:qFormat/>
    <w:locked/>
    <w:uiPriority w:val="0"/>
    <w:rPr>
      <w:rFonts w:ascii="Times New Roman" w:hAnsi="Times New Roman" w:eastAsia="宋体" w:cs="Times New Roman"/>
      <w:kern w:val="2"/>
      <w:sz w:val="24"/>
    </w:rPr>
  </w:style>
  <w:style w:type="character" w:customStyle="1" w:styleId="65">
    <w:name w:val="标题 1 Char"/>
    <w:qFormat/>
    <w:uiPriority w:val="9"/>
    <w:rPr>
      <w:b/>
      <w:bCs/>
      <w:kern w:val="44"/>
      <w:sz w:val="44"/>
      <w:szCs w:val="44"/>
    </w:rPr>
  </w:style>
  <w:style w:type="character" w:customStyle="1" w:styleId="66">
    <w:name w:val="标题 2 Char"/>
    <w:qFormat/>
    <w:uiPriority w:val="9"/>
    <w:rPr>
      <w:rFonts w:ascii="Cambria" w:hAnsi="Cambria" w:eastAsia="宋体" w:cs="Times New Roman"/>
      <w:b/>
      <w:bCs/>
      <w:sz w:val="32"/>
      <w:szCs w:val="32"/>
    </w:rPr>
  </w:style>
  <w:style w:type="character" w:customStyle="1" w:styleId="67">
    <w:name w:val="标题 3 Char"/>
    <w:qFormat/>
    <w:uiPriority w:val="99"/>
    <w:rPr>
      <w:b/>
      <w:bCs/>
      <w:sz w:val="28"/>
      <w:szCs w:val="32"/>
    </w:rPr>
  </w:style>
  <w:style w:type="character" w:customStyle="1" w:styleId="68">
    <w:name w:val="页眉 Char"/>
    <w:qFormat/>
    <w:uiPriority w:val="99"/>
    <w:rPr>
      <w:sz w:val="18"/>
      <w:szCs w:val="18"/>
    </w:rPr>
  </w:style>
  <w:style w:type="character" w:customStyle="1" w:styleId="69">
    <w:name w:val="页脚 Char"/>
    <w:qFormat/>
    <w:uiPriority w:val="99"/>
    <w:rPr>
      <w:sz w:val="18"/>
      <w:szCs w:val="18"/>
    </w:rPr>
  </w:style>
  <w:style w:type="character" w:customStyle="1" w:styleId="70">
    <w:name w:val="批注框文本 Char"/>
    <w:semiHidden/>
    <w:qFormat/>
    <w:uiPriority w:val="99"/>
    <w:rPr>
      <w:sz w:val="18"/>
      <w:szCs w:val="18"/>
    </w:rPr>
  </w:style>
  <w:style w:type="character" w:customStyle="1" w:styleId="71">
    <w:name w:val="标题 Char"/>
    <w:qFormat/>
    <w:uiPriority w:val="10"/>
    <w:rPr>
      <w:rFonts w:ascii="Cambria" w:hAnsi="Cambria" w:eastAsia="宋体" w:cs="Times New Roman"/>
      <w:b/>
      <w:bCs/>
      <w:sz w:val="32"/>
      <w:szCs w:val="32"/>
    </w:rPr>
  </w:style>
  <w:style w:type="character" w:customStyle="1" w:styleId="72">
    <w:name w:val="副标题 Char"/>
    <w:qFormat/>
    <w:uiPriority w:val="11"/>
    <w:rPr>
      <w:rFonts w:ascii="Cambria" w:hAnsi="Cambria" w:eastAsia="宋体" w:cs="Times New Roman"/>
      <w:b/>
      <w:bCs/>
      <w:kern w:val="28"/>
      <w:sz w:val="32"/>
      <w:szCs w:val="32"/>
    </w:rPr>
  </w:style>
  <w:style w:type="character" w:customStyle="1" w:styleId="73">
    <w:name w:val="标题 4 Char"/>
    <w:qFormat/>
    <w:uiPriority w:val="9"/>
    <w:rPr>
      <w:rFonts w:ascii="Cambria" w:hAnsi="Cambria" w:eastAsia="宋体" w:cs="Times New Roman"/>
      <w:b/>
      <w:bCs/>
      <w:sz w:val="28"/>
      <w:szCs w:val="28"/>
    </w:rPr>
  </w:style>
  <w:style w:type="character" w:customStyle="1" w:styleId="74">
    <w:name w:val="批注文字 Char"/>
    <w:basedOn w:val="28"/>
    <w:qFormat/>
    <w:uiPriority w:val="99"/>
  </w:style>
  <w:style w:type="character" w:customStyle="1" w:styleId="75">
    <w:name w:val="标题 5 Char"/>
    <w:qFormat/>
    <w:uiPriority w:val="9"/>
    <w:rPr>
      <w:b/>
      <w:bCs/>
      <w:sz w:val="28"/>
      <w:szCs w:val="28"/>
    </w:rPr>
  </w:style>
  <w:style w:type="character" w:customStyle="1" w:styleId="76">
    <w:name w:val="文档结构图 Char"/>
    <w:semiHidden/>
    <w:qFormat/>
    <w:uiPriority w:val="99"/>
    <w:rPr>
      <w:rFonts w:ascii="宋体" w:eastAsia="宋体"/>
      <w:sz w:val="18"/>
      <w:szCs w:val="18"/>
    </w:rPr>
  </w:style>
  <w:style w:type="character" w:customStyle="1" w:styleId="77">
    <w:name w:val="批注主题 Char"/>
    <w:basedOn w:val="40"/>
    <w:link w:val="25"/>
    <w:semiHidden/>
    <w:qFormat/>
    <w:uiPriority w:val="99"/>
    <w:rPr>
      <w:rFonts w:eastAsia="宋体"/>
      <w:b/>
      <w:bCs/>
      <w:kern w:val="2"/>
      <w:sz w:val="24"/>
      <w:szCs w:val="22"/>
    </w:rPr>
  </w:style>
  <w:style w:type="paragraph" w:customStyle="1" w:styleId="78">
    <w:name w:val="图题目00"/>
    <w:basedOn w:val="1"/>
    <w:next w:val="1"/>
    <w:qFormat/>
    <w:uiPriority w:val="0"/>
    <w:pPr>
      <w:keepLines/>
      <w:spacing w:before="80" w:after="80" w:line="240" w:lineRule="auto"/>
      <w:ind w:firstLine="0" w:firstLineChars="0"/>
      <w:jc w:val="center"/>
    </w:pPr>
    <w:rPr>
      <w:rFonts w:eastAsia="方正仿宋_GBK" w:cs="宋体"/>
      <w:b/>
      <w:bCs/>
      <w:szCs w:val="28"/>
    </w:rPr>
  </w:style>
  <w:style w:type="paragraph" w:customStyle="1" w:styleId="79">
    <w:name w:val="TOC Heading"/>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80">
    <w:name w:val="表头"/>
    <w:basedOn w:val="1"/>
    <w:qFormat/>
    <w:uiPriority w:val="0"/>
    <w:pPr>
      <w:spacing w:before="120" w:line="520" w:lineRule="atLeast"/>
      <w:ind w:firstLine="0" w:firstLineChars="0"/>
      <w:jc w:val="center"/>
    </w:pPr>
    <w:rPr>
      <w:b/>
      <w:sz w:val="24"/>
      <w:szCs w:val="24"/>
    </w:rPr>
  </w:style>
  <w:style w:type="paragraph" w:customStyle="1" w:styleId="81">
    <w:name w:val="Revision"/>
    <w:hidden/>
    <w:semiHidden/>
    <w:qFormat/>
    <w:uiPriority w:val="99"/>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B7A9D-B963-487A-837E-749111AC8839}">
  <ds:schemaRefs/>
</ds:datastoreItem>
</file>

<file path=docProps/app.xml><?xml version="1.0" encoding="utf-8"?>
<Properties xmlns="http://schemas.openxmlformats.org/officeDocument/2006/extended-properties" xmlns:vt="http://schemas.openxmlformats.org/officeDocument/2006/docPropsVTypes">
  <Template>Normal</Template>
  <Pages>52</Pages>
  <Words>8607</Words>
  <Characters>49064</Characters>
  <Lines>408</Lines>
  <Paragraphs>115</Paragraphs>
  <TotalTime>1215</TotalTime>
  <ScaleCrop>false</ScaleCrop>
  <LinksUpToDate>false</LinksUpToDate>
  <CharactersWithSpaces>57556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2018-12-08T01:30:00Z</dcterms:created>
  <dc:creator>dell</dc:creator>
  <cp:lastModifiedBy>TonySnow1409556827</cp:lastModifiedBy>
  <dcterms:modified xsi:type="dcterms:W3CDTF">2021-10-29T01:40:10Z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4486A28FA7DB4E0CA64CA37ED08BE609</vt:lpwstr>
  </property>
</Properties>
</file>