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92" w:rsidRDefault="0097649C">
      <w:pPr>
        <w:pStyle w:val="2"/>
        <w:widowControl/>
        <w:shd w:val="clear" w:color="auto" w:fill="FFFFFF"/>
        <w:spacing w:beforeAutospacing="0" w:after="140" w:afterAutospacing="0"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b w:val="0"/>
          <w:bCs w:val="0"/>
          <w:color w:val="333333"/>
          <w:spacing w:val="1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color w:val="333333"/>
          <w:spacing w:val="10"/>
          <w:sz w:val="44"/>
          <w:szCs w:val="44"/>
          <w:shd w:val="clear" w:color="auto" w:fill="FFFFFF"/>
        </w:rPr>
        <w:t>昆明市晋宁区</w:t>
      </w:r>
      <w:r w:rsidR="00483780">
        <w:rPr>
          <w:rFonts w:ascii="方正小标宋简体" w:eastAsia="方正小标宋简体" w:hAnsi="方正小标宋简体" w:cs="方正小标宋简体"/>
          <w:b w:val="0"/>
          <w:bCs w:val="0"/>
          <w:color w:val="333333"/>
          <w:spacing w:val="10"/>
          <w:sz w:val="44"/>
          <w:szCs w:val="44"/>
          <w:shd w:val="clear" w:color="auto" w:fill="FFFFFF"/>
        </w:rPr>
        <w:t>民政局</w:t>
      </w:r>
    </w:p>
    <w:p w:rsidR="00750D56" w:rsidRPr="00212F92" w:rsidRDefault="00483780" w:rsidP="00212F92">
      <w:pPr>
        <w:pStyle w:val="2"/>
        <w:widowControl/>
        <w:shd w:val="clear" w:color="auto" w:fill="FFFFFF"/>
        <w:spacing w:beforeAutospacing="0" w:after="140" w:afterAutospacing="0" w:line="560" w:lineRule="exact"/>
        <w:jc w:val="center"/>
        <w:textAlignment w:val="baseline"/>
        <w:rPr>
          <w:rFonts w:eastAsia="方正小标宋简体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color w:val="333333"/>
          <w:spacing w:val="10"/>
          <w:sz w:val="44"/>
          <w:szCs w:val="44"/>
          <w:shd w:val="clear" w:color="auto" w:fill="FFFFFF"/>
        </w:rPr>
        <w:t>关于养老服务领域非法集资风险的提示</w:t>
      </w:r>
    </w:p>
    <w:p w:rsidR="00750D56" w:rsidRDefault="00483780">
      <w:pPr>
        <w:pStyle w:val="a5"/>
        <w:widowControl/>
        <w:shd w:val="clear" w:color="auto" w:fill="FFFFFF"/>
        <w:spacing w:before="150" w:beforeAutospacing="0" w:afterAutospacing="0" w:line="560" w:lineRule="exact"/>
        <w:jc w:val="both"/>
        <w:textAlignment w:val="baseline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广大老年朋友：</w:t>
      </w:r>
    </w:p>
    <w:p w:rsidR="00750D56" w:rsidRDefault="00483780">
      <w:pPr>
        <w:pStyle w:val="a5"/>
        <w:widowControl/>
        <w:shd w:val="clear" w:color="auto" w:fill="FFFFFF"/>
        <w:spacing w:before="150" w:beforeAutospacing="0" w:afterAutospacing="0" w:line="560" w:lineRule="exact"/>
        <w:ind w:firstLine="510"/>
        <w:jc w:val="both"/>
        <w:textAlignment w:val="baseline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近年来，一些不法分子打着养老服务、养老项目、养老公寓、以房养老、健康养老等名义，以高额回报为诱饵，面向社会公众非法吸收资金，存在非法集资风险，严重扰乱了养老服务市场，对社会造成了严重不良影响。</w:t>
      </w:r>
      <w:r w:rsidR="0097649C">
        <w:rPr>
          <w:rFonts w:ascii="Times New Roman" w:eastAsia="仿宋_GB2312" w:hAnsi="Times New Roman" w:hint="eastAsia"/>
          <w:color w:val="333333"/>
          <w:spacing w:val="20"/>
          <w:sz w:val="32"/>
          <w:szCs w:val="32"/>
          <w:shd w:val="clear" w:color="auto" w:fill="FFFFFF"/>
        </w:rPr>
        <w:t>昆明市晋宁区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民政局特作出以下提示：</w:t>
      </w:r>
    </w:p>
    <w:p w:rsidR="00750D56" w:rsidRDefault="00483780">
      <w:pPr>
        <w:pStyle w:val="a5"/>
        <w:widowControl/>
        <w:numPr>
          <w:ilvl w:val="0"/>
          <w:numId w:val="1"/>
        </w:numPr>
        <w:shd w:val="clear" w:color="auto" w:fill="FFFFFF"/>
        <w:spacing w:before="150" w:beforeAutospacing="0" w:afterAutospacing="0" w:line="560" w:lineRule="exact"/>
        <w:ind w:firstLine="450"/>
        <w:jc w:val="both"/>
        <w:textAlignment w:val="baseline"/>
        <w:rPr>
          <w:rFonts w:ascii="Times New Roman" w:eastAsia="黑体" w:hAnsi="Times New Roman"/>
          <w:color w:val="333333"/>
          <w:spacing w:val="1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color w:val="333333"/>
          <w:spacing w:val="10"/>
          <w:sz w:val="32"/>
          <w:szCs w:val="32"/>
          <w:shd w:val="clear" w:color="auto" w:fill="FFFFFF"/>
        </w:rPr>
        <w:t>养老服务领域涉嫌非法集资主要形式和特点</w:t>
      </w:r>
    </w:p>
    <w:p w:rsidR="00750D56" w:rsidRDefault="00483780">
      <w:pPr>
        <w:pStyle w:val="a5"/>
        <w:widowControl/>
        <w:shd w:val="clear" w:color="auto" w:fill="FFFFFF"/>
        <w:spacing w:before="150" w:beforeAutospacing="0" w:afterAutospacing="0" w:line="560" w:lineRule="exact"/>
        <w:ind w:firstLineChars="200" w:firstLine="683"/>
        <w:jc w:val="both"/>
        <w:textAlignment w:val="baseline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Style w:val="a6"/>
          <w:rFonts w:ascii="Times New Roman" w:eastAsia="仿宋_GB2312" w:hAnsi="Times New Roman"/>
          <w:color w:val="333333"/>
          <w:spacing w:val="10"/>
          <w:sz w:val="32"/>
          <w:szCs w:val="32"/>
          <w:shd w:val="clear" w:color="auto" w:fill="FFFFFF"/>
        </w:rPr>
        <w:t>非法集资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是指未经国务院金融管理部门依法许可或者违反国家金融管理规定，以许诺还本付息或者给予其他投资回报等方式，向不特定对象吸收资金的行为。主要有以下形式：</w:t>
      </w:r>
    </w:p>
    <w:p w:rsidR="00750D56" w:rsidRDefault="00483780">
      <w:pPr>
        <w:pStyle w:val="a5"/>
        <w:widowControl/>
        <w:shd w:val="clear" w:color="auto" w:fill="FFFFFF"/>
        <w:spacing w:before="150" w:beforeAutospacing="0" w:afterAutospacing="0" w:line="560" w:lineRule="exact"/>
        <w:ind w:firstLine="450"/>
        <w:jc w:val="both"/>
        <w:textAlignment w:val="baseline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（一）以提供</w:t>
      </w: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“</w:t>
      </w: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养老服务</w:t>
      </w: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”</w:t>
      </w: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名义吸收资金。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个别养老服务机构缺乏实体基地，或虽有养老实体但明显超过床位供给能力，以办理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贵宾卡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”“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会员卡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”“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预付卡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等名义，向会员收取高额会员费、保证金或者为会员卡充值，非法吸收公众资金。</w:t>
      </w:r>
    </w:p>
    <w:p w:rsidR="00750D56" w:rsidRDefault="00483780">
      <w:pPr>
        <w:pStyle w:val="a5"/>
        <w:widowControl/>
        <w:shd w:val="clear" w:color="auto" w:fill="FFFFFF"/>
        <w:spacing w:before="150" w:beforeAutospacing="0" w:afterAutospacing="0" w:line="560" w:lineRule="exact"/>
        <w:ind w:firstLine="450"/>
        <w:jc w:val="both"/>
        <w:textAlignment w:val="baseline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（二）以投资</w:t>
      </w: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“</w:t>
      </w: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养老项目</w:t>
      </w: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”</w:t>
      </w: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名义吸收资金。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打着投资、加盟、入股养生养老基地、老年公寓等项目名义，以返本销售、售后返租、约定回购、承诺高额回报、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有限合伙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”“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私募基金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等形式，非法吸收公众资金。</w:t>
      </w:r>
    </w:p>
    <w:p w:rsidR="00750D56" w:rsidRDefault="00483780">
      <w:pPr>
        <w:pStyle w:val="a5"/>
        <w:widowControl/>
        <w:shd w:val="clear" w:color="auto" w:fill="FFFFFF"/>
        <w:spacing w:before="150" w:beforeAutospacing="0" w:afterAutospacing="0" w:line="560" w:lineRule="exact"/>
        <w:ind w:firstLine="450"/>
        <w:jc w:val="both"/>
        <w:textAlignment w:val="baseline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lastRenderedPageBreak/>
        <w:t>（三）以销售或长期出租</w:t>
      </w: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“</w:t>
      </w: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养老公寓</w:t>
      </w: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”</w:t>
      </w: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名义吸收资金。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以销售虚构的养老公寓或者长期出租养老床位、销售养老公寓使用权等名义，声称入住即给予优惠折扣、不入住也可给予高额分红，收取高额房款、租金、押金等，非法吸收公众资金。</w:t>
      </w:r>
    </w:p>
    <w:p w:rsidR="00750D56" w:rsidRDefault="00483780">
      <w:pPr>
        <w:pStyle w:val="a5"/>
        <w:widowControl/>
        <w:shd w:val="clear" w:color="auto" w:fill="FFFFFF"/>
        <w:spacing w:before="150" w:beforeAutospacing="0" w:afterAutospacing="0" w:line="560" w:lineRule="exact"/>
        <w:ind w:firstLine="450"/>
        <w:jc w:val="both"/>
        <w:textAlignment w:val="baseline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（四）以销售</w:t>
      </w: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“</w:t>
      </w: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老年产品</w:t>
      </w: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”</w:t>
      </w: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等名义吸收资金。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个别机构采取商品回购、寄存代售、消费返利、免费体检、免费体验、免费旅游、赠送礼品、养生讲座等欺骗、诱导方式，以销售养老产品、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保健品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、提供养老服务的名义或者以高额利息为诱惑，非法吸收公众资金。</w:t>
      </w:r>
    </w:p>
    <w:p w:rsidR="00750D56" w:rsidRDefault="00483780">
      <w:pPr>
        <w:pStyle w:val="a5"/>
        <w:widowControl/>
        <w:shd w:val="clear" w:color="auto" w:fill="FFFFFF"/>
        <w:spacing w:before="150" w:beforeAutospacing="0" w:afterAutospacing="0" w:line="560" w:lineRule="exact"/>
        <w:ind w:firstLine="450"/>
        <w:jc w:val="both"/>
        <w:textAlignment w:val="baseline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（五）以</w:t>
      </w: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“</w:t>
      </w: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以房养老</w:t>
      </w: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”</w:t>
      </w:r>
      <w:r>
        <w:rPr>
          <w:rFonts w:ascii="Times New Roman" w:eastAsia="楷体" w:hAnsi="Times New Roman"/>
          <w:color w:val="333333"/>
          <w:spacing w:val="10"/>
          <w:sz w:val="32"/>
          <w:szCs w:val="32"/>
          <w:shd w:val="clear" w:color="auto" w:fill="FFFFFF"/>
        </w:rPr>
        <w:t>等名义吸收资金。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个别机构以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以房养老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  <w:shd w:val="clear" w:color="auto" w:fill="FFFFFF"/>
        </w:rPr>
        <w:t>、每月坐享高息收益等名义进行虚假宣传，诱骗老年人通过房产抵押借款理财，非法吸收公众资金。</w:t>
      </w:r>
    </w:p>
    <w:p w:rsidR="00750D56" w:rsidRDefault="00483780">
      <w:pPr>
        <w:pStyle w:val="a5"/>
        <w:widowControl/>
        <w:numPr>
          <w:ilvl w:val="0"/>
          <w:numId w:val="1"/>
        </w:numPr>
        <w:shd w:val="clear" w:color="auto" w:fill="FFFFFF"/>
        <w:spacing w:before="150" w:beforeAutospacing="0" w:afterAutospacing="0" w:line="560" w:lineRule="exact"/>
        <w:ind w:firstLine="450"/>
        <w:jc w:val="both"/>
        <w:textAlignment w:val="baseline"/>
        <w:rPr>
          <w:rFonts w:ascii="Times New Roman" w:eastAsia="黑体" w:hAnsi="Times New Roman"/>
          <w:color w:val="333333"/>
          <w:spacing w:val="1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color w:val="333333"/>
          <w:spacing w:val="10"/>
          <w:sz w:val="32"/>
          <w:szCs w:val="32"/>
          <w:shd w:val="clear" w:color="auto" w:fill="FFFFFF"/>
        </w:rPr>
        <w:t>广大老年朋友及亲属需注意事项</w:t>
      </w:r>
    </w:p>
    <w:p w:rsidR="00750D56" w:rsidRDefault="00483780">
      <w:pPr>
        <w:pStyle w:val="a5"/>
        <w:widowControl/>
        <w:spacing w:before="150" w:beforeAutospacing="0" w:afterAutospacing="0" w:line="560" w:lineRule="exact"/>
        <w:ind w:firstLine="450"/>
        <w:jc w:val="both"/>
        <w:textAlignment w:val="baseline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投资上述非法机构或参与上述非法活动，不仅无法获得高额返利，还将面临损失本金的风险，健康需求亦无法满足。在此，</w:t>
      </w:r>
      <w:r>
        <w:rPr>
          <w:rStyle w:val="a6"/>
          <w:rFonts w:ascii="Times New Roman" w:eastAsia="仿宋_GB2312" w:hAnsi="Times New Roman"/>
          <w:color w:val="333333"/>
          <w:spacing w:val="10"/>
          <w:sz w:val="32"/>
          <w:szCs w:val="32"/>
          <w:shd w:val="clear" w:color="auto" w:fill="FFFFFF"/>
        </w:rPr>
        <w:t>特别提醒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广大老年朋友及亲属注意以下事项：</w:t>
      </w:r>
    </w:p>
    <w:p w:rsidR="00750D56" w:rsidRDefault="00483780">
      <w:pPr>
        <w:pStyle w:val="a5"/>
        <w:widowControl/>
        <w:spacing w:before="150" w:beforeAutospacing="0" w:afterAutospacing="0" w:line="560" w:lineRule="exact"/>
        <w:ind w:firstLine="510"/>
        <w:jc w:val="both"/>
        <w:textAlignment w:val="baseline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(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一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)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根据有关法律法规规定，</w:t>
      </w:r>
      <w:r>
        <w:rPr>
          <w:rStyle w:val="a6"/>
          <w:rFonts w:ascii="Times New Roman" w:eastAsia="仿宋_GB2312" w:hAnsi="Times New Roman"/>
          <w:color w:val="333333"/>
          <w:spacing w:val="10"/>
          <w:sz w:val="32"/>
          <w:szCs w:val="32"/>
          <w:shd w:val="clear" w:color="auto" w:fill="FFFFFF"/>
        </w:rPr>
        <w:t>养老机构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是指为老年人提供集中居住和照料服务的机构，未经有关登记管理机关进行法人登记前，不得以任何名义收取费用、收住老年人；经依法登记的养老机构应当在收住老年人后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10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个工作日以内向民政部门备案，应当与接受服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lastRenderedPageBreak/>
        <w:t>务的老年人或者其代理人签订养老服务协议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(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合同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)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，并在醒目位置公示各类项目收费标准；养老机构不得以任何名义，以承诺高额回报为诱饵，采取公开宣传或发展下线方式，向社会公众吸收资金，集资金额、人数、损失达到一定数额的，构成非法吸收公众存款罪或集资诈骗罪，将依法追究刑事责任。</w:t>
      </w:r>
    </w:p>
    <w:p w:rsidR="00750D56" w:rsidRDefault="00483780">
      <w:pPr>
        <w:pStyle w:val="a5"/>
        <w:widowControl/>
        <w:spacing w:before="150" w:beforeAutospacing="0" w:afterAutospacing="0" w:line="560" w:lineRule="exact"/>
        <w:ind w:firstLine="450"/>
        <w:jc w:val="both"/>
        <w:textAlignment w:val="baseline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Style w:val="a6"/>
          <w:rFonts w:ascii="Times New Roman" w:eastAsia="仿宋_GB2312" w:hAnsi="Times New Roman"/>
          <w:b w:val="0"/>
          <w:bCs/>
          <w:color w:val="333333"/>
          <w:spacing w:val="10"/>
          <w:sz w:val="32"/>
          <w:szCs w:val="32"/>
          <w:shd w:val="clear" w:color="auto" w:fill="FFFFFF"/>
        </w:rPr>
        <w:t>(</w:t>
      </w:r>
      <w:r>
        <w:rPr>
          <w:rStyle w:val="a6"/>
          <w:rFonts w:ascii="Times New Roman" w:eastAsia="仿宋_GB2312" w:hAnsi="Times New Roman"/>
          <w:b w:val="0"/>
          <w:bCs/>
          <w:color w:val="333333"/>
          <w:spacing w:val="10"/>
          <w:sz w:val="32"/>
          <w:szCs w:val="32"/>
          <w:shd w:val="clear" w:color="auto" w:fill="FFFFFF"/>
        </w:rPr>
        <w:t>二</w:t>
      </w:r>
      <w:r>
        <w:rPr>
          <w:rStyle w:val="a6"/>
          <w:rFonts w:ascii="Times New Roman" w:eastAsia="仿宋_GB2312" w:hAnsi="Times New Roman"/>
          <w:b w:val="0"/>
          <w:bCs/>
          <w:color w:val="333333"/>
          <w:spacing w:val="10"/>
          <w:sz w:val="32"/>
          <w:szCs w:val="32"/>
          <w:shd w:val="clear" w:color="auto" w:fill="FFFFFF"/>
        </w:rPr>
        <w:t>)</w:t>
      </w:r>
      <w:r>
        <w:rPr>
          <w:rStyle w:val="a6"/>
          <w:rFonts w:ascii="Times New Roman" w:eastAsia="仿宋_GB2312" w:hAnsi="Times New Roman"/>
          <w:color w:val="333333"/>
          <w:spacing w:val="10"/>
          <w:sz w:val="32"/>
          <w:szCs w:val="32"/>
          <w:shd w:val="clear" w:color="auto" w:fill="FFFFFF"/>
        </w:rPr>
        <w:t>选择养老机构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应查看相关证件并按规定签订养老服务协议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(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合同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)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，谨慎预付高额养老服务费用，不向个人账户缴纳资金。理性选择合法合规的投资理财渠道，不为高额回报所诱惑，不参与非法集资并提醒、劝阻身边的亲属朋友，守好自己的养老钱。</w:t>
      </w:r>
    </w:p>
    <w:p w:rsidR="00750D56" w:rsidRDefault="00483780">
      <w:pPr>
        <w:pStyle w:val="a5"/>
        <w:widowControl/>
        <w:spacing w:before="150" w:beforeAutospacing="0" w:afterAutospacing="0" w:line="560" w:lineRule="exact"/>
        <w:ind w:firstLine="450"/>
        <w:jc w:val="both"/>
        <w:textAlignment w:val="baseline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Style w:val="a6"/>
          <w:rFonts w:ascii="Times New Roman" w:eastAsia="仿宋_GB2312" w:hAnsi="Times New Roman"/>
          <w:b w:val="0"/>
          <w:bCs/>
          <w:color w:val="333333"/>
          <w:spacing w:val="10"/>
          <w:sz w:val="32"/>
          <w:szCs w:val="32"/>
          <w:shd w:val="clear" w:color="auto" w:fill="FFFFFF"/>
        </w:rPr>
        <w:t>(</w:t>
      </w:r>
      <w:r>
        <w:rPr>
          <w:rStyle w:val="a6"/>
          <w:rFonts w:ascii="Times New Roman" w:eastAsia="仿宋_GB2312" w:hAnsi="Times New Roman"/>
          <w:b w:val="0"/>
          <w:bCs/>
          <w:color w:val="333333"/>
          <w:spacing w:val="10"/>
          <w:sz w:val="32"/>
          <w:szCs w:val="32"/>
          <w:shd w:val="clear" w:color="auto" w:fill="FFFFFF"/>
        </w:rPr>
        <w:t>三</w:t>
      </w:r>
      <w:r>
        <w:rPr>
          <w:rStyle w:val="a6"/>
          <w:rFonts w:ascii="Times New Roman" w:eastAsia="仿宋_GB2312" w:hAnsi="Times New Roman"/>
          <w:b w:val="0"/>
          <w:bCs/>
          <w:color w:val="333333"/>
          <w:spacing w:val="10"/>
          <w:sz w:val="32"/>
          <w:szCs w:val="32"/>
          <w:shd w:val="clear" w:color="auto" w:fill="FFFFFF"/>
        </w:rPr>
        <w:t>)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根据《防范和处置非法集资条例》规定，参与</w:t>
      </w:r>
      <w:r>
        <w:rPr>
          <w:rStyle w:val="a6"/>
          <w:rFonts w:ascii="Times New Roman" w:eastAsia="仿宋_GB2312" w:hAnsi="Times New Roman"/>
          <w:color w:val="333333"/>
          <w:spacing w:val="10"/>
          <w:sz w:val="32"/>
          <w:szCs w:val="32"/>
          <w:shd w:val="clear" w:color="auto" w:fill="FFFFFF"/>
        </w:rPr>
        <w:t>非法集资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不受法律保护，因参与非法集资受到的损失，由集资参与人自行承担。</w:t>
      </w:r>
    </w:p>
    <w:p w:rsidR="0097649C" w:rsidRDefault="00483780">
      <w:pPr>
        <w:pStyle w:val="a5"/>
        <w:widowControl/>
        <w:spacing w:before="150" w:beforeAutospacing="0" w:afterAutospacing="0" w:line="560" w:lineRule="exact"/>
        <w:ind w:firstLine="450"/>
        <w:jc w:val="both"/>
        <w:textAlignment w:val="baseline"/>
        <w:rPr>
          <w:rStyle w:val="a6"/>
          <w:rFonts w:ascii="Times New Roman" w:eastAsia="仿宋_GB2312" w:hAnsi="Times New Roman"/>
          <w:color w:val="333333"/>
          <w:spacing w:val="10"/>
          <w:sz w:val="32"/>
          <w:szCs w:val="32"/>
          <w:shd w:val="clear" w:color="auto" w:fill="FFFFFF"/>
        </w:rPr>
      </w:pPr>
      <w:r>
        <w:rPr>
          <w:rStyle w:val="a6"/>
          <w:rFonts w:ascii="Times New Roman" w:eastAsia="仿宋_GB2312" w:hAnsi="Times New Roman"/>
          <w:b w:val="0"/>
          <w:bCs/>
          <w:color w:val="333333"/>
          <w:spacing w:val="10"/>
          <w:sz w:val="32"/>
          <w:szCs w:val="32"/>
          <w:shd w:val="clear" w:color="auto" w:fill="FFFFFF"/>
        </w:rPr>
        <w:t>(</w:t>
      </w:r>
      <w:r>
        <w:rPr>
          <w:rStyle w:val="a6"/>
          <w:rFonts w:ascii="Times New Roman" w:eastAsia="仿宋_GB2312" w:hAnsi="Times New Roman"/>
          <w:b w:val="0"/>
          <w:bCs/>
          <w:color w:val="333333"/>
          <w:spacing w:val="10"/>
          <w:sz w:val="32"/>
          <w:szCs w:val="32"/>
          <w:shd w:val="clear" w:color="auto" w:fill="FFFFFF"/>
        </w:rPr>
        <w:t>四</w:t>
      </w:r>
      <w:r>
        <w:rPr>
          <w:rStyle w:val="a6"/>
          <w:rFonts w:ascii="Times New Roman" w:eastAsia="仿宋_GB2312" w:hAnsi="Times New Roman"/>
          <w:b w:val="0"/>
          <w:bCs/>
          <w:color w:val="333333"/>
          <w:spacing w:val="10"/>
          <w:sz w:val="32"/>
          <w:szCs w:val="32"/>
          <w:shd w:val="clear" w:color="auto" w:fill="FFFFFF"/>
        </w:rPr>
        <w:t>)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市场上没有高回报、低风险理财产品。请老年朋友要警惕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“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保本保息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”“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低投入高收益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”“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高返利投资或消费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”</w:t>
      </w:r>
      <w:r>
        <w:rPr>
          <w:rFonts w:ascii="Times New Roman" w:eastAsia="仿宋_GB2312" w:hAnsi="Times New Roman"/>
          <w:color w:val="333333"/>
          <w:spacing w:val="20"/>
          <w:sz w:val="32"/>
          <w:szCs w:val="32"/>
        </w:rPr>
        <w:t>的诱导宣传，切勿轻信他人，切勿贪小便宜，要坚决抵制高额诱惑，守住自己的养老钱。一旦发现相关违法犯罪活动线索，请积极向当地民政部门、公安机关、地方金融监管部门反映、</w:t>
      </w:r>
      <w:r w:rsidRPr="0097649C">
        <w:rPr>
          <w:rFonts w:ascii="Times New Roman" w:eastAsia="仿宋_GB2312" w:hAnsi="Times New Roman"/>
          <w:color w:val="333333"/>
          <w:spacing w:val="20"/>
          <w:sz w:val="32"/>
          <w:szCs w:val="32"/>
        </w:rPr>
        <w:t>举报</w:t>
      </w:r>
      <w:r>
        <w:rPr>
          <w:rStyle w:val="a6"/>
          <w:rFonts w:ascii="Times New Roman" w:eastAsia="仿宋_GB2312" w:hAnsi="Times New Roman"/>
          <w:color w:val="333333"/>
          <w:spacing w:val="10"/>
          <w:sz w:val="32"/>
          <w:szCs w:val="32"/>
          <w:shd w:val="clear" w:color="auto" w:fill="FFFFFF"/>
        </w:rPr>
        <w:t>。</w:t>
      </w:r>
    </w:p>
    <w:p w:rsidR="00750D56" w:rsidRDefault="009B0D83" w:rsidP="0097649C">
      <w:pPr>
        <w:pStyle w:val="a5"/>
        <w:widowControl/>
        <w:spacing w:before="150" w:beforeAutospacing="0" w:afterAutospacing="0" w:line="560" w:lineRule="exact"/>
        <w:ind w:firstLineChars="200" w:firstLine="683"/>
        <w:jc w:val="both"/>
        <w:textAlignment w:val="baseline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Style w:val="a6"/>
          <w:rFonts w:ascii="Times New Roman" w:eastAsia="仿宋_GB2312" w:hAnsi="Times New Roman" w:hint="eastAsia"/>
          <w:color w:val="333333"/>
          <w:spacing w:val="10"/>
          <w:sz w:val="32"/>
          <w:szCs w:val="32"/>
          <w:shd w:val="clear" w:color="auto" w:fill="FFFFFF"/>
        </w:rPr>
        <w:t>晋宁区民政局</w:t>
      </w:r>
      <w:r w:rsidR="0097649C">
        <w:rPr>
          <w:rStyle w:val="a6"/>
          <w:rFonts w:ascii="Times New Roman" w:eastAsia="仿宋_GB2312" w:hAnsi="Times New Roman" w:hint="eastAsia"/>
          <w:color w:val="333333"/>
          <w:spacing w:val="10"/>
          <w:sz w:val="32"/>
          <w:szCs w:val="32"/>
          <w:shd w:val="clear" w:color="auto" w:fill="FFFFFF"/>
        </w:rPr>
        <w:t>举报</w:t>
      </w:r>
      <w:r w:rsidR="00483780">
        <w:rPr>
          <w:rStyle w:val="a6"/>
          <w:rFonts w:ascii="Times New Roman" w:eastAsia="仿宋_GB2312" w:hAnsi="Times New Roman"/>
          <w:color w:val="333333"/>
          <w:spacing w:val="10"/>
          <w:sz w:val="32"/>
          <w:szCs w:val="32"/>
          <w:shd w:val="clear" w:color="auto" w:fill="FFFFFF"/>
        </w:rPr>
        <w:t>电话</w:t>
      </w:r>
      <w:r w:rsidR="00483780">
        <w:rPr>
          <w:rStyle w:val="a6"/>
          <w:rFonts w:ascii="Times New Roman" w:eastAsia="仿宋_GB2312" w:hAnsi="Times New Roman"/>
          <w:color w:val="333333"/>
          <w:spacing w:val="10"/>
          <w:sz w:val="32"/>
          <w:szCs w:val="32"/>
          <w:shd w:val="clear" w:color="auto" w:fill="FFFFFF"/>
        </w:rPr>
        <w:t>:</w:t>
      </w:r>
      <w:r w:rsidR="00212F92">
        <w:rPr>
          <w:rStyle w:val="a6"/>
          <w:rFonts w:ascii="Times New Roman" w:eastAsia="仿宋_GB2312" w:hAnsi="Times New Roman" w:hint="eastAsia"/>
          <w:color w:val="333333"/>
          <w:spacing w:val="10"/>
          <w:sz w:val="32"/>
          <w:szCs w:val="32"/>
          <w:shd w:val="clear" w:color="auto" w:fill="FFFFFF"/>
        </w:rPr>
        <w:t>0871-</w:t>
      </w:r>
      <w:r w:rsidR="005E2371">
        <w:rPr>
          <w:rStyle w:val="a6"/>
          <w:rFonts w:ascii="Times New Roman" w:eastAsia="仿宋_GB2312" w:hAnsi="Times New Roman" w:hint="eastAsia"/>
          <w:color w:val="333333"/>
          <w:spacing w:val="10"/>
          <w:sz w:val="32"/>
          <w:szCs w:val="32"/>
          <w:shd w:val="clear" w:color="auto" w:fill="FFFFFF"/>
        </w:rPr>
        <w:t>67893174</w:t>
      </w:r>
      <w:r w:rsidR="005E2371">
        <w:rPr>
          <w:rStyle w:val="a6"/>
          <w:rFonts w:ascii="Times New Roman" w:eastAsia="仿宋_GB2312" w:hAnsi="Times New Roman" w:hint="eastAsia"/>
          <w:color w:val="333333"/>
          <w:spacing w:val="10"/>
          <w:sz w:val="32"/>
          <w:szCs w:val="32"/>
          <w:shd w:val="clear" w:color="auto" w:fill="FFFFFF"/>
        </w:rPr>
        <w:t>、</w:t>
      </w:r>
      <w:r w:rsidR="0097649C">
        <w:rPr>
          <w:rStyle w:val="a6"/>
          <w:rFonts w:ascii="Times New Roman" w:eastAsia="仿宋_GB2312" w:hAnsi="Times New Roman"/>
          <w:color w:val="333333"/>
          <w:spacing w:val="10"/>
          <w:sz w:val="32"/>
          <w:szCs w:val="32"/>
          <w:shd w:val="clear" w:color="auto" w:fill="FFFFFF"/>
        </w:rPr>
        <w:t>67808160</w:t>
      </w:r>
      <w:r w:rsidR="00483780">
        <w:rPr>
          <w:rStyle w:val="a6"/>
          <w:rFonts w:ascii="Times New Roman" w:eastAsia="仿宋_GB2312" w:hAnsi="Times New Roman"/>
          <w:color w:val="333333"/>
          <w:spacing w:val="10"/>
          <w:sz w:val="32"/>
          <w:szCs w:val="32"/>
          <w:shd w:val="clear" w:color="auto" w:fill="FFFFFF"/>
        </w:rPr>
        <w:t>。</w:t>
      </w:r>
    </w:p>
    <w:p w:rsidR="00750D56" w:rsidRDefault="00483780">
      <w:pPr>
        <w:pStyle w:val="a5"/>
        <w:widowControl/>
        <w:spacing w:beforeAutospacing="0" w:afterAutospacing="0" w:line="560" w:lineRule="exact"/>
        <w:jc w:val="both"/>
        <w:textAlignment w:val="baseline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pacing w:val="10"/>
          <w:sz w:val="32"/>
          <w:szCs w:val="32"/>
          <w:shd w:val="clear" w:color="auto" w:fill="FFFFFF"/>
        </w:rPr>
        <w:t> </w:t>
      </w:r>
      <w:r w:rsidR="00212F92">
        <w:rPr>
          <w:rFonts w:ascii="Times New Roman" w:eastAsia="仿宋_GB2312" w:hAnsi="Times New Roman" w:hint="eastAsia"/>
          <w:color w:val="333333"/>
          <w:spacing w:val="10"/>
          <w:sz w:val="32"/>
          <w:szCs w:val="32"/>
          <w:shd w:val="clear" w:color="auto" w:fill="FFFFFF"/>
        </w:rPr>
        <w:t xml:space="preserve">                            2021</w:t>
      </w:r>
      <w:r w:rsidR="00212F92">
        <w:rPr>
          <w:rFonts w:ascii="Times New Roman" w:eastAsia="仿宋_GB2312" w:hAnsi="Times New Roman" w:hint="eastAsia"/>
          <w:color w:val="333333"/>
          <w:spacing w:val="10"/>
          <w:sz w:val="32"/>
          <w:szCs w:val="32"/>
          <w:shd w:val="clear" w:color="auto" w:fill="FFFFFF"/>
        </w:rPr>
        <w:t>年</w:t>
      </w:r>
      <w:r w:rsidR="00212F92">
        <w:rPr>
          <w:rFonts w:ascii="Times New Roman" w:eastAsia="仿宋_GB2312" w:hAnsi="Times New Roman" w:hint="eastAsia"/>
          <w:color w:val="333333"/>
          <w:spacing w:val="10"/>
          <w:sz w:val="32"/>
          <w:szCs w:val="32"/>
          <w:shd w:val="clear" w:color="auto" w:fill="FFFFFF"/>
        </w:rPr>
        <w:t>5</w:t>
      </w:r>
      <w:r w:rsidR="00212F92">
        <w:rPr>
          <w:rFonts w:ascii="Times New Roman" w:eastAsia="仿宋_GB2312" w:hAnsi="Times New Roman" w:hint="eastAsia"/>
          <w:color w:val="333333"/>
          <w:spacing w:val="10"/>
          <w:sz w:val="32"/>
          <w:szCs w:val="32"/>
          <w:shd w:val="clear" w:color="auto" w:fill="FFFFFF"/>
        </w:rPr>
        <w:t>月</w:t>
      </w:r>
      <w:r w:rsidR="00212F92">
        <w:rPr>
          <w:rFonts w:ascii="Times New Roman" w:eastAsia="仿宋_GB2312" w:hAnsi="Times New Roman" w:hint="eastAsia"/>
          <w:color w:val="333333"/>
          <w:spacing w:val="10"/>
          <w:sz w:val="32"/>
          <w:szCs w:val="32"/>
          <w:shd w:val="clear" w:color="auto" w:fill="FFFFFF"/>
        </w:rPr>
        <w:t>10</w:t>
      </w:r>
      <w:r w:rsidR="00212F92">
        <w:rPr>
          <w:rFonts w:ascii="Times New Roman" w:eastAsia="仿宋_GB2312" w:hAnsi="Times New Roman" w:hint="eastAsia"/>
          <w:color w:val="333333"/>
          <w:spacing w:val="10"/>
          <w:sz w:val="32"/>
          <w:szCs w:val="32"/>
          <w:shd w:val="clear" w:color="auto" w:fill="FFFFFF"/>
        </w:rPr>
        <w:t>日</w:t>
      </w:r>
    </w:p>
    <w:p w:rsidR="00750D56" w:rsidRPr="005E2371" w:rsidRDefault="00750D5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750D56" w:rsidRPr="005E2371" w:rsidSect="00855E5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580" w:rsidRDefault="00937580">
      <w:r>
        <w:separator/>
      </w:r>
    </w:p>
  </w:endnote>
  <w:endnote w:type="continuationSeparator" w:id="1">
    <w:p w:rsidR="00937580" w:rsidRDefault="00937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D56" w:rsidRDefault="00855E5D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96.8pt;margin-top:0;width:2in;height:2in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<v:textbox style="mso-fit-shape-to-text:t" inset="0,0,0,0">
            <w:txbxContent>
              <w:p w:rsidR="00750D56" w:rsidRDefault="00483780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855E5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855E5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5E2371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3</w:t>
                </w:r>
                <w:r w:rsidR="00855E5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580" w:rsidRDefault="00937580">
      <w:r>
        <w:separator/>
      </w:r>
    </w:p>
  </w:footnote>
  <w:footnote w:type="continuationSeparator" w:id="1">
    <w:p w:rsidR="00937580" w:rsidRDefault="00937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7E4967"/>
    <w:multiLevelType w:val="singleLevel"/>
    <w:tmpl w:val="A27E49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B57263"/>
    <w:rsid w:val="00212F92"/>
    <w:rsid w:val="00451369"/>
    <w:rsid w:val="00483780"/>
    <w:rsid w:val="005E2371"/>
    <w:rsid w:val="00750D56"/>
    <w:rsid w:val="00855E5D"/>
    <w:rsid w:val="00937580"/>
    <w:rsid w:val="0097649C"/>
    <w:rsid w:val="009B0D83"/>
    <w:rsid w:val="46B57263"/>
    <w:rsid w:val="525D2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E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855E5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55E5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55E5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855E5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855E5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留白</dc:creator>
  <cp:lastModifiedBy>XSD-PC12</cp:lastModifiedBy>
  <cp:revision>5</cp:revision>
  <dcterms:created xsi:type="dcterms:W3CDTF">2021-05-10T03:48:00Z</dcterms:created>
  <dcterms:modified xsi:type="dcterms:W3CDTF">2021-05-10T05:46:00Z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0A475ADED7914CB3900ACDBC1CCECD31</vt:lpwstr>
  </property>
</Properties>
</file>