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3898" w:type="dxa"/>
        <w:tblInd w:w="64" w:type="dxa"/>
        <w:tblLayout w:type="fixed"/>
        <w:tblCellMar>
          <w:top w:w="0" w:type="dxa"/>
          <w:left w:w="0" w:type="dxa"/>
          <w:bottom w:w="0" w:type="dxa"/>
          <w:right w:w="0" w:type="dxa"/>
        </w:tblCellMar>
      </w:tblPr>
      <w:tblGrid>
        <w:gridCol w:w="518"/>
        <w:gridCol w:w="567"/>
        <w:gridCol w:w="1470"/>
        <w:gridCol w:w="1559"/>
        <w:gridCol w:w="993"/>
        <w:gridCol w:w="993"/>
        <w:gridCol w:w="1134"/>
        <w:gridCol w:w="1134"/>
        <w:gridCol w:w="3825"/>
        <w:gridCol w:w="996"/>
        <w:gridCol w:w="709"/>
      </w:tblGrid>
      <w:tr>
        <w:tblPrEx>
          <w:tblLayout w:type="fixed"/>
          <w:tblCellMar>
            <w:top w:w="0" w:type="dxa"/>
            <w:left w:w="0" w:type="dxa"/>
            <w:bottom w:w="0" w:type="dxa"/>
            <w:right w:w="0" w:type="dxa"/>
          </w:tblCellMar>
        </w:tblPrEx>
        <w:trPr>
          <w:cantSplit/>
          <w:trHeight w:val="567" w:hRule="exact"/>
          <w:tblHeader/>
        </w:trPr>
        <w:tc>
          <w:tcPr>
            <w:tcW w:w="13898" w:type="dxa"/>
            <w:gridSpan w:val="11"/>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320" w:lineRule="exact"/>
              <w:jc w:val="center"/>
              <w:textAlignment w:val="center"/>
              <w:rPr>
                <w:rFonts w:asciiTheme="minorEastAsia" w:hAnsiTheme="minorEastAsia" w:cstheme="minorEastAsia"/>
                <w:color w:val="000000"/>
                <w:kern w:val="0"/>
                <w:sz w:val="18"/>
                <w:szCs w:val="18"/>
              </w:rPr>
            </w:pPr>
            <w:r>
              <w:rPr>
                <w:rFonts w:hint="eastAsia" w:ascii="方正小标宋简体" w:hAnsi="方正小标宋简体" w:eastAsia="方正小标宋简体" w:cs="方正小标宋简体"/>
                <w:color w:val="000000"/>
                <w:kern w:val="0"/>
                <w:sz w:val="32"/>
                <w:szCs w:val="32"/>
              </w:rPr>
              <w:t>晋宁区市场监管领域随机抽查事项清单</w:t>
            </w:r>
          </w:p>
        </w:tc>
      </w:tr>
      <w:tr>
        <w:tblPrEx>
          <w:tblLayout w:type="fixed"/>
          <w:tblCellMar>
            <w:top w:w="0" w:type="dxa"/>
            <w:left w:w="0" w:type="dxa"/>
            <w:bottom w:w="0" w:type="dxa"/>
            <w:right w:w="0" w:type="dxa"/>
          </w:tblCellMar>
        </w:tblPrEx>
        <w:trPr>
          <w:cantSplit/>
          <w:trHeight w:val="454" w:hRule="exact"/>
          <w:tblHeader/>
        </w:trPr>
        <w:tc>
          <w:tcPr>
            <w:tcW w:w="51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序号</w:t>
            </w:r>
          </w:p>
        </w:tc>
        <w:tc>
          <w:tcPr>
            <w:tcW w:w="5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部门</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抽查项目</w:t>
            </w:r>
          </w:p>
        </w:tc>
        <w:tc>
          <w:tcPr>
            <w:tcW w:w="9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事项类别</w:t>
            </w:r>
          </w:p>
        </w:tc>
        <w:tc>
          <w:tcPr>
            <w:tcW w:w="9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检查对象</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检查方式</w:t>
            </w:r>
          </w:p>
        </w:tc>
        <w:tc>
          <w:tcPr>
            <w:tcW w:w="11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检查主体</w:t>
            </w:r>
          </w:p>
        </w:tc>
        <w:tc>
          <w:tcPr>
            <w:tcW w:w="3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检查依据</w:t>
            </w:r>
          </w:p>
        </w:tc>
        <w:tc>
          <w:tcPr>
            <w:tcW w:w="99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适用区域</w:t>
            </w:r>
          </w:p>
        </w:tc>
        <w:tc>
          <w:tcPr>
            <w:tcW w:w="7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b/>
                <w:bCs/>
                <w:color w:val="000000"/>
                <w:kern w:val="0"/>
                <w:sz w:val="18"/>
                <w:szCs w:val="18"/>
              </w:rPr>
            </w:pPr>
            <w:r>
              <w:rPr>
                <w:rFonts w:hint="eastAsia" w:ascii="方正黑体_GBK" w:hAnsi="方正黑体_GBK" w:eastAsia="方正黑体_GBK" w:cs="方正黑体_GBK"/>
                <w:b/>
                <w:bCs/>
                <w:kern w:val="0"/>
                <w:sz w:val="22"/>
              </w:rPr>
              <w:t>备注</w:t>
            </w:r>
          </w:p>
        </w:tc>
      </w:tr>
      <w:tr>
        <w:tblPrEx>
          <w:tblLayout w:type="fixed"/>
          <w:tblCellMar>
            <w:top w:w="0" w:type="dxa"/>
            <w:left w:w="0" w:type="dxa"/>
            <w:bottom w:w="0" w:type="dxa"/>
            <w:right w:w="0" w:type="dxa"/>
          </w:tblCellMar>
        </w:tblPrEx>
        <w:trPr>
          <w:cantSplit/>
          <w:trHeight w:val="568" w:hRule="exact"/>
          <w:tblHeader/>
        </w:trPr>
        <w:tc>
          <w:tcPr>
            <w:tcW w:w="518"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56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4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b/>
                <w:bCs/>
                <w:kern w:val="0"/>
                <w:sz w:val="22"/>
              </w:rPr>
            </w:pPr>
            <w:r>
              <w:rPr>
                <w:rFonts w:hint="eastAsia" w:ascii="方正黑体_GBK" w:hAnsi="方正黑体_GBK" w:eastAsia="方正黑体_GBK" w:cs="方正黑体_GBK"/>
                <w:b/>
                <w:bCs/>
                <w:kern w:val="0"/>
                <w:sz w:val="22"/>
              </w:rPr>
              <w:t>抽查类别</w:t>
            </w:r>
          </w:p>
        </w:tc>
        <w:tc>
          <w:tcPr>
            <w:tcW w:w="15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b/>
                <w:bCs/>
                <w:kern w:val="0"/>
                <w:sz w:val="22"/>
              </w:rPr>
              <w:t>抽查事项</w:t>
            </w:r>
          </w:p>
        </w:tc>
        <w:tc>
          <w:tcPr>
            <w:tcW w:w="99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99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13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113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38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99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rPr>
                <w:rFonts w:asciiTheme="minorEastAsia" w:hAnsiTheme="minorEastAsia" w:cstheme="minorEastAsia"/>
                <w:b/>
                <w:bCs/>
                <w:kern w:val="0"/>
                <w:sz w:val="22"/>
              </w:rPr>
            </w:pPr>
          </w:p>
        </w:tc>
        <w:tc>
          <w:tcPr>
            <w:tcW w:w="70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heme="minorEastAsia" w:hAnsiTheme="minorEastAsia" w:cstheme="minorEastAsia"/>
                <w:b/>
                <w:bCs/>
                <w:kern w:val="0"/>
                <w:sz w:val="22"/>
              </w:rPr>
            </w:pPr>
          </w:p>
        </w:tc>
      </w:tr>
      <w:tr>
        <w:tblPrEx>
          <w:tblLayout w:type="fixed"/>
          <w:tblCellMar>
            <w:top w:w="0" w:type="dxa"/>
            <w:left w:w="0" w:type="dxa"/>
            <w:bottom w:w="0" w:type="dxa"/>
            <w:right w:w="0" w:type="dxa"/>
          </w:tblCellMar>
        </w:tblPrEx>
        <w:trPr>
          <w:trHeight w:val="2071"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numPr>
                <w:ilvl w:val="-1"/>
                <w:numId w:val="0"/>
              </w:numPr>
              <w:spacing w:line="240" w:lineRule="exact"/>
              <w:ind w:left="0" w:firstLine="0"/>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1</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对旅行社基础性经营条件以及业务经营许可的监督检查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对旅行社经营场所、营业设施、注册资本以及是否有无签订固定期限或无固定期限劳动合同导游人员的检查。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《中华人民共和国旅游法》第二十八条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《国家旅游局关于执行〈旅游法〉有关规定的通知》</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958"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2</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对是否存在未经许可经营旅行社业务（国内、入境、出境旅游业务）的行为检查（包含网络经营旅行社业务的经营者）</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旅行社及分社和服务网点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《中华人民共和国旅游法》第九十五条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213"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3</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对旅行社基础性经营条件以及业务经营许可的监督检查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对旅行社是否存在未在规定期限内向其质量保证金账户存入、增存、补足质量保证金或者提交相应的银行担保的行为检查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《旅行社条例》第四十八条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646"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numPr>
                <w:ilvl w:val="-1"/>
                <w:numId w:val="0"/>
              </w:numPr>
              <w:spacing w:line="240" w:lineRule="exact"/>
              <w:ind w:left="0" w:leftChars="0" w:firstLine="0" w:firstLineChars="0"/>
              <w:jc w:val="center"/>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lang w:val="en-US" w:eastAsia="zh-CN"/>
              </w:rPr>
              <w:t>4</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对是否存在出租、出借旅行社业务经营许可证，或者以其他方式非法转让旅行社业务经营许可的行为检查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旅行社及分社和服务网点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《中华人民共和国旅游法》第九十五条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《旅行社条例》第四十六条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641"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lang w:val="en-US" w:eastAsia="zh-CN"/>
              </w:rPr>
              <w:t>5</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对旅行社经营管理的监督检查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对是否存在旅行社及分社和服务网点超范围经营的行为检查（包含网络经营旅行社业务的经营者）</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旅行社及分社和服务网点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《旅行社条例》第四十六条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216"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numPr>
                <w:ilvl w:val="-1"/>
                <w:numId w:val="0"/>
              </w:numPr>
              <w:spacing w:line="240" w:lineRule="exact"/>
              <w:ind w:left="0" w:leftChars="0" w:firstLine="0" w:firstLineChars="0"/>
              <w:jc w:val="center"/>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lang w:val="en-US" w:eastAsia="zh-CN"/>
              </w:rPr>
              <w:t>6</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对旅行社是否存在变更登记事项或者终止经营、设立分社未按规定备案以及不按规定报送经营和财务信息等统计资料的行为检查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旅行社及分社和服务网点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《旅行社条例》第五十条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805"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numPr>
                <w:ilvl w:val="0"/>
                <w:numId w:val="0"/>
              </w:numPr>
              <w:spacing w:line="240" w:lineRule="exact"/>
              <w:jc w:val="center"/>
              <w:textAlignment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b w:val="0"/>
                <w:bCs w:val="0"/>
                <w:kern w:val="0"/>
                <w:sz w:val="20"/>
                <w:szCs w:val="20"/>
                <w:lang w:val="en-US" w:eastAsia="zh-CN"/>
              </w:rPr>
              <w:t>7</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numPr>
                <w:ilvl w:val="0"/>
                <w:numId w:val="0"/>
              </w:numPr>
              <w:spacing w:line="240" w:lineRule="exact"/>
              <w:jc w:val="center"/>
              <w:textAlignment w:val="center"/>
              <w:rPr>
                <w:rFonts w:hint="eastAsia"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对旅行社经营管理的监督检查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对旅行社是否存在擅自引进外商投资、设立服务网点未在规定期限内备案，或者旅行社及其分社、服务网点未悬挂旅行社业务经营许可证、营业执照和备案登记证明的行为检查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旅行社及分社和服务网点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《旅行社条例实施细则》第五十一条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643"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lang w:val="en-US" w:eastAsia="zh-CN"/>
              </w:rPr>
              <w:t>8</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对通过网络宣传和经营旅行社业务的，是否存在向市旅游行政主管部门未备案的行为检查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《昆明市旅游业监察条例》第十七条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39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eastAsia" w:asciiTheme="minorEastAsia" w:hAnsiTheme="minorEastAsia" w:eastAsiaTheme="minorEastAsia" w:cstheme="minorEastAsia"/>
                <w:kern w:val="0"/>
                <w:sz w:val="20"/>
                <w:szCs w:val="20"/>
                <w:lang w:eastAsia="zh-CN"/>
              </w:rPr>
            </w:pPr>
            <w:r>
              <w:rPr>
                <w:rFonts w:hint="eastAsia" w:asciiTheme="minorEastAsia" w:hAnsiTheme="minorEastAsia" w:cstheme="minorEastAsia"/>
                <w:kern w:val="0"/>
                <w:sz w:val="20"/>
                <w:szCs w:val="20"/>
                <w:lang w:val="en-US" w:eastAsia="zh-CN"/>
              </w:rPr>
              <w:t>9</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对旅行社及其分支机构在职人员、合同、业务、财务等方面制度的检查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旅行社及分社和服务网点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《旅行社条例实施细则》</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《云南省旅游条例》</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《昆明市旅游业监察条例》</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390"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10</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对旅行社职工名册与实际从事导游、领队服务等人员情况是否相符的检查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旅行社及分社和服务网点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《旅行社条例实施细则》</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《云南省旅游条例》</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《昆明市旅游业监察条例》</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962"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11</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对旅行社经营管理的监督检查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对旅行社是否存在未妥善保存各类旅游合同及相关文件、资料，保存期不够两年，或者泄露旅游者个人信息的行为检查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《旅行社条例实施细则》第五十八条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504"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12</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对旅行社的安全管理机构、规定制度及其消防、卫生防疫等安全设施、设备进行检查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旅行社及分社和服务网点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《中华人民共和国旅游法》第七十六条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《旅游安全管理暂行办法实施细则》</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248"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13</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对旅行社规范经营行为的监督检查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对旅行社是否存在以“不合理低价”组织旅游活动，诱骗旅游者获取不正当利益以及指定购物场所或安排另付费旅游项目的行为检查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《中华人民共和国旅游法》第三十五条、第九十八条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246"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14</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对旅行社网络交易平台发布的包价旅游产品是否存在“不合理低价”的行为检查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网络检查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《中华人民共和国旅游法》第三十五条、第九十八条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355"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15</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对旅行社是否存在虚假宣传、向不合格供应商订购产品和服务、未按规定投保旅行社责任保险以及未参与云南旅游组合保险统保统筹的行为检查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《中华人民共和国旅游法》第九十七条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《旅行社条例》第四十九条、第五十三条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《云南省旅游条例》第四十三条、第五十八条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805"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16</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restart"/>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对旅行社规范经营行为的监督检查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对是否存在外商投资旅行社经营内地居民出国及赴港澳台旅游业务，或者经营出境旅游业务的旅行社组织旅游者到国务院旅游行政主管部门公布的中国公民出境旅游目的地之外旅游的行为检查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《旅行社条例》第五十一条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78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17</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对旅行社是否存在为旅游者安排或者介绍的旅游活动含有违反有关法律法规及社会公德内容的行为检查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《中华人民共和国旅游法》第一百零一条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《旅行社条例》第五十二条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38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18</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对旅行社是否存在未经旅游者同意在旅游合同约定之外提供其他有偿服务的行为检查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《旅行社条例》第五十四条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946"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19</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对旅行社规范经营行为的监督检查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对旅行社是否存在未按规定安排导游提供服务，未支付导游服务费，要求导游垫付或者向导游收取费用的行为检查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《中华人民共和国旅游法》第九十六条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《旅行社条例》第六十条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805"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20</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对旅行社是否存在拒不履行旅游合同约定的义务的，非因不可抗力改变旅游合同安排的行程，以及欺骗、胁迫旅游者购物或者参加需要另行付费的游览项目的行为检查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《中华人民共和国旅游法》第一百条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《旅行社条例》第五十九条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493"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21</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对旅行社规范经营行为的监督检查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对旅行社是否存在在旅游行程中擅自变更旅游行程安排，严重损害旅游者权益以及未征得旅游者书面同意，委托其他旅行社履行包价旅游合同的行为检查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《中华人民共和国旅游法》第一百条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《旅行社条例》第五十五条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78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22</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对旅行社是否存在未与旅游者签订旅游合同、签订合同未载明规定事项，以及违规委托旅游业务的行为检查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《旅行社条例》第五十五条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521"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23</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对旅行社规范经营行为的监督检查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对旅行社是否存在不向受托旅行社支付接待和服务费用，支付的费用低于成本或受托旅行社接待不支付或者不足额支付接待和服务费用的旅游团队的行为检查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《旅行社条例》第六十二条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976"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24</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对旅行社及其委派的导游是否存在未按规定处置并报告危及旅游者人身安全及旅游者出现非法滞留情况的行为检查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《旅行社条例》第六十三条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78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lang w:val="en-US" w:eastAsia="zh-CN"/>
              </w:rPr>
              <w:t>25</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对旅行社为接待旅游者选择的接待企业是否存在不具有合法经营资格或者接待服务能力的行为检查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《旅行社条例实施细则》第五十三条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238"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26</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对旅行社规范经营行为的监督检查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对是否存在旅行社要求旅游者必须参加购物活动、另行付费的旅游项目，或对同一旅游团队的旅游者提出与其他旅游者不同合同事项的行为检查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《旅行社条例实施细则》第五十四条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958"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27</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对是否存在组团社入境旅游业绩下降，因自身原因在</w:t>
            </w:r>
            <w:r>
              <w:rPr>
                <w:rFonts w:asciiTheme="minorEastAsia" w:hAnsiTheme="minorEastAsia" w:cstheme="minorEastAsia"/>
                <w:kern w:val="0"/>
                <w:sz w:val="20"/>
                <w:szCs w:val="20"/>
              </w:rPr>
              <w:t>1</w:t>
            </w:r>
            <w:r>
              <w:rPr>
                <w:rFonts w:hint="eastAsia" w:asciiTheme="minorEastAsia" w:hAnsiTheme="minorEastAsia" w:cstheme="minorEastAsia"/>
                <w:kern w:val="0"/>
                <w:sz w:val="20"/>
                <w:szCs w:val="20"/>
              </w:rPr>
              <w:t>年内未能正常开展出国旅游业务，以及违规开展出国旅游业务的行为</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《中国公民出国旅游管理办法》第二十五条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78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28</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对旅行社是否存在选择未经等级认定或者评定的旅游经营者、旅游从业人员为服务提供方的行为检查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《云南省旅游条例》第二十六条、第五十二条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387"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29</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对旅行社规范经营行为的监督检查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对通过网络销售的旅行社产品是否存在未载明包价旅游合同规定内容的行为检查。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网络抽查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《昆明市旅游业监察条例》第十七条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230"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30</w:t>
            </w:r>
          </w:p>
        </w:tc>
        <w:tc>
          <w:tcPr>
            <w:tcW w:w="567"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对旅行社是否存在未填写统一格式的旅游团队运行计划表,并加盖法人印章或者电子签章，由导游、领队人员携带备查的行为检查。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《昆明市旅游业监察条例》第十九条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646"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31</w:t>
            </w:r>
          </w:p>
        </w:tc>
        <w:tc>
          <w:tcPr>
            <w:tcW w:w="567"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对旅行社是否存在接受未经许可经营旅行社业务的单位或者个人委托的转并团业务的行为检查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重点检查事项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《昆明市旅游业监察条例》第二十条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216"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32</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对旅行社是否存在将行业管理平台的授权帐号转借他人使用的行为检查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旅行社及分社</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《昆明市旅游业监察条例》第二十一条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11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33</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对旅游从业人员服务行为的监督检查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对是否存在未取得导游证或者领队证从事导游、领队活动的行为检查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旅游从业人员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《中华人民共和国旅游法》第一百零二条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92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34</w:t>
            </w:r>
          </w:p>
        </w:tc>
        <w:tc>
          <w:tcPr>
            <w:tcW w:w="567"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对导游、领队是否存在违规私自承揽业务的行为检查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旅游从业人员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《中华人民共和国旅游法》第一百零二条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084"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35</w:t>
            </w:r>
          </w:p>
        </w:tc>
        <w:tc>
          <w:tcPr>
            <w:tcW w:w="567"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对导游、领队是否存在违规向旅游者索取小费的行为检查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旅游从业人员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《中华人民共和国旅游法》第一百零二条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521"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36</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对导游人员进行导游活动时，是否存在有损害国家利益和民族尊严的言行的行为检查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旅游从业人员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《导游人员管理条例》第二十条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07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37</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对导游人员进行导游活动时是否存在未佩戴导游证的行为检查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旅游从业人员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《导游人员管理条例》第二十一条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《云南省旅游条例》第二十八条、第五十三条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509"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38</w:t>
            </w:r>
          </w:p>
        </w:tc>
        <w:tc>
          <w:tcPr>
            <w:tcW w:w="567"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对旅游从业人员服务行为的监督检查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对导游人员是否存在擅自变更旅游项目、接待计划、中止导游活动的行为检查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旅游从业人员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《导游人员管理条例》第二十二条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362"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39</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对导游人员是否存在向旅游者兜售旅游物品或购买旅游者的物品的行为检查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旅游从业人员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《导游人员管理条例》第二十三条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804"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40</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对是否存在导游人员进行导游活动，欺骗、胁迫旅游者消费或与经营者串通欺骗、胁迫旅游者消费的行为检查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旅游从业人员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《导游人员管理条例》第二十四条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208"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41</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对旅游从业人员服务行为的监督检查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对是否存在出境组团社导游、领队与境外接待社、导游及有关其他经营者串通欺骗、胁迫旅游者消费或索要回扣、提成或收受其财物的行为检查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旅游从业人员</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《中国公民出国旅游管理办法》第二十条、第三十一条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473"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42</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对旅游经营者经营行为的监督检查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对旅游经营者是否存在给予或收受贿赂的行为检查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旅游经营者</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《中华人民共和国旅游法》第一百零四条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288"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43</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对旅游经营者及其从业人员是否存在未经等级认定或评定接待旅游团队的行为检查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旅游经营者</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《云南省旅游条例》第五十二条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788"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44</w:t>
            </w:r>
          </w:p>
        </w:tc>
        <w:tc>
          <w:tcPr>
            <w:tcW w:w="567"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vMerge w:val="restart"/>
            <w:tcBorders>
              <w:top w:val="single" w:color="auto" w:sz="4" w:space="0"/>
              <w:left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对旅游经营者经营行为的监督检查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对旅游经营者是否存在超越认定或评定的等级进行宣传，使用未经认定、评定的等级标志、称谓的行为检查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旅游经营者</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《云南省旅游条例》第二十六条</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第五十二条第二款。</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096"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45</w:t>
            </w:r>
          </w:p>
        </w:tc>
        <w:tc>
          <w:tcPr>
            <w:tcW w:w="567"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470" w:type="dxa"/>
            <w:vMerge w:val="continue"/>
            <w:tcBorders>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对是否存在未经车船所在公司委派承揽旅游客运业务和无故变更旅游客运线路或者更换客运车辆、船舶的行为检查。</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旅游经营者</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书面检查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《昆明市旅游业监察条例》第二十二条</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504"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46</w:t>
            </w:r>
          </w:p>
        </w:tc>
        <w:tc>
          <w:tcPr>
            <w:tcW w:w="567"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互联网文化检查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互联网文化单位未在网站主页的显著位置标明文化行政部门颁发的《网络文化经营许可证》编号或者备案编号；2、经营性互联网文化单位经营进口互联网文化产品未在其显著位置标明文化部批准文号、经营国产互联网文化产品未在其显著位置标明文化部备案编号；3、经营性互联网文化单位擅自变更进口互联网文化产品的名称或者增删内容；4、经营性互联网文化单位提供含有禁止内容的互联网文化产品，或者提供未经文化部批准进口的互联网文化产品；6、法律法规规章规定的其他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互联网文化经营单位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现场检查、网络巡查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《互联网文化管理暂行规定》</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805"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47</w:t>
            </w:r>
          </w:p>
        </w:tc>
        <w:tc>
          <w:tcPr>
            <w:tcW w:w="567"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网络游戏检查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提供含有禁止内容的网络游戏产品和服务；2、获得《网络文化经营许可证》的网络游戏经营单位变更有关内容未按规定向原发证机关变更手续；3、上网运营未获得文化部内容审查批准的进口网络游戏；4、进口网络游戏变更运营企业未按照要求重新申报；5、对进口网络游戏内容进行实质性变动未报送审查；6、网络游戏经营单位授权无网络游戏运营资质的单位运营网络游戏；7、网络游戏经营单位在网络游戏中设置未经网络游戏用户同意的强制对战；8、网络游戏的推广和宣传含有禁止内容；9、网络游戏经营单位存在以随机抽取等偶然方式，诱导网络游戏用户采取投入法定货币或者网络游戏虚拟货币方式获取网络游戏产品和服务；10、网络游戏运营企业未要求网络游戏用户使用有效身份证件进行实名注册；11、法律法规规章规定的其他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互联网文化经营单位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现场检查、网络巡查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《网络游戏管理暂行办法》</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1630"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48</w:t>
            </w:r>
          </w:p>
        </w:tc>
        <w:tc>
          <w:tcPr>
            <w:tcW w:w="567"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娱乐场所检查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歌舞娱乐场所播放、表演的节目含有禁止内容，使用的歌曲点播系统连接至境外曲库，歌舞娱乐场所接纳未成年人，擅自变更场所使用的歌曲点播系统；2、游艺娱乐场所设置未经文化主管部门内容核查的游戏游艺设备，擅自变更游戏游艺设备；3、法律法规规章规定的其他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娱乐场所经营单位</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《娱乐场所管理条例》、《娱乐场所管理办法》</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r>
        <w:tblPrEx>
          <w:tblLayout w:type="fixed"/>
          <w:tblCellMar>
            <w:top w:w="0" w:type="dxa"/>
            <w:left w:w="0" w:type="dxa"/>
            <w:bottom w:w="0" w:type="dxa"/>
            <w:right w:w="0" w:type="dxa"/>
          </w:tblCellMar>
        </w:tblPrEx>
        <w:trPr>
          <w:trHeight w:val="2055" w:hRule="atLeast"/>
        </w:trPr>
        <w:tc>
          <w:tcPr>
            <w:tcW w:w="518" w:type="dxa"/>
            <w:tcBorders>
              <w:top w:val="single" w:color="auto" w:sz="4" w:space="0"/>
              <w:left w:val="single" w:color="000000" w:sz="4" w:space="0"/>
              <w:bottom w:val="single" w:color="auto" w:sz="4" w:space="0"/>
              <w:right w:val="single" w:color="000000" w:sz="4" w:space="0"/>
            </w:tcBorders>
            <w:shd w:val="clear" w:color="000000" w:fill="FFFFFF"/>
            <w:noWrap/>
            <w:tcMar>
              <w:top w:w="15" w:type="dxa"/>
              <w:left w:w="15" w:type="dxa"/>
              <w:right w:w="15" w:type="dxa"/>
            </w:tcMar>
            <w:vAlign w:val="center"/>
          </w:tcPr>
          <w:p>
            <w:pPr>
              <w:widowControl/>
              <w:spacing w:line="240" w:lineRule="exact"/>
              <w:jc w:val="center"/>
              <w:textAlignment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w:t>
            </w:r>
            <w:bookmarkStart w:id="0" w:name="_GoBack"/>
            <w:bookmarkEnd w:id="0"/>
            <w:r>
              <w:rPr>
                <w:rFonts w:hint="eastAsia" w:asciiTheme="minorEastAsia" w:hAnsiTheme="minorEastAsia" w:cstheme="minorEastAsia"/>
                <w:kern w:val="0"/>
                <w:sz w:val="20"/>
                <w:szCs w:val="20"/>
                <w:lang w:val="en-US" w:eastAsia="zh-CN"/>
              </w:rPr>
              <w:t>9</w:t>
            </w:r>
          </w:p>
        </w:tc>
        <w:tc>
          <w:tcPr>
            <w:tcW w:w="567"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晋宁区文化和旅游局（9类49项）</w:t>
            </w:r>
          </w:p>
        </w:tc>
        <w:tc>
          <w:tcPr>
            <w:tcW w:w="1470" w:type="dxa"/>
            <w:tcBorders>
              <w:top w:val="single" w:color="auto" w:sz="4" w:space="0"/>
              <w:left w:val="single" w:color="000000" w:sz="4" w:space="0"/>
              <w:bottom w:val="single" w:color="auto" w:sz="4" w:space="0"/>
              <w:right w:val="single" w:color="000000" w:sz="4" w:space="0"/>
            </w:tcBorders>
            <w:shd w:val="clear" w:color="000000" w:fill="FFFFFF"/>
            <w:tcMar>
              <w:top w:w="15" w:type="dxa"/>
              <w:left w:w="15" w:type="dxa"/>
              <w:right w:w="15" w:type="dxa"/>
            </w:tcMar>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互联网上网服务检查</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互联网上网服务营业场所接纳未成年人进入营业场所；2、擅自停止实施经营管理技术措施；3、未悬挂《网络文化经营许可证》或者未成年人禁入标志；4、未按规定核对、登记上网消费者的有效身份证或者记录有关上网信息；5、变更名称、住所、法定代表人或者主要负责人、网络地址或者终止经营活动，未向文化行政部门办理有关手续或者备案；6、法律法规规章规定的其他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一般检查事项</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互联网上网服务检查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现场检查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区文化和旅游局</w:t>
            </w:r>
          </w:p>
        </w:tc>
        <w:tc>
          <w:tcPr>
            <w:tcW w:w="3825"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《互联网上网服务营业场所管理条例》</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tcPr>
          <w:p>
            <w:r>
              <w:rPr>
                <w:rFonts w:hint="eastAsia" w:asciiTheme="minorEastAsia" w:hAnsiTheme="minorEastAsia" w:cstheme="minorEastAsia"/>
                <w:kern w:val="0"/>
                <w:sz w:val="20"/>
                <w:szCs w:val="20"/>
              </w:rPr>
              <w:t>晋宁区</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spacing w:line="240" w:lineRule="exact"/>
              <w:textAlignment w:val="center"/>
              <w:rPr>
                <w:rFonts w:asciiTheme="minorEastAsia" w:hAnsiTheme="minorEastAsia" w:cstheme="minorEastAsia"/>
                <w:kern w:val="0"/>
                <w:sz w:val="20"/>
                <w:szCs w:val="20"/>
              </w:rPr>
            </w:pPr>
          </w:p>
        </w:tc>
      </w:tr>
    </w:tbl>
    <w:p>
      <w:pPr>
        <w:widowControl/>
        <w:spacing w:line="240" w:lineRule="exact"/>
        <w:textAlignment w:val="center"/>
        <w:rPr>
          <w:rFonts w:asciiTheme="minorEastAsia" w:hAnsiTheme="minorEastAsia" w:cstheme="minorEastAsia"/>
          <w:color w:val="000000" w:themeColor="text1"/>
          <w:kern w:val="0"/>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5127"/>
    <w:rsid w:val="000261F6"/>
    <w:rsid w:val="00026C0B"/>
    <w:rsid w:val="00034283"/>
    <w:rsid w:val="00054A63"/>
    <w:rsid w:val="00065380"/>
    <w:rsid w:val="000671AB"/>
    <w:rsid w:val="000924EF"/>
    <w:rsid w:val="0009251F"/>
    <w:rsid w:val="00097CBE"/>
    <w:rsid w:val="000A24F5"/>
    <w:rsid w:val="000B7162"/>
    <w:rsid w:val="001112AD"/>
    <w:rsid w:val="00125F53"/>
    <w:rsid w:val="00147C3D"/>
    <w:rsid w:val="00151AE0"/>
    <w:rsid w:val="001817AB"/>
    <w:rsid w:val="00183E49"/>
    <w:rsid w:val="00186E9B"/>
    <w:rsid w:val="00191855"/>
    <w:rsid w:val="001A62C0"/>
    <w:rsid w:val="001C119E"/>
    <w:rsid w:val="001C6BC9"/>
    <w:rsid w:val="001D595F"/>
    <w:rsid w:val="001E1352"/>
    <w:rsid w:val="001F413A"/>
    <w:rsid w:val="002023DE"/>
    <w:rsid w:val="0024100C"/>
    <w:rsid w:val="0026217A"/>
    <w:rsid w:val="00264728"/>
    <w:rsid w:val="002756E7"/>
    <w:rsid w:val="002850B4"/>
    <w:rsid w:val="00293706"/>
    <w:rsid w:val="00294041"/>
    <w:rsid w:val="002A00DD"/>
    <w:rsid w:val="002A6036"/>
    <w:rsid w:val="002C1B2A"/>
    <w:rsid w:val="002D79DE"/>
    <w:rsid w:val="0030796A"/>
    <w:rsid w:val="00323FBB"/>
    <w:rsid w:val="00326BB3"/>
    <w:rsid w:val="003577C1"/>
    <w:rsid w:val="00361434"/>
    <w:rsid w:val="00363F30"/>
    <w:rsid w:val="00364A13"/>
    <w:rsid w:val="003665EE"/>
    <w:rsid w:val="0038550B"/>
    <w:rsid w:val="003954A6"/>
    <w:rsid w:val="00396741"/>
    <w:rsid w:val="003A74AD"/>
    <w:rsid w:val="003B5197"/>
    <w:rsid w:val="003C1FE6"/>
    <w:rsid w:val="003D7F2D"/>
    <w:rsid w:val="003E19AB"/>
    <w:rsid w:val="003E3E3D"/>
    <w:rsid w:val="003F1B10"/>
    <w:rsid w:val="0040767B"/>
    <w:rsid w:val="00420B82"/>
    <w:rsid w:val="00456268"/>
    <w:rsid w:val="00471BCD"/>
    <w:rsid w:val="00475032"/>
    <w:rsid w:val="00483B99"/>
    <w:rsid w:val="00485B75"/>
    <w:rsid w:val="00485BCF"/>
    <w:rsid w:val="004969F6"/>
    <w:rsid w:val="004A1769"/>
    <w:rsid w:val="004A6871"/>
    <w:rsid w:val="004D2699"/>
    <w:rsid w:val="004F6559"/>
    <w:rsid w:val="0050068E"/>
    <w:rsid w:val="005043FF"/>
    <w:rsid w:val="00510EEA"/>
    <w:rsid w:val="0051672F"/>
    <w:rsid w:val="00524912"/>
    <w:rsid w:val="00527C81"/>
    <w:rsid w:val="00557F3D"/>
    <w:rsid w:val="00561DBE"/>
    <w:rsid w:val="00571988"/>
    <w:rsid w:val="00591B17"/>
    <w:rsid w:val="005D639B"/>
    <w:rsid w:val="005D6FA3"/>
    <w:rsid w:val="005E302D"/>
    <w:rsid w:val="005E3511"/>
    <w:rsid w:val="005E7C57"/>
    <w:rsid w:val="005F0EB1"/>
    <w:rsid w:val="005F5511"/>
    <w:rsid w:val="005F6C16"/>
    <w:rsid w:val="00610095"/>
    <w:rsid w:val="00610D70"/>
    <w:rsid w:val="00630FD2"/>
    <w:rsid w:val="00644023"/>
    <w:rsid w:val="006455CE"/>
    <w:rsid w:val="0064628D"/>
    <w:rsid w:val="006463C1"/>
    <w:rsid w:val="00650121"/>
    <w:rsid w:val="00665127"/>
    <w:rsid w:val="006A4BD8"/>
    <w:rsid w:val="006B0A5E"/>
    <w:rsid w:val="006B7735"/>
    <w:rsid w:val="006C0AB9"/>
    <w:rsid w:val="006D187E"/>
    <w:rsid w:val="006E4D66"/>
    <w:rsid w:val="006E75CE"/>
    <w:rsid w:val="006F2AA4"/>
    <w:rsid w:val="006F65C5"/>
    <w:rsid w:val="0074497C"/>
    <w:rsid w:val="00751845"/>
    <w:rsid w:val="00763A22"/>
    <w:rsid w:val="00773821"/>
    <w:rsid w:val="007805EC"/>
    <w:rsid w:val="00781C06"/>
    <w:rsid w:val="00796D43"/>
    <w:rsid w:val="007A18C7"/>
    <w:rsid w:val="007C2EAE"/>
    <w:rsid w:val="007D2B5A"/>
    <w:rsid w:val="007D3E35"/>
    <w:rsid w:val="007F6DF4"/>
    <w:rsid w:val="00822332"/>
    <w:rsid w:val="008355C9"/>
    <w:rsid w:val="008460C5"/>
    <w:rsid w:val="00853FB5"/>
    <w:rsid w:val="008D601B"/>
    <w:rsid w:val="0090351D"/>
    <w:rsid w:val="00903BDF"/>
    <w:rsid w:val="00912A5E"/>
    <w:rsid w:val="00922DF8"/>
    <w:rsid w:val="0093600C"/>
    <w:rsid w:val="00942AD4"/>
    <w:rsid w:val="00970559"/>
    <w:rsid w:val="00974C39"/>
    <w:rsid w:val="00976592"/>
    <w:rsid w:val="0097739D"/>
    <w:rsid w:val="00983113"/>
    <w:rsid w:val="009B7505"/>
    <w:rsid w:val="009C3DC3"/>
    <w:rsid w:val="009D3273"/>
    <w:rsid w:val="009D352A"/>
    <w:rsid w:val="009E4C2B"/>
    <w:rsid w:val="009E6CEF"/>
    <w:rsid w:val="00A25C2A"/>
    <w:rsid w:val="00A5019F"/>
    <w:rsid w:val="00A51813"/>
    <w:rsid w:val="00A56A91"/>
    <w:rsid w:val="00AB543D"/>
    <w:rsid w:val="00AB6A6C"/>
    <w:rsid w:val="00AC0826"/>
    <w:rsid w:val="00AC1320"/>
    <w:rsid w:val="00AC6F20"/>
    <w:rsid w:val="00AD0684"/>
    <w:rsid w:val="00B01291"/>
    <w:rsid w:val="00B25B60"/>
    <w:rsid w:val="00B5736B"/>
    <w:rsid w:val="00B60D72"/>
    <w:rsid w:val="00B6411A"/>
    <w:rsid w:val="00B71A2A"/>
    <w:rsid w:val="00B94252"/>
    <w:rsid w:val="00BA2F32"/>
    <w:rsid w:val="00BB14CE"/>
    <w:rsid w:val="00BB47CC"/>
    <w:rsid w:val="00BD65B7"/>
    <w:rsid w:val="00BE26BF"/>
    <w:rsid w:val="00BF1D0D"/>
    <w:rsid w:val="00BF63B2"/>
    <w:rsid w:val="00C10C39"/>
    <w:rsid w:val="00C170BD"/>
    <w:rsid w:val="00C2145A"/>
    <w:rsid w:val="00C35F72"/>
    <w:rsid w:val="00C53853"/>
    <w:rsid w:val="00C661CC"/>
    <w:rsid w:val="00C84B46"/>
    <w:rsid w:val="00C97058"/>
    <w:rsid w:val="00CA3336"/>
    <w:rsid w:val="00CB39FE"/>
    <w:rsid w:val="00CC4CE1"/>
    <w:rsid w:val="00CD046A"/>
    <w:rsid w:val="00D00F56"/>
    <w:rsid w:val="00D05097"/>
    <w:rsid w:val="00D07EF0"/>
    <w:rsid w:val="00D11CE8"/>
    <w:rsid w:val="00D31628"/>
    <w:rsid w:val="00D430ED"/>
    <w:rsid w:val="00D466D4"/>
    <w:rsid w:val="00D57A03"/>
    <w:rsid w:val="00D61E1E"/>
    <w:rsid w:val="00D62606"/>
    <w:rsid w:val="00D83F0A"/>
    <w:rsid w:val="00D958F7"/>
    <w:rsid w:val="00DB33A6"/>
    <w:rsid w:val="00DD0F4A"/>
    <w:rsid w:val="00DD1700"/>
    <w:rsid w:val="00DD3C14"/>
    <w:rsid w:val="00DE4B80"/>
    <w:rsid w:val="00E04ACB"/>
    <w:rsid w:val="00E36D13"/>
    <w:rsid w:val="00E54699"/>
    <w:rsid w:val="00E61588"/>
    <w:rsid w:val="00E6160C"/>
    <w:rsid w:val="00E62F7F"/>
    <w:rsid w:val="00E7366D"/>
    <w:rsid w:val="00E97C68"/>
    <w:rsid w:val="00EC24CF"/>
    <w:rsid w:val="00EE17B7"/>
    <w:rsid w:val="00EF3951"/>
    <w:rsid w:val="00F01868"/>
    <w:rsid w:val="00F11FD4"/>
    <w:rsid w:val="00F2159E"/>
    <w:rsid w:val="00F22A29"/>
    <w:rsid w:val="00F43563"/>
    <w:rsid w:val="00F45A54"/>
    <w:rsid w:val="00F4608E"/>
    <w:rsid w:val="00F66458"/>
    <w:rsid w:val="00FA2B84"/>
    <w:rsid w:val="00FA6185"/>
    <w:rsid w:val="00FB0283"/>
    <w:rsid w:val="00FB0758"/>
    <w:rsid w:val="00FB4627"/>
    <w:rsid w:val="00FC2ADD"/>
    <w:rsid w:val="00FC527A"/>
    <w:rsid w:val="00FC6760"/>
    <w:rsid w:val="00FD1927"/>
    <w:rsid w:val="00FD698B"/>
    <w:rsid w:val="00FE3D03"/>
    <w:rsid w:val="23CB0BCC"/>
    <w:rsid w:val="409D2DA8"/>
    <w:rsid w:val="7143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line="660" w:lineRule="exact"/>
      <w:jc w:val="center"/>
      <w:outlineLvl w:val="0"/>
    </w:pPr>
    <w:rPr>
      <w:rFonts w:eastAsia="方正小标宋_GBK" w:asciiTheme="minorHAnsi" w:hAnsiTheme="minorHAnsi"/>
      <w:kern w:val="44"/>
      <w:sz w:val="44"/>
    </w:rPr>
  </w:style>
  <w:style w:type="paragraph" w:styleId="3">
    <w:name w:val="heading 2"/>
    <w:basedOn w:val="1"/>
    <w:next w:val="1"/>
    <w:link w:val="25"/>
    <w:unhideWhenUsed/>
    <w:qFormat/>
    <w:uiPriority w:val="0"/>
    <w:pPr>
      <w:keepNext/>
      <w:keepLines/>
      <w:spacing w:line="600" w:lineRule="exact"/>
      <w:outlineLvl w:val="1"/>
    </w:pPr>
    <w:rPr>
      <w:rFonts w:ascii="Arial" w:hAnsi="Arial" w:eastAsia="楷体_GB2312"/>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9"/>
    <w:unhideWhenUsed/>
    <w:qFormat/>
    <w:uiPriority w:val="0"/>
    <w:pPr>
      <w:spacing w:after="120"/>
    </w:pPr>
  </w:style>
  <w:style w:type="paragraph" w:styleId="5">
    <w:name w:val="Date"/>
    <w:basedOn w:val="1"/>
    <w:next w:val="1"/>
    <w:link w:val="20"/>
    <w:qFormat/>
    <w:uiPriority w:val="0"/>
    <w:pPr>
      <w:ind w:left="100" w:leftChars="2500"/>
    </w:pPr>
    <w:rPr>
      <w:rFonts w:asciiTheme="minorHAnsi" w:hAnsiTheme="minorHAnsi"/>
    </w:rPr>
  </w:style>
  <w:style w:type="paragraph" w:styleId="6">
    <w:name w:val="Balloon Text"/>
    <w:basedOn w:val="1"/>
    <w:link w:val="21"/>
    <w:unhideWhenUsed/>
    <w:qFormat/>
    <w:uiPriority w:val="99"/>
    <w:rPr>
      <w:rFonts w:asciiTheme="minorHAnsi" w:hAnsiTheme="minorHAnsi"/>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eastAsia="仿宋_GB2312"/>
      <w:kern w:val="0"/>
      <w:sz w:val="24"/>
      <w:szCs w:val="22"/>
    </w:rPr>
  </w:style>
  <w:style w:type="table" w:styleId="11">
    <w:name w:val="Table Grid"/>
    <w:basedOn w:val="1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99"/>
    <w:rPr>
      <w:color w:val="0000FF"/>
      <w:u w:val="single"/>
    </w:rPr>
  </w:style>
  <w:style w:type="character" w:customStyle="1" w:styleId="16">
    <w:name w:val="标题 1 Char"/>
    <w:basedOn w:val="12"/>
    <w:link w:val="2"/>
    <w:qFormat/>
    <w:uiPriority w:val="0"/>
    <w:rPr>
      <w:rFonts w:eastAsia="方正小标宋_GBK"/>
      <w:kern w:val="44"/>
      <w:sz w:val="44"/>
      <w:szCs w:val="24"/>
    </w:rPr>
  </w:style>
  <w:style w:type="character" w:customStyle="1" w:styleId="17">
    <w:name w:val="页眉 Char"/>
    <w:basedOn w:val="12"/>
    <w:link w:val="8"/>
    <w:qFormat/>
    <w:uiPriority w:val="0"/>
    <w:rPr>
      <w:sz w:val="18"/>
      <w:szCs w:val="18"/>
    </w:rPr>
  </w:style>
  <w:style w:type="character" w:customStyle="1" w:styleId="18">
    <w:name w:val="页脚 Char"/>
    <w:basedOn w:val="12"/>
    <w:link w:val="7"/>
    <w:qFormat/>
    <w:uiPriority w:val="0"/>
    <w:rPr>
      <w:sz w:val="18"/>
      <w:szCs w:val="18"/>
    </w:rPr>
  </w:style>
  <w:style w:type="character" w:customStyle="1" w:styleId="19">
    <w:name w:val="正文文本 Char"/>
    <w:basedOn w:val="12"/>
    <w:link w:val="4"/>
    <w:qFormat/>
    <w:uiPriority w:val="0"/>
    <w:rPr>
      <w:rFonts w:ascii="Calibri" w:hAnsi="Calibri"/>
      <w:szCs w:val="24"/>
    </w:rPr>
  </w:style>
  <w:style w:type="character" w:customStyle="1" w:styleId="20">
    <w:name w:val="日期 Char"/>
    <w:basedOn w:val="12"/>
    <w:link w:val="5"/>
    <w:qFormat/>
    <w:uiPriority w:val="0"/>
    <w:rPr>
      <w:szCs w:val="24"/>
    </w:rPr>
  </w:style>
  <w:style w:type="character" w:customStyle="1" w:styleId="21">
    <w:name w:val="批注框文本 Char"/>
    <w:basedOn w:val="12"/>
    <w:link w:val="6"/>
    <w:qFormat/>
    <w:uiPriority w:val="99"/>
    <w:rPr>
      <w:sz w:val="18"/>
      <w:szCs w:val="18"/>
    </w:rPr>
  </w:style>
  <w:style w:type="paragraph" w:customStyle="1" w:styleId="22">
    <w:name w:val="_Style 6"/>
    <w:basedOn w:val="1"/>
    <w:qFormat/>
    <w:uiPriority w:val="0"/>
    <w:rPr>
      <w:rFonts w:asciiTheme="minorHAnsi" w:hAnsiTheme="minorHAnsi"/>
    </w:rPr>
  </w:style>
  <w:style w:type="paragraph" w:customStyle="1" w:styleId="23">
    <w:name w:val="列出段落1"/>
    <w:basedOn w:val="1"/>
    <w:qFormat/>
    <w:uiPriority w:val="1"/>
    <w:pPr>
      <w:autoSpaceDE w:val="0"/>
      <w:autoSpaceDN w:val="0"/>
      <w:ind w:left="270" w:hanging="401"/>
      <w:jc w:val="left"/>
    </w:pPr>
    <w:rPr>
      <w:rFonts w:ascii="方正仿宋_GBK" w:hAnsi="方正仿宋_GBK" w:eastAsia="方正仿宋_GBK" w:cs="方正仿宋_GBK"/>
      <w:kern w:val="0"/>
      <w:sz w:val="22"/>
      <w:szCs w:val="22"/>
      <w:lang w:val="zh-CN" w:bidi="zh-CN"/>
    </w:rPr>
  </w:style>
  <w:style w:type="paragraph" w:customStyle="1" w:styleId="24">
    <w:name w:val="标题 11"/>
    <w:basedOn w:val="1"/>
    <w:qFormat/>
    <w:uiPriority w:val="1"/>
    <w:pPr>
      <w:autoSpaceDE w:val="0"/>
      <w:autoSpaceDN w:val="0"/>
      <w:jc w:val="center"/>
      <w:outlineLvl w:val="1"/>
    </w:pPr>
    <w:rPr>
      <w:rFonts w:ascii="方正小标宋_GBK" w:hAnsi="方正小标宋_GBK" w:eastAsia="方正小标宋_GBK" w:cs="方正小标宋_GBK"/>
      <w:kern w:val="0"/>
      <w:sz w:val="42"/>
      <w:szCs w:val="42"/>
      <w:lang w:val="zh-CN" w:bidi="zh-CN"/>
    </w:rPr>
  </w:style>
  <w:style w:type="character" w:customStyle="1" w:styleId="25">
    <w:name w:val="标题 2 Char"/>
    <w:basedOn w:val="12"/>
    <w:link w:val="3"/>
    <w:uiPriority w:val="0"/>
    <w:rPr>
      <w:rFonts w:ascii="Arial" w:hAnsi="Arial" w:eastAsia="楷体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888F4-95B4-4C78-AA03-F8AF96B80B7B}">
  <ds:schemaRefs/>
</ds:datastoreItem>
</file>

<file path=docProps/app.xml><?xml version="1.0" encoding="utf-8"?>
<Properties xmlns="http://schemas.openxmlformats.org/officeDocument/2006/extended-properties" xmlns:vt="http://schemas.openxmlformats.org/officeDocument/2006/docPropsVTypes">
  <Template>Normal.dotm</Template>
  <Company>gdscjg</Company>
  <Pages>200</Pages>
  <Words>16496</Words>
  <Characters>94033</Characters>
  <Lines>783</Lines>
  <Paragraphs>220</Paragraphs>
  <TotalTime>22</TotalTime>
  <ScaleCrop>false</ScaleCrop>
  <LinksUpToDate>false</LinksUpToDate>
  <CharactersWithSpaces>110309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2020-05-07T01:14:00Z</dcterms:created>
  <dc:creator>NTKO</dc:creator>
  <cp:lastModifiedBy>dys</cp:lastModifiedBy>
  <dcterms:modified xsi:type="dcterms:W3CDTF">2020-09-01T08:08:15Z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