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00" w:lineRule="exact"/>
        <w:jc w:val="distribute"/>
        <w:rPr>
          <w:rStyle w:val="13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</w:pPr>
    </w:p>
    <w:p>
      <w:pPr>
        <w:pStyle w:val="5"/>
        <w:spacing w:line="700" w:lineRule="exact"/>
        <w:jc w:val="distribute"/>
        <w:rPr>
          <w:rStyle w:val="13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</w:pPr>
    </w:p>
    <w:p>
      <w:pPr>
        <w:pStyle w:val="5"/>
        <w:spacing w:line="700" w:lineRule="exact"/>
        <w:jc w:val="distribute"/>
        <w:rPr>
          <w:rStyle w:val="13"/>
          <w:rFonts w:hint="eastAsia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  <w:lang w:val="en-US" w:eastAsia="zh-CN"/>
        </w:rPr>
      </w:pPr>
      <w:r>
        <w:rPr>
          <w:rStyle w:val="13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  <w:t>昆明市晋宁区城市管理局</w:t>
      </w:r>
      <w:r>
        <w:rPr>
          <w:rStyle w:val="13"/>
          <w:rFonts w:hint="eastAsia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  <w:lang w:eastAsia="zh-CN"/>
        </w:rPr>
        <w:t>文件</w:t>
      </w:r>
    </w:p>
    <w:p>
      <w:pPr>
        <w:pStyle w:val="5"/>
        <w:spacing w:before="0" w:after="0" w:line="320" w:lineRule="exact"/>
        <w:jc w:val="both"/>
        <w:rPr>
          <w:rStyle w:val="13"/>
          <w:rFonts w:hint="default" w:hAnsi="Times New Roman"/>
          <w:b w:val="0"/>
          <w:color w:val="FF0000"/>
          <w:u w:val="thick"/>
        </w:rPr>
      </w:pPr>
      <w:r>
        <w:rPr>
          <w:rStyle w:val="13"/>
          <w:rFonts w:hint="default" w:hAnsi="Times New Roman"/>
          <w:b w:val="0"/>
          <w:color w:val="FF0000"/>
          <w:u w:val="thick"/>
        </w:rPr>
        <w:t xml:space="preserve">                                                            </w:t>
      </w:r>
      <w:r>
        <w:rPr>
          <w:rStyle w:val="13"/>
          <w:rFonts w:hint="default" w:hAnsi="Times New Roman"/>
          <w:b w:val="0"/>
          <w:color w:val="FF0000"/>
        </w:rPr>
        <w:t xml:space="preserve">                                                                   </w:t>
      </w:r>
      <w:r>
        <w:rPr>
          <w:rStyle w:val="13"/>
          <w:rFonts w:hint="default" w:hAnsi="Times New Roman"/>
          <w:b w:val="0"/>
          <w:color w:val="FF0000"/>
          <w:u w:val="thick"/>
        </w:rPr>
        <w:t xml:space="preserve">                                  </w:t>
      </w:r>
    </w:p>
    <w:p>
      <w:pPr>
        <w:spacing w:line="570" w:lineRule="exact"/>
        <w:jc w:val="right"/>
        <w:rPr>
          <w:rFonts w:hint="eastAsia" w:ascii="方正小标宋简体" w:hAnsi="宋体" w:eastAsia="方正小标宋简体" w:cs="方正小标宋_GBK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</w:rPr>
        <w:t xml:space="preserve"> </w:t>
      </w:r>
    </w:p>
    <w:p>
      <w:pPr>
        <w:spacing w:line="570" w:lineRule="exact"/>
        <w:jc w:val="center"/>
        <w:rPr>
          <w:rStyle w:val="13"/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             A</w:t>
      </w:r>
    </w:p>
    <w:p>
      <w:pPr>
        <w:pStyle w:val="5"/>
        <w:spacing w:before="0" w:after="0" w:line="580" w:lineRule="atLeast"/>
        <w:jc w:val="center"/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             </w:t>
      </w: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  <w:t xml:space="preserve">是 </w:t>
      </w:r>
    </w:p>
    <w:p>
      <w:pPr>
        <w:spacing w:line="567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Style w:val="13"/>
          <w:rFonts w:hint="eastAsia" w:ascii="仿宋_GB2312" w:hAnsi="仿宋_GB2312" w:eastAsia="仿宋_GB2312" w:cs="仿宋_GB2312"/>
          <w:b/>
          <w:kern w:val="28"/>
          <w:sz w:val="32"/>
          <w:szCs w:val="32"/>
        </w:rPr>
        <w:t xml:space="preserve"> </w:t>
      </w:r>
      <w:r>
        <w:rPr>
          <w:rStyle w:val="13"/>
          <w:rFonts w:hint="eastAsia" w:ascii="仿宋_GB2312" w:hAnsi="仿宋_GB2312" w:eastAsia="仿宋_GB2312" w:cs="仿宋_GB2312"/>
          <w:bCs/>
          <w:kern w:val="28"/>
          <w:sz w:val="32"/>
          <w:szCs w:val="32"/>
        </w:rPr>
        <w:t xml:space="preserve">                 晋城管函〔2020〕</w:t>
      </w:r>
      <w:r>
        <w:rPr>
          <w:rStyle w:val="13"/>
          <w:rFonts w:hint="eastAsia" w:ascii="仿宋_GB2312" w:hAnsi="仿宋_GB2312" w:eastAsia="仿宋_GB2312" w:cs="仿宋_GB2312"/>
          <w:bCs/>
          <w:kern w:val="28"/>
          <w:sz w:val="32"/>
          <w:szCs w:val="32"/>
          <w:lang w:val="en-US" w:eastAsia="zh-CN"/>
        </w:rPr>
        <w:t>7</w:t>
      </w:r>
      <w:r>
        <w:rPr>
          <w:rStyle w:val="13"/>
          <w:rFonts w:hint="eastAsia" w:ascii="仿宋_GB2312" w:hAnsi="仿宋_GB2312" w:eastAsia="仿宋_GB2312" w:cs="仿宋_GB2312"/>
          <w:bCs/>
          <w:kern w:val="28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关于昆明市晋宁区第一届人民代表大会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号建议答复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的函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杨国祥</w:t>
      </w:r>
      <w:r>
        <w:rPr>
          <w:rFonts w:hint="eastAsia" w:ascii="仿宋_GB2312" w:eastAsia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您在昆明市晋宁区第一届人民代表大会第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次会议上提出的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推进昆阳灯光亮化工程</w:t>
      </w:r>
      <w:r>
        <w:rPr>
          <w:rFonts w:hint="eastAsia" w:ascii="仿宋_GB2312" w:eastAsia="仿宋_GB2312"/>
          <w:sz w:val="32"/>
          <w:szCs w:val="32"/>
        </w:rPr>
        <w:t>的建议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按照《</w:t>
      </w:r>
      <w:r>
        <w:rPr>
          <w:rFonts w:hint="eastAsia" w:ascii="仿宋_GB2312" w:eastAsia="仿宋_GB2312"/>
          <w:sz w:val="32"/>
          <w:szCs w:val="32"/>
        </w:rPr>
        <w:t>建设项目夜景亮化方案设计技术审查和验收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》标准，</w:t>
      </w:r>
      <w:r>
        <w:rPr>
          <w:rFonts w:hint="eastAsia" w:ascii="仿宋_GB2312" w:eastAsia="仿宋_GB2312"/>
          <w:sz w:val="32"/>
          <w:szCs w:val="32"/>
        </w:rPr>
        <w:t>凡在昆明市晋宁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建成区</w:t>
      </w:r>
      <w:r>
        <w:rPr>
          <w:rFonts w:hint="eastAsia" w:ascii="仿宋_GB2312" w:eastAsia="仿宋_GB2312"/>
          <w:sz w:val="32"/>
          <w:szCs w:val="32"/>
        </w:rPr>
        <w:t>范围内的10层以上的写字楼、住宅楼、办公楼、酒店、多层文化类建筑、体育馆、展馆等新建、改建、扩建项目必须落实景观亮化工程“三同时”制度的有关规定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由各辖区城市管理局</w:t>
      </w:r>
      <w:r>
        <w:rPr>
          <w:rFonts w:hint="eastAsia" w:ascii="仿宋_GB2312" w:eastAsia="仿宋_GB2312"/>
          <w:sz w:val="32"/>
          <w:szCs w:val="32"/>
        </w:rPr>
        <w:t>对新建及改扩建项目的景观亮化设计方案进行审查，出具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批复</w:t>
      </w:r>
      <w:r>
        <w:rPr>
          <w:rFonts w:hint="eastAsia" w:ascii="仿宋_GB2312" w:eastAsia="仿宋_GB2312"/>
          <w:sz w:val="32"/>
          <w:szCs w:val="32"/>
        </w:rPr>
        <w:t>意见。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二、建议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（一）根据昆明市城市管理综合行政执法局、昆明市规划局、昆明市住房和城乡建设局《关于执行昆明市景观亮化工程建设“三同时”制度的通知》（昆城管联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〔2016〕2号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）文件要求，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截至目前，区城市管理局根据《</w:t>
      </w:r>
      <w:r>
        <w:rPr>
          <w:rFonts w:hint="eastAsia" w:ascii="仿宋_GB2312" w:eastAsia="仿宋_GB2312"/>
          <w:sz w:val="32"/>
          <w:szCs w:val="32"/>
        </w:rPr>
        <w:t>建设项目夜景亮化方案设计技术审查和验收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》标准，共办理夜景灯光亮化设计方案技术审查3件，分别为：</w:t>
      </w:r>
      <w:r>
        <w:rPr>
          <w:rFonts w:hint="eastAsia" w:ascii="仿宋_GB2312" w:eastAsia="仿宋_GB2312"/>
          <w:sz w:val="32"/>
          <w:szCs w:val="32"/>
        </w:rPr>
        <w:t>晋宁金辰房地产开发有限责任公司和璟佳园项目泛光照明设计方案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晋宁金辰房地产开发有限责任公司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依山郡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和润佳苑1#、2#地块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夜景</w:t>
      </w:r>
      <w:r>
        <w:rPr>
          <w:rFonts w:hint="eastAsia" w:ascii="仿宋_GB2312" w:eastAsia="仿宋_GB2312"/>
          <w:sz w:val="32"/>
          <w:szCs w:val="32"/>
        </w:rPr>
        <w:t>照明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设计方案、昆明隆能商务服务有限公司天澜花园项目夜景照明设计方案，均已按要求出具审查意见。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针对“沿街各建筑物上的灯光美化工程，可由各业主自行投资改造，将用电接入市政供电路线，其电费纳入市政供电承担”的建议，将形成请示上报区人民政府，待区人民政府批复后按照批复要求组织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三、下步工作计划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区城市管理局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结合《昆明市晋宁区“十四五”城市管理规划》，在“十四五”期间编制《昆明市晋宁区建设项目夜景亮化方案设计技术审查和验收》规范，编制完成后按照《规范》标准，统一规划部署，做好晋宁建成区范围内10层以上写字楼、住宅楼、办公楼、酒店、多层文化类建筑、体育馆、展馆等新建、改建、扩建项目的夜景亮化方案设计技术审查和验收，确保我区景观亮化工程与建设项目同时设计、同时竣工验收、同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16"/>
        <w:widowControl/>
        <w:spacing w:line="560" w:lineRule="exact"/>
        <w:ind w:left="1360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昆明市晋宁区城市管理局</w:t>
      </w:r>
    </w:p>
    <w:p>
      <w:pPr>
        <w:widowControl/>
        <w:spacing w:line="560" w:lineRule="exact"/>
        <w:ind w:left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Arial" w:eastAsia="仿宋_GB2312" w:cs="Arial"/>
          <w:spacing w:val="-16"/>
          <w:sz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联系人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及电话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柴志刚 0871-67808076，13888691402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sz w:val="32"/>
          <w:szCs w:val="32"/>
          <w:u w:val="single"/>
        </w:rPr>
      </w:pPr>
    </w:p>
    <w:tbl>
      <w:tblPr>
        <w:tblStyle w:val="6"/>
        <w:tblpPr w:leftFromText="180" w:rightFromText="180" w:vertAnchor="text" w:horzAnchor="page" w:tblpX="1637" w:tblpY="690"/>
        <w:tblOverlap w:val="never"/>
        <w:tblW w:w="88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47" w:type="dxa"/>
            <w:tcBorders>
              <w:top w:val="single" w:color="auto" w:sz="12" w:space="0"/>
              <w:left w:val="nil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  <w:lang w:val="en-US" w:eastAsia="zh-CN"/>
              </w:rPr>
              <w:t xml:space="preserve"> 抄送：区人大常委会办公室，区政协办公室，区委目督办，区政府目督办。                  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47" w:type="dxa"/>
            <w:tcBorders>
              <w:top w:val="single" w:color="auto" w:sz="4" w:space="0"/>
              <w:left w:val="nil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昆明市晋宁区城市管理局办公室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2020年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44"/>
          <w:szCs w:val="44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F2D"/>
    <w:rsid w:val="000227D0"/>
    <w:rsid w:val="000531C1"/>
    <w:rsid w:val="00064867"/>
    <w:rsid w:val="00066C02"/>
    <w:rsid w:val="000967B7"/>
    <w:rsid w:val="00126C9A"/>
    <w:rsid w:val="00127402"/>
    <w:rsid w:val="00134747"/>
    <w:rsid w:val="00135750"/>
    <w:rsid w:val="0015164D"/>
    <w:rsid w:val="00170272"/>
    <w:rsid w:val="001B4D1D"/>
    <w:rsid w:val="00261DE2"/>
    <w:rsid w:val="002B51F9"/>
    <w:rsid w:val="002D17E9"/>
    <w:rsid w:val="002F1F2D"/>
    <w:rsid w:val="0032225C"/>
    <w:rsid w:val="00325713"/>
    <w:rsid w:val="00411197"/>
    <w:rsid w:val="004C461C"/>
    <w:rsid w:val="004D4DD1"/>
    <w:rsid w:val="004E3F2E"/>
    <w:rsid w:val="004F786E"/>
    <w:rsid w:val="0056329B"/>
    <w:rsid w:val="005A4AFC"/>
    <w:rsid w:val="005B214B"/>
    <w:rsid w:val="005C0E2E"/>
    <w:rsid w:val="005E1DF9"/>
    <w:rsid w:val="005E7AB9"/>
    <w:rsid w:val="00606EF5"/>
    <w:rsid w:val="00612C81"/>
    <w:rsid w:val="00684F2B"/>
    <w:rsid w:val="0068676F"/>
    <w:rsid w:val="006F6745"/>
    <w:rsid w:val="00714D8B"/>
    <w:rsid w:val="007201A0"/>
    <w:rsid w:val="00735228"/>
    <w:rsid w:val="00743F94"/>
    <w:rsid w:val="00796C0B"/>
    <w:rsid w:val="007A24B1"/>
    <w:rsid w:val="007A7020"/>
    <w:rsid w:val="007A779D"/>
    <w:rsid w:val="007B20ED"/>
    <w:rsid w:val="007D6226"/>
    <w:rsid w:val="007E2696"/>
    <w:rsid w:val="007F4C38"/>
    <w:rsid w:val="00814DE4"/>
    <w:rsid w:val="00816C96"/>
    <w:rsid w:val="00840D62"/>
    <w:rsid w:val="008C310E"/>
    <w:rsid w:val="0095008A"/>
    <w:rsid w:val="00972F6B"/>
    <w:rsid w:val="00990AE0"/>
    <w:rsid w:val="009D5A88"/>
    <w:rsid w:val="009D5FB6"/>
    <w:rsid w:val="00A41E10"/>
    <w:rsid w:val="00A81784"/>
    <w:rsid w:val="00A91397"/>
    <w:rsid w:val="00AD5192"/>
    <w:rsid w:val="00AF557F"/>
    <w:rsid w:val="00B112BC"/>
    <w:rsid w:val="00B217A9"/>
    <w:rsid w:val="00B63BC9"/>
    <w:rsid w:val="00B87A92"/>
    <w:rsid w:val="00BD7256"/>
    <w:rsid w:val="00C03742"/>
    <w:rsid w:val="00C26503"/>
    <w:rsid w:val="00C73CE3"/>
    <w:rsid w:val="00C9390A"/>
    <w:rsid w:val="00C971F9"/>
    <w:rsid w:val="00CF1B4D"/>
    <w:rsid w:val="00CF6C7B"/>
    <w:rsid w:val="00D0168F"/>
    <w:rsid w:val="00D07815"/>
    <w:rsid w:val="00D42452"/>
    <w:rsid w:val="00DA063A"/>
    <w:rsid w:val="00DA2C43"/>
    <w:rsid w:val="00E1252C"/>
    <w:rsid w:val="00E26744"/>
    <w:rsid w:val="00EA2F51"/>
    <w:rsid w:val="00EB08DD"/>
    <w:rsid w:val="00F24EE3"/>
    <w:rsid w:val="00F36E26"/>
    <w:rsid w:val="07CE4B35"/>
    <w:rsid w:val="141B174E"/>
    <w:rsid w:val="17AA7EA2"/>
    <w:rsid w:val="1C276318"/>
    <w:rsid w:val="1F2F3896"/>
    <w:rsid w:val="1F7B2055"/>
    <w:rsid w:val="22104170"/>
    <w:rsid w:val="26977C45"/>
    <w:rsid w:val="28BD6071"/>
    <w:rsid w:val="2B557EEB"/>
    <w:rsid w:val="2CCE657B"/>
    <w:rsid w:val="32DB1E98"/>
    <w:rsid w:val="32EB66C0"/>
    <w:rsid w:val="32F3497C"/>
    <w:rsid w:val="37040790"/>
    <w:rsid w:val="395E3CF8"/>
    <w:rsid w:val="3C08379C"/>
    <w:rsid w:val="3CEC0420"/>
    <w:rsid w:val="47273116"/>
    <w:rsid w:val="4D90292E"/>
    <w:rsid w:val="50517ECC"/>
    <w:rsid w:val="57C80118"/>
    <w:rsid w:val="5AB416AD"/>
    <w:rsid w:val="5C3315BD"/>
    <w:rsid w:val="5CD624C4"/>
    <w:rsid w:val="609467FE"/>
    <w:rsid w:val="60BD33EF"/>
    <w:rsid w:val="61E07344"/>
    <w:rsid w:val="655E01F2"/>
    <w:rsid w:val="6612488F"/>
    <w:rsid w:val="69356C6F"/>
    <w:rsid w:val="6A9F5EE8"/>
    <w:rsid w:val="6C8D0BD0"/>
    <w:rsid w:val="6EFD6761"/>
    <w:rsid w:val="73065C7C"/>
    <w:rsid w:val="7429535C"/>
    <w:rsid w:val="77A75BA9"/>
    <w:rsid w:val="7D9A1ED1"/>
    <w:rsid w:val="7DF72916"/>
    <w:rsid w:val="7E0618F4"/>
    <w:rsid w:val="7F631681"/>
    <w:rsid w:val="7FFD0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  <w:rPr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2"/>
    <w:qFormat/>
    <w:uiPriority w:val="0"/>
    <w:pPr>
      <w:adjustRightInd w:val="0"/>
      <w:spacing w:before="240" w:after="60" w:line="312" w:lineRule="atLeast"/>
      <w:jc w:val="center"/>
    </w:pPr>
    <w:rPr>
      <w:rFonts w:ascii="Arial" w:hAnsi="Arial" w:eastAsia="宋体" w:cs="Times New Roman"/>
      <w:b/>
      <w:kern w:val="28"/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Char"/>
    <w:basedOn w:val="8"/>
    <w:link w:val="5"/>
    <w:qFormat/>
    <w:uiPriority w:val="0"/>
    <w:rPr>
      <w:rFonts w:ascii="Arial" w:hAnsi="Arial" w:eastAsia="宋体" w:cs="Times New Roman"/>
      <w:b/>
      <w:kern w:val="28"/>
      <w:sz w:val="32"/>
      <w:szCs w:val="20"/>
    </w:rPr>
  </w:style>
  <w:style w:type="character" w:customStyle="1" w:styleId="13">
    <w:name w:val="公文文号"/>
    <w:basedOn w:val="8"/>
    <w:qFormat/>
    <w:uiPriority w:val="0"/>
    <w:rPr>
      <w:rFonts w:hint="eastAsia" w:ascii="仿宋_GB2312" w:eastAsia="仿宋_GB2312"/>
    </w:rPr>
  </w:style>
  <w:style w:type="character" w:customStyle="1" w:styleId="14">
    <w:name w:val="公文发出日期"/>
    <w:basedOn w:val="8"/>
    <w:qFormat/>
    <w:uiPriority w:val="99"/>
    <w:rPr>
      <w:rFonts w:hint="eastAsia" w:ascii="仿宋_GB2312" w:eastAsia="仿宋_GB2312"/>
      <w:sz w:val="32"/>
    </w:rPr>
  </w:style>
  <w:style w:type="character" w:customStyle="1" w:styleId="15">
    <w:name w:val="公文日期"/>
    <w:basedOn w:val="8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2018-03-13T06:30:00Z</dcterms:created>
  <dc:creator>SPK1</dc:creator>
  <cp:lastModifiedBy>NTKO</cp:lastModifiedBy>
  <cp:lastPrinted>2020-08-26T02:57:00Z</cp:lastPrinted>
  <dcterms:modified xsi:type="dcterms:W3CDTF">2020-08-26T06:35:20Z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