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0" w:rsidRPr="00C87690" w:rsidRDefault="00C87690" w:rsidP="00C87690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C87690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C87690" w:rsidRPr="00C87690" w:rsidRDefault="00C87690" w:rsidP="00C8769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C87690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C87690" w:rsidRPr="00C87690" w:rsidRDefault="00C87690" w:rsidP="00C87690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C87690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C87690">
        <w:rPr>
          <w:rFonts w:ascii="宋体" w:eastAsia="宋体" w:hAnsi="宋体" w:cs="宋体" w:hint="eastAsia"/>
          <w:color w:val="323232"/>
          <w:kern w:val="0"/>
          <w:sz w:val="23"/>
        </w:rPr>
        <w:t>FKMJN2019110132_</w:t>
      </w:r>
      <w:proofErr w:type="gramStart"/>
      <w:r w:rsidRPr="00C87690">
        <w:rPr>
          <w:rFonts w:ascii="宋体" w:eastAsia="宋体" w:hAnsi="宋体" w:cs="宋体" w:hint="eastAsia"/>
          <w:color w:val="323232"/>
          <w:kern w:val="0"/>
          <w:sz w:val="23"/>
        </w:rPr>
        <w:t>1(</w:t>
      </w:r>
      <w:proofErr w:type="gramEnd"/>
      <w:r w:rsidRPr="00C87690">
        <w:rPr>
          <w:rFonts w:ascii="宋体" w:eastAsia="宋体" w:hAnsi="宋体" w:cs="宋体" w:hint="eastAsia"/>
          <w:color w:val="323232"/>
          <w:kern w:val="0"/>
          <w:sz w:val="23"/>
        </w:rPr>
        <w:t>2)</w:t>
      </w:r>
      <w:r w:rsidRPr="00C87690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4049"/>
        <w:gridCol w:w="1950"/>
        <w:gridCol w:w="4049"/>
      </w:tblGrid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昆明市晋宁区昆阳街道办事处永乐大街云南磷化集团新办公楼二楼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丁鹏飞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0871-67808698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昆明盛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发工程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造价咨询有限公司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昆明市吴井路吴井新苑1-402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张静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13330461004、0871-63153287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5.75pt" o:ole="">
                  <v:imagedata r:id="rId4" o:title=""/>
                </v:shape>
                <w:control r:id="rId5" w:name="DefaultOcxName" w:shapeid="_x0000_i1053"/>
              </w:objec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C87690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2" type="#_x0000_t75" style="width:20.25pt;height:15.75pt" o:ole="">
                  <v:imagedata r:id="rId6" o:title=""/>
                </v:shape>
                <w:control r:id="rId7" w:name="DefaultOcxName1" w:shapeid="_x0000_i1052"/>
              </w:objec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矿业开发建设有限公司二街分公司磷矿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石运输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工程项目（一、二标段）(昆明市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矿业开发建设有限公司二街分公司磷矿</w:t>
            </w: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石运输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工程项目（一标段）（二次招标）)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2019-12-26 09:30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昆明市晋宁区公共资源交易中心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经评审的最低投标价法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2019-12-27 16:43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20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2019-12-30 23:59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2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8"/>
              <w:gridCol w:w="2597"/>
              <w:gridCol w:w="875"/>
              <w:gridCol w:w="1529"/>
              <w:gridCol w:w="1547"/>
              <w:gridCol w:w="1543"/>
              <w:gridCol w:w="1725"/>
              <w:gridCol w:w="1099"/>
              <w:gridCol w:w="460"/>
              <w:gridCol w:w="850"/>
              <w:gridCol w:w="402"/>
              <w:gridCol w:w="567"/>
            </w:tblGrid>
            <w:tr w:rsidR="00C87690" w:rsidRPr="00C87690" w:rsidTr="00C87690">
              <w:trPr>
                <w:trHeight w:val="360"/>
                <w:tblCellSpacing w:w="0" w:type="dxa"/>
              </w:trPr>
              <w:tc>
                <w:tcPr>
                  <w:tcW w:w="3455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8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人</w:t>
                  </w:r>
                  <w:r w:rsidRPr="00C8769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5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2622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项目负责人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154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技术负责人</w:t>
                  </w:r>
                </w:p>
              </w:tc>
              <w:tc>
                <w:tcPr>
                  <w:tcW w:w="15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650B2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技术负责人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3284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投标报价</w:t>
                  </w:r>
                </w:p>
              </w:tc>
              <w:tc>
                <w:tcPr>
                  <w:tcW w:w="8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63788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综合评分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得分</w:t>
                  </w:r>
                </w:p>
              </w:tc>
              <w:tc>
                <w:tcPr>
                  <w:tcW w:w="40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C87690" w:rsidRPr="00C87690" w:rsidTr="00C87690">
              <w:trPr>
                <w:trHeight w:val="360"/>
                <w:tblCellSpacing w:w="0" w:type="dxa"/>
              </w:trPr>
              <w:tc>
                <w:tcPr>
                  <w:tcW w:w="85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第一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5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昆明雄瑞物流有限公司</w:t>
                  </w:r>
                </w:p>
              </w:tc>
              <w:tc>
                <w:tcPr>
                  <w:tcW w:w="8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91530122346653068W</w:t>
                  </w:r>
                </w:p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1404000.00元</w:t>
                  </w:r>
                </w:p>
              </w:tc>
              <w:tc>
                <w:tcPr>
                  <w:tcW w:w="109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运输单价（元/吨）：7.80</w:t>
                  </w:r>
                </w:p>
              </w:tc>
              <w:tc>
                <w:tcPr>
                  <w:tcW w:w="46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C8769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7690" w:rsidRPr="00C87690" w:rsidTr="00C87690">
              <w:trPr>
                <w:trHeight w:val="360"/>
                <w:tblCellSpacing w:w="0" w:type="dxa"/>
              </w:trPr>
              <w:tc>
                <w:tcPr>
                  <w:tcW w:w="85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第二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5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昆明宏力货运有限公司</w:t>
                  </w:r>
                </w:p>
              </w:tc>
              <w:tc>
                <w:tcPr>
                  <w:tcW w:w="8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91530122790282726J</w:t>
                  </w:r>
                </w:p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1418400.00元</w:t>
                  </w:r>
                </w:p>
              </w:tc>
              <w:tc>
                <w:tcPr>
                  <w:tcW w:w="109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运输单价（元/吨）：7.86</w:t>
                  </w:r>
                </w:p>
              </w:tc>
              <w:tc>
                <w:tcPr>
                  <w:tcW w:w="46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C8769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87690" w:rsidRPr="00C87690" w:rsidTr="00C87690">
              <w:trPr>
                <w:trHeight w:val="360"/>
                <w:tblCellSpacing w:w="0" w:type="dxa"/>
              </w:trPr>
              <w:tc>
                <w:tcPr>
                  <w:tcW w:w="85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5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晋宁二街镇茂源工程有限公司</w:t>
                  </w:r>
                </w:p>
              </w:tc>
              <w:tc>
                <w:tcPr>
                  <w:tcW w:w="87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915301225718840730</w:t>
                  </w:r>
                </w:p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2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4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725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1530000.00元</w:t>
                  </w:r>
                </w:p>
              </w:tc>
              <w:tc>
                <w:tcPr>
                  <w:tcW w:w="109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运输单价（元/吨）：8.50</w:t>
                  </w:r>
                </w:p>
              </w:tc>
              <w:tc>
                <w:tcPr>
                  <w:tcW w:w="46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5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C87690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/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C87690" w:rsidRPr="00C87690" w:rsidTr="00C87690">
        <w:trPr>
          <w:tblCellSpacing w:w="0" w:type="dxa"/>
          <w:hidden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C87690" w:rsidRPr="00C87690" w:rsidTr="00C8769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552"/>
            </w:tblGrid>
            <w:tr w:rsidR="00C87690" w:rsidRPr="00C87690" w:rsidTr="00C87690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C87690" w:rsidRPr="00C87690" w:rsidRDefault="00C87690" w:rsidP="00C87690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C87690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C87690" w:rsidRPr="00C87690" w:rsidTr="00C8769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本项目没有投标人被否决！ </w:t>
            </w:r>
          </w:p>
        </w:tc>
      </w:tr>
      <w:tr w:rsidR="00C87690" w:rsidRPr="00C87690" w:rsidTr="00C8769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详细评分表:无 </w:t>
            </w:r>
          </w:p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51" type="#_x0000_t75" style="width:1in;height:18pt" o:ole="">
                  <v:imagedata r:id="rId11" o:title=""/>
                </v:shape>
                <w:control r:id="rId12" w:name="DefaultOcxName2" w:shapeid="_x0000_i1051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50" type="#_x0000_t75" style="width:1in;height:18pt" o:ole="">
                  <v:imagedata r:id="rId11" o:title=""/>
                </v:shape>
                <w:control r:id="rId13" w:name="DefaultOcxName3" w:shapeid="_x0000_i1050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9" type="#_x0000_t75" style="width:1in;height:18pt" o:ole="">
                  <v:imagedata r:id="rId11" o:title=""/>
                </v:shape>
                <w:control r:id="rId14" w:name="DefaultOcxName4" w:shapeid="_x0000_i1049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8" type="#_x0000_t75" style="width:1in;height:18pt" o:ole="">
                  <v:imagedata r:id="rId11" o:title=""/>
                </v:shape>
                <w:control r:id="rId15" w:name="DefaultOcxName5" w:shapeid="_x0000_i1048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7" type="#_x0000_t75" style="width:1in;height:18pt" o:ole="">
                  <v:imagedata r:id="rId11" o:title=""/>
                </v:shape>
                <w:control r:id="rId16" w:name="DefaultOcxName6" w:shapeid="_x0000_i1047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6" type="#_x0000_t75" style="width:1in;height:18pt" o:ole="">
                  <v:imagedata r:id="rId11" o:title=""/>
                </v:shape>
                <w:control r:id="rId17" w:name="DefaultOcxName7" w:shapeid="_x0000_i1046"/>
              </w:object>
            </w:r>
            <w:r w:rsidRPr="00C87690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5" type="#_x0000_t75" style="width:1in;height:18pt" o:ole="">
                  <v:imagedata r:id="rId11" o:title=""/>
                </v:shape>
                <w:control r:id="rId18" w:name="DefaultOcxName8" w:shapeid="_x0000_i1045"/>
              </w:object>
            </w:r>
          </w:p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pict/>
            </w:r>
          </w:p>
        </w:tc>
      </w:tr>
      <w:tr w:rsidR="00C87690" w:rsidRPr="00C87690" w:rsidTr="00C87690">
        <w:trPr>
          <w:trHeight w:val="360"/>
          <w:tblCellSpacing w:w="0" w:type="dxa"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杨哲</w:t>
            </w:r>
            <w:r w:rsidRPr="00C87690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C87690" w:rsidRPr="00C87690" w:rsidTr="00C87690">
        <w:trPr>
          <w:trHeight w:val="360"/>
          <w:tblCellSpacing w:w="0" w:type="dxa"/>
          <w:hidden/>
        </w:trPr>
        <w:tc>
          <w:tcPr>
            <w:tcW w:w="500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2000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C87690" w:rsidRPr="00C87690" w:rsidTr="00C87690">
        <w:trPr>
          <w:tblCellSpacing w:w="0" w:type="dxa"/>
        </w:trPr>
        <w:tc>
          <w:tcPr>
            <w:tcW w:w="0" w:type="auto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7690" w:rsidRPr="00C87690" w:rsidRDefault="00C87690" w:rsidP="00C8769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C87690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266D88" w:rsidRPr="00C87690" w:rsidRDefault="00266D88">
      <w:pPr>
        <w:rPr>
          <w:rFonts w:hint="eastAsia"/>
        </w:rPr>
      </w:pPr>
    </w:p>
    <w:sectPr w:rsidR="00266D88" w:rsidRPr="00C87690" w:rsidSect="00C87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690"/>
    <w:rsid w:val="00266D88"/>
    <w:rsid w:val="00C8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690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C87690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C87690"/>
  </w:style>
  <w:style w:type="character" w:customStyle="1" w:styleId="mutirowtextlabel">
    <w:name w:val="mutirowtextlabel"/>
    <w:basedOn w:val="a0"/>
    <w:rsid w:val="00C87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425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8306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38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5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215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3326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22346653068W&amp;PBJGGSGuid=5dba9b1c-8f32-4246-97f4-216507d803af&amp;RowNum=1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hyperlink" Target="https://www.kmggzy.com/Jyweb/PBJGGSNewHXRView.aspx?userCode=915301225718840730&amp;PBJGGSGuid=5dba9b1c-8f32-4246-97f4-216507d803af&amp;RowNum=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122790282726J&amp;PBJGGSGuid=5dba9b1c-8f32-4246-97f4-216507d803af&amp;RowNum=2" TargetMode="Externa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2019-12-27T10:19:00Z</dcterms:created>
  <dcterms:modified xsi:type="dcterms:W3CDTF">2019-12-27T10:22:00Z</dcterms:modified>
</cp:coreProperties>
</file>