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52"/>
          <w:szCs w:val="52"/>
        </w:rPr>
      </w:pPr>
      <w:r>
        <w:rPr>
          <w:rFonts w:hint="eastAsia" w:ascii="黑体" w:hAnsi="黑体" w:eastAsia="黑体" w:cs="黑体"/>
          <w:bCs/>
          <w:sz w:val="52"/>
          <w:szCs w:val="52"/>
          <w:lang w:eastAsia="zh-CN"/>
        </w:rPr>
        <w:t>湖滨湿地管护资金</w:t>
      </w:r>
      <w:r>
        <w:rPr>
          <w:rFonts w:hint="eastAsia" w:ascii="黑体" w:hAnsi="黑体" w:eastAsia="黑体" w:cs="黑体"/>
          <w:bCs/>
          <w:sz w:val="52"/>
          <w:szCs w:val="52"/>
        </w:rPr>
        <w:t>支出绩效</w:t>
      </w:r>
    </w:p>
    <w:p>
      <w:pPr>
        <w:jc w:val="center"/>
        <w:rPr>
          <w:rFonts w:ascii="黑体" w:hAnsi="黑体" w:eastAsia="黑体" w:cs="黑体"/>
          <w:bCs/>
          <w:sz w:val="52"/>
          <w:szCs w:val="52"/>
        </w:rPr>
      </w:pPr>
      <w:r>
        <w:rPr>
          <w:rFonts w:hint="eastAsia" w:ascii="黑体" w:hAnsi="黑体" w:eastAsia="黑体" w:cs="黑体"/>
          <w:bCs/>
          <w:sz w:val="52"/>
          <w:szCs w:val="52"/>
        </w:rPr>
        <w:t>自评报告</w:t>
      </w:r>
    </w:p>
    <w:p>
      <w:pPr>
        <w:jc w:val="center"/>
        <w:rPr>
          <w:rFonts w:ascii="黑体" w:hAnsi="黑体" w:eastAsia="黑体"/>
          <w:bCs/>
          <w:sz w:val="52"/>
          <w:szCs w:val="52"/>
        </w:rPr>
      </w:pPr>
      <w:r>
        <w:rPr>
          <w:rFonts w:hint="eastAsia" w:ascii="黑体" w:hAnsi="黑体" w:eastAsia="黑体" w:cs="黑体"/>
          <w:bCs/>
          <w:sz w:val="52"/>
          <w:szCs w:val="52"/>
        </w:rPr>
        <w:t>（</w:t>
      </w:r>
      <w:r>
        <w:rPr>
          <w:rFonts w:hint="eastAsia" w:ascii="黑体" w:hAnsi="黑体" w:eastAsia="黑体" w:cs="黑体"/>
          <w:bCs/>
          <w:sz w:val="52"/>
          <w:szCs w:val="52"/>
          <w:lang w:val="en-US" w:eastAsia="zh-CN"/>
        </w:rPr>
        <w:t>2018</w:t>
      </w:r>
      <w:r>
        <w:rPr>
          <w:rFonts w:hint="eastAsia" w:ascii="黑体" w:hAnsi="黑体" w:eastAsia="黑体" w:cs="黑体"/>
          <w:bCs/>
          <w:sz w:val="52"/>
          <w:szCs w:val="52"/>
        </w:rPr>
        <w:t xml:space="preserve"> 年度）</w:t>
      </w:r>
    </w:p>
    <w:p>
      <w:pPr>
        <w:spacing w:before="120" w:after="120" w:line="480" w:lineRule="auto"/>
        <w:jc w:val="center"/>
        <w:rPr>
          <w:rFonts w:eastAsia="黑体"/>
          <w:b/>
          <w:bCs/>
          <w:sz w:val="52"/>
          <w:szCs w:val="52"/>
        </w:rPr>
      </w:pPr>
    </w:p>
    <w:p>
      <w:pPr>
        <w:spacing w:before="120" w:after="120" w:line="480" w:lineRule="auto"/>
        <w:jc w:val="center"/>
        <w:rPr>
          <w:b/>
          <w:bCs/>
          <w:sz w:val="44"/>
          <w:szCs w:val="44"/>
        </w:rPr>
      </w:pPr>
    </w:p>
    <w:p>
      <w:pPr>
        <w:spacing w:before="120" w:after="120" w:line="480" w:lineRule="auto"/>
        <w:jc w:val="center"/>
        <w:rPr>
          <w:b/>
          <w:bCs/>
          <w:sz w:val="44"/>
          <w:szCs w:val="44"/>
        </w:rPr>
      </w:pPr>
    </w:p>
    <w:p>
      <w:pPr>
        <w:spacing w:before="120" w:after="120" w:line="480" w:lineRule="auto"/>
        <w:jc w:val="center"/>
        <w:rPr>
          <w:rFonts w:eastAsia="黑体"/>
          <w:b/>
          <w:bCs/>
          <w:sz w:val="44"/>
          <w:szCs w:val="44"/>
        </w:rPr>
      </w:pPr>
    </w:p>
    <w:p>
      <w:pPr>
        <w:adjustRightInd w:val="0"/>
        <w:snapToGrid w:val="0"/>
        <w:spacing w:line="360" w:lineRule="auto"/>
        <w:ind w:left="1260" w:leftChars="600"/>
        <w:rPr>
          <w:rFonts w:hint="eastAsia" w:eastAsia="黑体" w:cs="黑体"/>
          <w:b/>
          <w:bCs/>
          <w:sz w:val="28"/>
          <w:szCs w:val="28"/>
          <w:lang w:eastAsia="zh-CN"/>
        </w:rPr>
      </w:pPr>
      <w:r>
        <w:rPr>
          <w:rFonts w:eastAsia="黑体" w:cs="黑体"/>
          <w:b/>
          <w:bCs/>
          <w:sz w:val="28"/>
          <w:szCs w:val="28"/>
        </w:rPr>
        <mc:AlternateContent>
          <mc:Choice Requires="wps">
            <w:drawing>
              <wp:anchor distT="0" distB="0" distL="114300" distR="114300" simplePos="0" relativeHeight="251657216" behindDoc="0" locked="0" layoutInCell="1" allowOverlap="1">
                <wp:simplePos x="0" y="0"/>
                <wp:positionH relativeFrom="column">
                  <wp:posOffset>2371725</wp:posOffset>
                </wp:positionH>
                <wp:positionV relativeFrom="paragraph">
                  <wp:posOffset>196215</wp:posOffset>
                </wp:positionV>
                <wp:extent cx="2495550" cy="0"/>
                <wp:effectExtent l="0" t="0" r="0" b="0"/>
                <wp:wrapNone/>
                <wp:docPr id="4" name="自选图形 2"/>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86.75pt;margin-top:15.45pt;height:0pt;width:196.5pt;z-index:251657216;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6lyg1wAAAAkBAAAPAAAAAAAA&#10;AAEAIAAAACIAAABkcnMvZG93bnJldi54bWxQSwECFAAUAAAACACHTuJA+kYh/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部门名称（公章）：</w:t>
      </w:r>
      <w:r>
        <w:rPr>
          <w:rFonts w:hint="eastAsia" w:ascii="仿宋_GB2312" w:hAnsi="仿宋_GB2312" w:eastAsia="仿宋_GB2312" w:cs="仿宋_GB2312"/>
          <w:b w:val="0"/>
          <w:bCs w:val="0"/>
          <w:sz w:val="28"/>
          <w:szCs w:val="28"/>
          <w:lang w:eastAsia="zh-CN"/>
        </w:rPr>
        <w:t>昆明市晋宁区水务局</w:t>
      </w:r>
    </w:p>
    <w:p>
      <w:pPr>
        <w:adjustRightInd w:val="0"/>
        <w:snapToGrid w:val="0"/>
        <w:spacing w:line="360" w:lineRule="auto"/>
        <w:ind w:left="1260" w:leftChars="600"/>
        <w:rPr>
          <w:rFonts w:hint="eastAsia" w:eastAsia="黑体" w:cs="黑体"/>
          <w:b/>
          <w:bCs/>
          <w:sz w:val="28"/>
          <w:szCs w:val="28"/>
          <w:lang w:eastAsia="zh-CN"/>
        </w:rPr>
      </w:pPr>
      <w:r>
        <w:rPr>
          <w:rFonts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5" name="自选图形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35pt;margin-top:17.45pt;height:0pt;width:196.5pt;z-index:251658240;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YRdg1wAAAAkBAAAPAAAAAAAA&#10;AAEAIAAAACIAAABkcnMvZG93bnJldi54bWxQSwECFAAUAAAACACHTuJAuJ6Yed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项目单位：</w:t>
      </w:r>
      <w:r>
        <w:rPr>
          <w:rFonts w:eastAsia="黑体" w:cs="黑体"/>
          <w:b/>
          <w:bCs/>
          <w:sz w:val="28"/>
          <w:szCs w:val="28"/>
        </w:rPr>
        <w:t xml:space="preserve"> </w:t>
      </w:r>
      <w:r>
        <w:rPr>
          <w:rFonts w:hint="eastAsia" w:ascii="仿宋_GB2312" w:hAnsi="仿宋_GB2312" w:eastAsia="仿宋_GB2312" w:cs="仿宋_GB2312"/>
          <w:b w:val="0"/>
          <w:bCs w:val="0"/>
          <w:sz w:val="28"/>
          <w:szCs w:val="28"/>
          <w:lang w:eastAsia="zh-CN"/>
        </w:rPr>
        <w:t>昆明市晋宁区水务局</w:t>
      </w:r>
    </w:p>
    <w:p>
      <w:pPr>
        <w:adjustRightInd w:val="0"/>
        <w:snapToGrid w:val="0"/>
        <w:spacing w:line="360" w:lineRule="auto"/>
        <w:ind w:left="1260" w:leftChars="600"/>
        <w:rPr>
          <w:rFonts w:hint="eastAsia" w:eastAsia="黑体" w:cs="黑体"/>
          <w:b/>
          <w:bCs/>
          <w:sz w:val="28"/>
          <w:szCs w:val="28"/>
          <w:lang w:eastAsia="zh-CN"/>
        </w:rPr>
      </w:pPr>
      <w:r>
        <w:rPr>
          <w:rFonts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6" name="自选图形 4"/>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5pt;margin-top:14.25pt;height:0pt;width:196.5pt;z-index:251659264;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4Bssh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主管部门：</w:t>
      </w:r>
      <w:r>
        <w:rPr>
          <w:rFonts w:eastAsia="黑体"/>
          <w:b/>
          <w:bCs/>
          <w:sz w:val="28"/>
          <w:szCs w:val="28"/>
        </w:rPr>
        <w:t xml:space="preserve"> </w:t>
      </w:r>
      <w:r>
        <w:rPr>
          <w:rFonts w:hint="eastAsia" w:ascii="仿宋_GB2312" w:hAnsi="仿宋_GB2312" w:eastAsia="仿宋_GB2312" w:cs="仿宋_GB2312"/>
          <w:b w:val="0"/>
          <w:bCs w:val="0"/>
          <w:sz w:val="28"/>
          <w:szCs w:val="28"/>
          <w:lang w:eastAsia="zh-CN"/>
        </w:rPr>
        <w:t>昆明市晋宁区水务局</w:t>
      </w:r>
    </w:p>
    <w:p>
      <w:pPr>
        <w:adjustRightInd w:val="0"/>
        <w:snapToGrid w:val="0"/>
        <w:spacing w:line="360" w:lineRule="auto"/>
        <w:ind w:left="1260" w:leftChars="600"/>
        <w:rPr>
          <w:rFonts w:eastAsia="黑体"/>
          <w:b/>
          <w:bCs/>
          <w:sz w:val="28"/>
          <w:szCs w:val="28"/>
        </w:rPr>
      </w:pPr>
      <w:r>
        <w:rPr>
          <w:rFonts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7" name="自选图形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35pt;margin-top:14.25pt;height:0pt;width:196.5pt;z-index:251660288;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osOVAd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项目名称：</w:t>
      </w:r>
      <w:r>
        <w:rPr>
          <w:rFonts w:eastAsia="黑体"/>
          <w:b/>
          <w:bCs/>
          <w:sz w:val="28"/>
          <w:szCs w:val="28"/>
        </w:rPr>
        <w:t xml:space="preserve"> </w:t>
      </w:r>
      <w:r>
        <w:rPr>
          <w:rFonts w:hint="eastAsia" w:ascii="仿宋_GB2312" w:hAnsi="仿宋_GB2312" w:eastAsia="仿宋_GB2312" w:cs="仿宋_GB2312"/>
          <w:b w:val="0"/>
          <w:bCs w:val="0"/>
          <w:sz w:val="28"/>
          <w:szCs w:val="28"/>
          <w:lang w:eastAsia="zh-CN"/>
        </w:rPr>
        <w:t>湖滨湿地管护资金</w:t>
      </w:r>
    </w:p>
    <w:p>
      <w:pPr>
        <w:adjustRightInd w:val="0"/>
        <w:snapToGrid w:val="0"/>
        <w:spacing w:line="360" w:lineRule="auto"/>
        <w:ind w:left="1260" w:leftChars="600"/>
        <w:rPr>
          <w:rFonts w:hint="eastAsia" w:ascii="仿宋_GB2312" w:hAnsi="仿宋_GB2312" w:eastAsia="仿宋_GB2312" w:cs="仿宋_GB2312"/>
          <w:b w:val="0"/>
          <w:bCs w:val="0"/>
          <w:sz w:val="28"/>
          <w:szCs w:val="28"/>
          <w:lang w:val="en-US" w:eastAsia="zh-CN"/>
        </w:rPr>
      </w:pPr>
      <w:r>
        <w:rPr>
          <w:rFonts w:eastAsia="黑体" w:cs="黑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8" name="自选图形 6"/>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35pt;margin-top:14.25pt;height:0pt;width:196.5pt;z-index:251661312;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WCvT6N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绩效自评日期：</w:t>
      </w:r>
      <w:r>
        <w:rPr>
          <w:rFonts w:eastAsia="黑体"/>
          <w:b/>
          <w:bCs/>
          <w:sz w:val="28"/>
          <w:szCs w:val="28"/>
        </w:rPr>
        <w:t xml:space="preserve"> </w:t>
      </w:r>
      <w:r>
        <w:rPr>
          <w:rFonts w:hint="eastAsia" w:ascii="仿宋_GB2312" w:hAnsi="仿宋_GB2312" w:eastAsia="仿宋_GB2312" w:cs="仿宋_GB2312"/>
          <w:b w:val="0"/>
          <w:bCs w:val="0"/>
          <w:sz w:val="28"/>
          <w:szCs w:val="28"/>
          <w:lang w:val="en-US" w:eastAsia="zh-CN"/>
        </w:rPr>
        <w:t>2019年8月9日</w:t>
      </w:r>
    </w:p>
    <w:p>
      <w:pPr>
        <w:spacing w:line="360" w:lineRule="auto"/>
        <w:ind w:left="1218" w:leftChars="580"/>
        <w:rPr>
          <w:rFonts w:eastAsia="黑体"/>
          <w:b/>
          <w:bCs/>
          <w:sz w:val="28"/>
          <w:szCs w:val="28"/>
        </w:rPr>
      </w:pPr>
    </w:p>
    <w:p>
      <w:pPr>
        <w:jc w:val="center"/>
        <w:rPr>
          <w:rFonts w:eastAsia="黑体" w:cs="黑体"/>
          <w:b/>
          <w:bCs/>
          <w:sz w:val="28"/>
          <w:szCs w:val="28"/>
        </w:rPr>
      </w:pPr>
      <w:r>
        <w:rPr>
          <w:rFonts w:eastAsia="黑体"/>
          <w:b/>
          <w:bCs/>
          <w:sz w:val="28"/>
          <w:szCs w:val="28"/>
        </w:rPr>
        <w:t>20</w:t>
      </w:r>
      <w:r>
        <w:rPr>
          <w:rFonts w:hint="eastAsia" w:eastAsia="黑体"/>
          <w:b/>
          <w:bCs/>
          <w:sz w:val="28"/>
          <w:szCs w:val="28"/>
          <w:lang w:val="en-US" w:eastAsia="zh-CN"/>
        </w:rPr>
        <w:t>19</w:t>
      </w:r>
      <w:r>
        <w:rPr>
          <w:rFonts w:hint="eastAsia" w:eastAsia="黑体" w:cs="黑体"/>
          <w:b/>
          <w:bCs/>
          <w:sz w:val="28"/>
          <w:szCs w:val="28"/>
        </w:rPr>
        <w:t>年</w:t>
      </w:r>
      <w:r>
        <w:rPr>
          <w:rFonts w:hint="eastAsia" w:eastAsia="黑体"/>
          <w:b/>
          <w:bCs/>
          <w:sz w:val="28"/>
          <w:szCs w:val="28"/>
          <w:lang w:val="en-US" w:eastAsia="zh-CN"/>
        </w:rPr>
        <w:t>8</w:t>
      </w:r>
      <w:r>
        <w:rPr>
          <w:rFonts w:hint="eastAsia" w:eastAsia="黑体" w:cs="黑体"/>
          <w:b/>
          <w:bCs/>
          <w:sz w:val="28"/>
          <w:szCs w:val="28"/>
        </w:rPr>
        <w:t>月</w:t>
      </w:r>
    </w:p>
    <w:p>
      <w:pPr>
        <w:jc w:val="center"/>
        <w:rPr>
          <w:rFonts w:eastAsia="黑体" w:cs="黑体"/>
          <w:b/>
          <w:bCs/>
          <w:sz w:val="28"/>
          <w:szCs w:val="28"/>
        </w:rPr>
      </w:pPr>
    </w:p>
    <w:p>
      <w:pPr>
        <w:jc w:val="center"/>
        <w:rPr>
          <w:rFonts w:eastAsia="黑体" w:cs="黑体"/>
          <w:b/>
          <w:bCs/>
          <w:sz w:val="28"/>
          <w:szCs w:val="28"/>
        </w:rPr>
      </w:pPr>
    </w:p>
    <w:p>
      <w:pPr>
        <w:jc w:val="center"/>
        <w:rPr>
          <w:rFonts w:eastAsia="黑体" w:cs="黑体"/>
          <w:b/>
          <w:bCs/>
          <w:sz w:val="28"/>
          <w:szCs w:val="28"/>
        </w:rPr>
      </w:pPr>
    </w:p>
    <w:p>
      <w:pPr>
        <w:jc w:val="center"/>
        <w:rPr>
          <w:rFonts w:eastAsia="黑体" w:cs="黑体"/>
          <w:b/>
          <w:bCs/>
          <w:sz w:val="28"/>
          <w:szCs w:val="28"/>
        </w:rPr>
      </w:pPr>
    </w:p>
    <w:p>
      <w:pPr>
        <w:jc w:val="center"/>
        <w:rPr>
          <w:rFonts w:eastAsia="仿宋_GB2312"/>
          <w:b/>
          <w:bCs/>
          <w:sz w:val="28"/>
          <w:szCs w:val="28"/>
        </w:rPr>
      </w:pPr>
    </w:p>
    <w:p>
      <w:pPr>
        <w:widowControl/>
        <w:jc w:val="left"/>
        <w:rPr>
          <w:rFonts w:eastAsia="仿宋_GB2312"/>
          <w:b/>
          <w:bCs/>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19"/>
        <w:widowControl w:val="0"/>
        <w:spacing w:after="0" w:line="360" w:lineRule="auto"/>
        <w:ind w:left="420" w:leftChars="200"/>
        <w:jc w:val="both"/>
        <w:rPr>
          <w:rFonts w:ascii="Times New Roman" w:hAnsi="Times New Roman" w:eastAsia="黑体" w:cs="Times New Roman"/>
          <w:kern w:val="2"/>
          <w:sz w:val="24"/>
          <w:szCs w:val="24"/>
          <w:lang w:val="zh-TW" w:eastAsia="zh-TW"/>
        </w:rPr>
      </w:pPr>
      <w:r>
        <w:rPr>
          <w:rFonts w:hint="eastAsia" w:ascii="Times New Roman" w:hAnsi="Times New Roman" w:eastAsia="黑体" w:cs="黑体"/>
          <w:kern w:val="2"/>
          <w:sz w:val="24"/>
          <w:szCs w:val="24"/>
          <w:lang w:val="zh-TW" w:eastAsia="zh-TW"/>
        </w:rPr>
        <w:t>评价小组成员：</w:t>
      </w:r>
    </w:p>
    <w:tbl>
      <w:tblPr>
        <w:tblStyle w:val="9"/>
        <w:tblpPr w:leftFromText="180" w:rightFromText="180" w:vertAnchor="text" w:horzAnchor="margin" w:tblpY="72"/>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620"/>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620"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620"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621"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21"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组长</w:t>
            </w:r>
          </w:p>
        </w:tc>
        <w:tc>
          <w:tcPr>
            <w:tcW w:w="1620" w:type="dxa"/>
          </w:tcPr>
          <w:p>
            <w:pPr>
              <w:pStyle w:val="19"/>
              <w:widowControl w:val="0"/>
              <w:spacing w:after="0" w:line="240" w:lineRule="auto"/>
              <w:jc w:val="center"/>
              <w:rPr>
                <w:rFonts w:hint="eastAsia" w:ascii="仿宋_GB2312" w:hAnsi="仿宋_GB2312" w:eastAsia="仿宋_GB2312" w:cs="仿宋_GB2312"/>
                <w:kern w:val="2"/>
                <w:sz w:val="24"/>
                <w:szCs w:val="24"/>
                <w:lang w:val="zh-TW" w:eastAsia="zh-CN"/>
              </w:rPr>
            </w:pPr>
            <w:r>
              <w:rPr>
                <w:rFonts w:hint="eastAsia" w:ascii="仿宋_GB2312" w:hAnsi="仿宋_GB2312" w:eastAsia="仿宋_GB2312" w:cs="仿宋_GB2312"/>
                <w:kern w:val="2"/>
                <w:sz w:val="24"/>
                <w:szCs w:val="24"/>
                <w:lang w:val="zh-TW" w:eastAsia="zh-CN"/>
              </w:rPr>
              <w:t>吴聪</w:t>
            </w:r>
          </w:p>
        </w:tc>
        <w:tc>
          <w:tcPr>
            <w:tcW w:w="1620" w:type="dxa"/>
          </w:tcPr>
          <w:p>
            <w:pPr>
              <w:pStyle w:val="19"/>
              <w:widowControl w:val="0"/>
              <w:spacing w:after="0" w:line="240" w:lineRule="auto"/>
              <w:jc w:val="center"/>
              <w:rPr>
                <w:rFonts w:hint="eastAsia" w:ascii="仿宋_GB2312" w:hAnsi="仿宋_GB2312" w:eastAsia="仿宋_GB2312" w:cs="仿宋_GB2312"/>
                <w:kern w:val="2"/>
                <w:sz w:val="24"/>
                <w:szCs w:val="24"/>
                <w:lang w:val="zh-TW" w:eastAsia="zh-CN"/>
              </w:rPr>
            </w:pPr>
            <w:r>
              <w:rPr>
                <w:rFonts w:hint="eastAsia" w:ascii="仿宋_GB2312" w:hAnsi="仿宋_GB2312" w:eastAsia="仿宋_GB2312" w:cs="仿宋_GB2312"/>
                <w:kern w:val="2"/>
                <w:sz w:val="24"/>
                <w:szCs w:val="24"/>
                <w:lang w:val="zh-TW" w:eastAsia="zh-CN"/>
              </w:rPr>
              <w:t>局长</w:t>
            </w:r>
          </w:p>
        </w:tc>
        <w:tc>
          <w:tcPr>
            <w:tcW w:w="1621" w:type="dxa"/>
          </w:tcPr>
          <w:p>
            <w:pPr>
              <w:pStyle w:val="19"/>
              <w:widowControl w:val="0"/>
              <w:spacing w:after="0" w:line="240" w:lineRule="auto"/>
              <w:jc w:val="both"/>
              <w:rPr>
                <w:rFonts w:ascii="Times New Roman" w:hAnsi="Times New Roman" w:eastAsia="黑体" w:cs="黑体"/>
                <w:kern w:val="2"/>
                <w:sz w:val="24"/>
                <w:szCs w:val="24"/>
                <w:lang w:val="zh-TW" w:eastAsia="zh-TW"/>
              </w:rPr>
            </w:pPr>
          </w:p>
        </w:tc>
        <w:tc>
          <w:tcPr>
            <w:tcW w:w="1621" w:type="dxa"/>
          </w:tcPr>
          <w:p>
            <w:pPr>
              <w:pStyle w:val="19"/>
              <w:widowControl w:val="0"/>
              <w:spacing w:after="0" w:line="24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9"/>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pPr>
              <w:pStyle w:val="19"/>
              <w:widowControl w:val="0"/>
              <w:spacing w:after="0" w:line="360" w:lineRule="auto"/>
              <w:jc w:val="center"/>
              <w:rPr>
                <w:rFonts w:hint="eastAsia" w:ascii="仿宋_GB2312" w:hAnsi="仿宋_GB2312" w:eastAsia="仿宋_GB2312" w:cs="仿宋_GB2312"/>
                <w:kern w:val="2"/>
                <w:sz w:val="24"/>
                <w:szCs w:val="24"/>
                <w:lang w:val="zh-TW" w:eastAsia="zh-CN"/>
              </w:rPr>
            </w:pPr>
            <w:r>
              <w:rPr>
                <w:rFonts w:hint="eastAsia" w:ascii="仿宋_GB2312" w:hAnsi="仿宋_GB2312" w:eastAsia="仿宋_GB2312" w:cs="仿宋_GB2312"/>
                <w:kern w:val="2"/>
                <w:sz w:val="24"/>
                <w:szCs w:val="24"/>
                <w:lang w:val="zh-TW" w:eastAsia="zh-CN"/>
              </w:rPr>
              <w:t>肖远昆</w:t>
            </w:r>
          </w:p>
        </w:tc>
        <w:tc>
          <w:tcPr>
            <w:tcW w:w="1620" w:type="dxa"/>
          </w:tcPr>
          <w:p>
            <w:pPr>
              <w:pStyle w:val="19"/>
              <w:widowControl w:val="0"/>
              <w:spacing w:after="0" w:line="360" w:lineRule="auto"/>
              <w:jc w:val="center"/>
              <w:rPr>
                <w:rFonts w:hint="eastAsia" w:ascii="仿宋_GB2312" w:hAnsi="仿宋_GB2312" w:eastAsia="仿宋_GB2312" w:cs="仿宋_GB2312"/>
                <w:kern w:val="2"/>
                <w:sz w:val="24"/>
                <w:szCs w:val="24"/>
                <w:lang w:val="zh-TW" w:eastAsia="zh-CN"/>
              </w:rPr>
            </w:pPr>
            <w:r>
              <w:rPr>
                <w:rFonts w:hint="eastAsia" w:ascii="仿宋_GB2312" w:hAnsi="仿宋_GB2312" w:eastAsia="仿宋_GB2312" w:cs="仿宋_GB2312"/>
                <w:kern w:val="2"/>
                <w:sz w:val="24"/>
                <w:szCs w:val="24"/>
                <w:lang w:val="zh-TW" w:eastAsia="zh-CN"/>
              </w:rPr>
              <w:t>副局长</w:t>
            </w:r>
          </w:p>
        </w:tc>
        <w:tc>
          <w:tcPr>
            <w:tcW w:w="1621" w:type="dxa"/>
          </w:tcPr>
          <w:p>
            <w:pPr>
              <w:pStyle w:val="19"/>
              <w:widowControl w:val="0"/>
              <w:spacing w:after="0" w:line="360" w:lineRule="auto"/>
              <w:jc w:val="both"/>
              <w:rPr>
                <w:rFonts w:ascii="Times New Roman" w:hAnsi="Times New Roman" w:eastAsia="黑体" w:cs="黑体"/>
                <w:kern w:val="2"/>
                <w:sz w:val="24"/>
                <w:szCs w:val="24"/>
                <w:lang w:val="zh-TW" w:eastAsia="zh-TW"/>
              </w:rPr>
            </w:pPr>
          </w:p>
        </w:tc>
        <w:tc>
          <w:tcPr>
            <w:tcW w:w="1621" w:type="dxa"/>
          </w:tcPr>
          <w:p>
            <w:pPr>
              <w:pStyle w:val="19"/>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9"/>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19"/>
              <w:widowControl w:val="0"/>
              <w:spacing w:after="0" w:line="360" w:lineRule="auto"/>
              <w:jc w:val="center"/>
              <w:rPr>
                <w:rFonts w:hint="eastAsia" w:ascii="仿宋_GB2312" w:hAnsi="仿宋_GB2312" w:eastAsia="仿宋_GB2312" w:cs="仿宋_GB2312"/>
                <w:kern w:val="2"/>
                <w:sz w:val="24"/>
                <w:szCs w:val="24"/>
                <w:lang w:val="zh-TW" w:eastAsia="zh-CN"/>
              </w:rPr>
            </w:pPr>
            <w:r>
              <w:rPr>
                <w:rFonts w:hint="eastAsia" w:ascii="仿宋_GB2312" w:hAnsi="仿宋_GB2312" w:eastAsia="仿宋_GB2312" w:cs="仿宋_GB2312"/>
                <w:kern w:val="2"/>
                <w:sz w:val="24"/>
                <w:szCs w:val="24"/>
                <w:lang w:val="zh-TW" w:eastAsia="zh-CN"/>
              </w:rPr>
              <w:t>黄林坤</w:t>
            </w:r>
          </w:p>
        </w:tc>
        <w:tc>
          <w:tcPr>
            <w:tcW w:w="1620" w:type="dxa"/>
          </w:tcPr>
          <w:p>
            <w:pPr>
              <w:pStyle w:val="19"/>
              <w:widowControl w:val="0"/>
              <w:spacing w:after="0" w:line="360" w:lineRule="auto"/>
              <w:jc w:val="center"/>
              <w:rPr>
                <w:rFonts w:hint="eastAsia" w:ascii="仿宋_GB2312" w:hAnsi="仿宋_GB2312" w:eastAsia="仿宋_GB2312" w:cs="仿宋_GB2312"/>
                <w:kern w:val="2"/>
                <w:sz w:val="24"/>
                <w:szCs w:val="24"/>
                <w:lang w:val="zh-TW" w:eastAsia="zh-CN"/>
              </w:rPr>
            </w:pPr>
            <w:r>
              <w:rPr>
                <w:rFonts w:hint="eastAsia" w:ascii="仿宋_GB2312" w:hAnsi="仿宋_GB2312" w:eastAsia="仿宋_GB2312" w:cs="仿宋_GB2312"/>
                <w:kern w:val="2"/>
                <w:sz w:val="24"/>
                <w:szCs w:val="24"/>
                <w:lang w:val="zh-TW" w:eastAsia="zh-CN"/>
              </w:rPr>
              <w:t>科长</w:t>
            </w:r>
          </w:p>
        </w:tc>
        <w:tc>
          <w:tcPr>
            <w:tcW w:w="1621" w:type="dxa"/>
          </w:tcPr>
          <w:p>
            <w:pPr>
              <w:pStyle w:val="19"/>
              <w:widowControl w:val="0"/>
              <w:spacing w:after="0" w:line="360" w:lineRule="auto"/>
              <w:jc w:val="center"/>
              <w:rPr>
                <w:rFonts w:hint="eastAsia" w:ascii="仿宋_GB2312" w:hAnsi="仿宋_GB2312" w:eastAsia="仿宋_GB2312" w:cs="仿宋_GB2312"/>
                <w:kern w:val="2"/>
                <w:sz w:val="24"/>
                <w:szCs w:val="24"/>
                <w:lang w:val="zh-TW" w:eastAsia="zh-CN"/>
              </w:rPr>
            </w:pPr>
            <w:bookmarkStart w:id="0" w:name="_GoBack"/>
            <w:bookmarkEnd w:id="0"/>
          </w:p>
        </w:tc>
        <w:tc>
          <w:tcPr>
            <w:tcW w:w="1621" w:type="dxa"/>
          </w:tcPr>
          <w:p>
            <w:pPr>
              <w:pStyle w:val="19"/>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19"/>
              <w:widowControl w:val="0"/>
              <w:spacing w:after="0" w:line="360" w:lineRule="auto"/>
              <w:jc w:val="center"/>
              <w:rPr>
                <w:rFonts w:ascii="Times New Roman" w:hAnsi="Times New Roman" w:eastAsia="黑体" w:cs="黑体"/>
                <w:kern w:val="2"/>
                <w:sz w:val="24"/>
                <w:szCs w:val="24"/>
                <w:lang w:val="zh-TW"/>
              </w:rPr>
            </w:pPr>
          </w:p>
        </w:tc>
        <w:tc>
          <w:tcPr>
            <w:tcW w:w="1620" w:type="dxa"/>
          </w:tcPr>
          <w:p>
            <w:pPr>
              <w:pStyle w:val="19"/>
              <w:widowControl w:val="0"/>
              <w:spacing w:after="0" w:line="360" w:lineRule="auto"/>
              <w:jc w:val="center"/>
              <w:rPr>
                <w:rFonts w:hint="eastAsia" w:ascii="仿宋_GB2312" w:hAnsi="仿宋_GB2312" w:eastAsia="仿宋_GB2312" w:cs="仿宋_GB2312"/>
                <w:kern w:val="2"/>
                <w:sz w:val="24"/>
                <w:szCs w:val="24"/>
                <w:lang w:val="zh-TW" w:eastAsia="zh-CN"/>
              </w:rPr>
            </w:pPr>
            <w:r>
              <w:rPr>
                <w:rFonts w:hint="eastAsia" w:ascii="仿宋_GB2312" w:hAnsi="仿宋_GB2312" w:eastAsia="仿宋_GB2312" w:cs="仿宋_GB2312"/>
                <w:kern w:val="2"/>
                <w:sz w:val="24"/>
                <w:szCs w:val="24"/>
                <w:lang w:val="zh-TW" w:eastAsia="zh-CN"/>
              </w:rPr>
              <w:t>王涛</w:t>
            </w:r>
          </w:p>
        </w:tc>
        <w:tc>
          <w:tcPr>
            <w:tcW w:w="1620" w:type="dxa"/>
          </w:tcPr>
          <w:p>
            <w:pPr>
              <w:pStyle w:val="19"/>
              <w:widowControl w:val="0"/>
              <w:spacing w:after="0" w:line="360" w:lineRule="auto"/>
              <w:jc w:val="center"/>
              <w:rPr>
                <w:rFonts w:hint="eastAsia" w:ascii="仿宋_GB2312" w:hAnsi="仿宋_GB2312" w:eastAsia="仿宋_GB2312" w:cs="仿宋_GB2312"/>
                <w:kern w:val="2"/>
                <w:sz w:val="24"/>
                <w:szCs w:val="24"/>
                <w:lang w:val="zh-TW" w:eastAsia="zh-CN"/>
              </w:rPr>
            </w:pPr>
            <w:r>
              <w:rPr>
                <w:rFonts w:hint="eastAsia" w:ascii="仿宋_GB2312" w:hAnsi="仿宋_GB2312" w:eastAsia="仿宋_GB2312" w:cs="仿宋_GB2312"/>
                <w:kern w:val="2"/>
                <w:sz w:val="24"/>
                <w:szCs w:val="24"/>
                <w:lang w:val="zh-TW" w:eastAsia="zh-CN"/>
              </w:rPr>
              <w:t>科长</w:t>
            </w:r>
          </w:p>
        </w:tc>
        <w:tc>
          <w:tcPr>
            <w:tcW w:w="1621" w:type="dxa"/>
          </w:tcPr>
          <w:p>
            <w:pPr>
              <w:pStyle w:val="19"/>
              <w:widowControl w:val="0"/>
              <w:spacing w:after="0" w:line="360" w:lineRule="auto"/>
              <w:jc w:val="center"/>
              <w:rPr>
                <w:rFonts w:hint="eastAsia" w:ascii="仿宋_GB2312" w:hAnsi="仿宋_GB2312" w:eastAsia="仿宋_GB2312" w:cs="仿宋_GB2312"/>
                <w:kern w:val="2"/>
                <w:sz w:val="24"/>
                <w:szCs w:val="24"/>
                <w:lang w:val="zh-TW" w:eastAsia="zh-CN"/>
              </w:rPr>
            </w:pPr>
            <w:r>
              <w:rPr>
                <w:rFonts w:hint="eastAsia" w:ascii="仿宋_GB2312" w:hAnsi="仿宋_GB2312" w:eastAsia="仿宋_GB2312" w:cs="仿宋_GB2312"/>
                <w:kern w:val="2"/>
                <w:sz w:val="24"/>
                <w:szCs w:val="24"/>
                <w:lang w:val="zh-TW" w:eastAsia="zh-CN"/>
              </w:rPr>
              <w:t>财务科</w:t>
            </w:r>
          </w:p>
        </w:tc>
        <w:tc>
          <w:tcPr>
            <w:tcW w:w="1621" w:type="dxa"/>
          </w:tcPr>
          <w:p>
            <w:pPr>
              <w:pStyle w:val="19"/>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8102" w:type="dxa"/>
            <w:gridSpan w:val="5"/>
          </w:tcPr>
          <w:p>
            <w:pPr>
              <w:pStyle w:val="1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w:t>
            </w:r>
          </w:p>
          <w:p>
            <w:pPr>
              <w:pStyle w:val="19"/>
              <w:widowControl w:val="0"/>
              <w:spacing w:after="0" w:line="360" w:lineRule="auto"/>
              <w:jc w:val="both"/>
              <w:rPr>
                <w:rFonts w:ascii="Times New Roman" w:hAnsi="Times New Roman" w:eastAsia="黑体" w:cs="黑体"/>
                <w:kern w:val="2"/>
                <w:sz w:val="24"/>
                <w:szCs w:val="24"/>
                <w:lang w:val="zh-TW"/>
              </w:rPr>
            </w:pPr>
          </w:p>
          <w:p>
            <w:pPr>
              <w:pStyle w:val="19"/>
              <w:widowControl w:val="0"/>
              <w:spacing w:after="0" w:line="360" w:lineRule="auto"/>
              <w:jc w:val="both"/>
              <w:rPr>
                <w:rFonts w:ascii="Times New Roman" w:hAnsi="Times New Roman" w:eastAsia="黑体" w:cs="黑体"/>
                <w:kern w:val="2"/>
                <w:sz w:val="24"/>
                <w:szCs w:val="24"/>
                <w:lang w:val="zh-TW"/>
              </w:rPr>
            </w:pPr>
          </w:p>
          <w:p>
            <w:pPr>
              <w:pStyle w:val="19"/>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8102" w:type="dxa"/>
            <w:gridSpan w:val="5"/>
          </w:tcPr>
          <w:p>
            <w:pPr>
              <w:pStyle w:val="1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w:t>
            </w:r>
          </w:p>
          <w:p>
            <w:pPr>
              <w:pStyle w:val="19"/>
              <w:widowControl w:val="0"/>
              <w:spacing w:after="0" w:line="360" w:lineRule="auto"/>
              <w:jc w:val="both"/>
              <w:rPr>
                <w:rFonts w:ascii="Times New Roman" w:hAnsi="Times New Roman" w:eastAsia="黑体" w:cs="黑体"/>
                <w:kern w:val="2"/>
                <w:sz w:val="24"/>
                <w:szCs w:val="24"/>
                <w:lang w:val="zh-TW"/>
              </w:rPr>
            </w:pPr>
          </w:p>
          <w:p>
            <w:pPr>
              <w:pStyle w:val="19"/>
              <w:widowControl w:val="0"/>
              <w:spacing w:after="0" w:line="360" w:lineRule="auto"/>
              <w:jc w:val="both"/>
              <w:rPr>
                <w:rFonts w:ascii="Times New Roman" w:hAnsi="Times New Roman" w:eastAsia="黑体" w:cs="黑体"/>
                <w:kern w:val="2"/>
                <w:sz w:val="24"/>
                <w:szCs w:val="24"/>
                <w:lang w:val="zh-TW"/>
              </w:rPr>
            </w:pPr>
          </w:p>
          <w:p>
            <w:pPr>
              <w:pStyle w:val="19"/>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bl>
    <w:p>
      <w:pPr>
        <w:pStyle w:val="19"/>
        <w:widowControl w:val="0"/>
        <w:spacing w:after="0" w:line="360" w:lineRule="auto"/>
        <w:ind w:firstLine="566" w:firstLineChars="236"/>
        <w:jc w:val="both"/>
        <w:rPr>
          <w:rFonts w:ascii="Times New Roman" w:hAnsi="Times New Roman" w:eastAsia="PMingLiU" w:cs="Times New Roman"/>
          <w:kern w:val="2"/>
          <w:sz w:val="24"/>
          <w:szCs w:val="24"/>
          <w:lang w:val="zh-TW" w:eastAsia="zh-TW"/>
        </w:rPr>
      </w:pPr>
    </w:p>
    <w:p>
      <w:pPr>
        <w:pStyle w:val="19"/>
        <w:widowControl w:val="0"/>
        <w:spacing w:after="0" w:line="360" w:lineRule="auto"/>
        <w:jc w:val="both"/>
        <w:rPr>
          <w:rFonts w:ascii="Times New Roman" w:hAnsi="Times New Roman" w:cs="Times New Roman"/>
          <w:kern w:val="2"/>
          <w:sz w:val="24"/>
          <w:szCs w:val="24"/>
          <w:lang w:val="zh-TW"/>
        </w:rPr>
        <w:sectPr>
          <w:pgSz w:w="11906" w:h="16838"/>
          <w:pgMar w:top="1440" w:right="1800" w:bottom="1440" w:left="1800" w:header="851" w:footer="992" w:gutter="0"/>
          <w:cols w:space="425" w:num="1"/>
          <w:docGrid w:type="lines" w:linePitch="312" w:charSpace="0"/>
        </w:sectPr>
      </w:pPr>
    </w:p>
    <w:p>
      <w:pPr>
        <w:pStyle w:val="18"/>
        <w:jc w:val="center"/>
        <w:rPr>
          <w:rFonts w:ascii="Times New Roman" w:hAnsi="Times New Roman" w:cs="Times New Roman"/>
          <w:color w:val="auto"/>
        </w:rPr>
      </w:pPr>
      <w:r>
        <w:rPr>
          <w:rFonts w:hint="eastAsia" w:ascii="Times New Roman" w:hAnsi="Times New Roman" w:cs="宋体"/>
          <w:color w:val="auto"/>
          <w:lang w:val="zh-CN"/>
        </w:rPr>
        <w:t>目录</w:t>
      </w:r>
    </w:p>
    <w:p>
      <w:pPr>
        <w:spacing w:line="440" w:lineRule="exact"/>
        <w:ind w:firstLine="420" w:firstLineChars="200"/>
        <w:jc w:val="left"/>
        <w:rPr>
          <w:rFonts w:ascii="黑体" w:hAnsi="黑体" w:eastAsia="黑体"/>
          <w:szCs w:val="32"/>
        </w:rPr>
      </w:pPr>
      <w:r>
        <w:rPr>
          <w:rFonts w:hint="eastAsia" w:ascii="黑体" w:hAnsi="黑体" w:eastAsia="黑体"/>
          <w:szCs w:val="32"/>
        </w:rPr>
        <w:t>摘要</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一、 项目基本情况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（一）项目立项背景</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（二）项目立项依据 </w:t>
      </w:r>
    </w:p>
    <w:p>
      <w:pPr>
        <w:spacing w:line="440" w:lineRule="exact"/>
        <w:ind w:firstLine="420" w:firstLineChars="200"/>
        <w:jc w:val="left"/>
        <w:rPr>
          <w:rFonts w:ascii="黑体" w:hAnsi="黑体" w:eastAsia="黑体"/>
          <w:szCs w:val="32"/>
        </w:rPr>
      </w:pPr>
      <w:r>
        <w:rPr>
          <w:rFonts w:hint="eastAsia" w:ascii="黑体" w:hAnsi="黑体" w:eastAsia="黑体"/>
          <w:szCs w:val="32"/>
        </w:rPr>
        <w:t>（三）项目实施内容</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（四）项目实施计划及完成情况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（五）项目的组织及管理</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（六）项目绩效目标 </w:t>
      </w:r>
    </w:p>
    <w:p>
      <w:pPr>
        <w:spacing w:line="440" w:lineRule="exact"/>
        <w:ind w:firstLine="420" w:firstLineChars="200"/>
        <w:jc w:val="left"/>
        <w:rPr>
          <w:rFonts w:ascii="黑体" w:hAnsi="黑体" w:eastAsia="黑体"/>
          <w:szCs w:val="32"/>
        </w:rPr>
      </w:pPr>
      <w:r>
        <w:rPr>
          <w:rFonts w:hint="eastAsia" w:ascii="黑体" w:hAnsi="黑体" w:eastAsia="黑体"/>
          <w:szCs w:val="32"/>
        </w:rPr>
        <w:t>二、绩效评价工作情况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三、评价结论及绩效分析 </w:t>
      </w:r>
    </w:p>
    <w:p>
      <w:pPr>
        <w:spacing w:line="440" w:lineRule="exact"/>
        <w:ind w:firstLine="420" w:firstLineChars="200"/>
        <w:jc w:val="left"/>
        <w:rPr>
          <w:rFonts w:ascii="黑体" w:hAnsi="黑体" w:eastAsia="黑体"/>
          <w:szCs w:val="32"/>
        </w:rPr>
      </w:pPr>
      <w:r>
        <w:rPr>
          <w:rFonts w:hint="eastAsia" w:ascii="黑体" w:hAnsi="黑体" w:eastAsia="黑体"/>
          <w:szCs w:val="32"/>
        </w:rPr>
        <w:t>(一)评价结论</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(二)绩效分析</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四、项目主要经验及做法、存在的问题和建议 </w:t>
      </w:r>
    </w:p>
    <w:p>
      <w:pPr>
        <w:spacing w:line="440" w:lineRule="exact"/>
        <w:ind w:firstLine="420" w:firstLineChars="200"/>
        <w:jc w:val="left"/>
        <w:rPr>
          <w:rFonts w:ascii="黑体" w:hAnsi="黑体" w:eastAsia="黑体"/>
          <w:szCs w:val="32"/>
        </w:rPr>
      </w:pPr>
      <w:r>
        <w:rPr>
          <w:rFonts w:hint="eastAsia" w:ascii="黑体" w:hAnsi="黑体" w:eastAsia="黑体"/>
          <w:szCs w:val="32"/>
        </w:rPr>
        <w:t>(</w:t>
      </w:r>
      <w:r>
        <w:rPr>
          <w:rFonts w:hint="eastAsia" w:ascii="黑体" w:hAnsi="黑体" w:eastAsia="黑体"/>
          <w:szCs w:val="32"/>
          <w:lang w:eastAsia="zh-CN"/>
        </w:rPr>
        <w:t>一</w:t>
      </w:r>
      <w:r>
        <w:rPr>
          <w:rFonts w:hint="eastAsia" w:ascii="黑体" w:hAnsi="黑体" w:eastAsia="黑体"/>
          <w:szCs w:val="32"/>
        </w:rPr>
        <w:t>)存在的问题</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w:t>
      </w:r>
      <w:r>
        <w:rPr>
          <w:rFonts w:hint="eastAsia" w:ascii="黑体" w:hAnsi="黑体" w:eastAsia="黑体"/>
          <w:szCs w:val="32"/>
          <w:lang w:eastAsia="zh-CN"/>
        </w:rPr>
        <w:t>二</w:t>
      </w:r>
      <w:r>
        <w:rPr>
          <w:rFonts w:hint="eastAsia" w:ascii="黑体" w:hAnsi="黑体" w:eastAsia="黑体"/>
          <w:szCs w:val="32"/>
        </w:rPr>
        <w:t xml:space="preserve">)建议和改进措施 </w:t>
      </w: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ascii="黑体" w:hAnsi="黑体" w:eastAsia="黑体"/>
          <w:szCs w:val="32"/>
        </w:rPr>
      </w:pPr>
      <w:r>
        <w:rPr>
          <w:rFonts w:hint="eastAsia" w:ascii="黑体" w:hAnsi="黑体" w:eastAsia="黑体"/>
          <w:szCs w:val="32"/>
        </w:rPr>
        <w:tab/>
      </w:r>
      <w:r>
        <w:rPr>
          <w:rFonts w:hint="eastAsia" w:ascii="黑体" w:hAnsi="黑体" w:eastAsia="黑体"/>
          <w:szCs w:val="32"/>
        </w:rPr>
        <w:t xml:space="preserve">  </w:t>
      </w:r>
    </w:p>
    <w:p>
      <w:pPr>
        <w:spacing w:line="540" w:lineRule="exact"/>
        <w:rPr>
          <w:rFonts w:ascii="方正小标宋_GBK" w:hAnsi="黑体" w:eastAsia="方正小标宋_GBK"/>
          <w:szCs w:val="32"/>
        </w:rPr>
      </w:pPr>
    </w:p>
    <w:p>
      <w:pPr>
        <w:spacing w:line="440" w:lineRule="exact"/>
        <w:jc w:val="center"/>
        <w:rPr>
          <w:rFonts w:hint="eastAsia" w:ascii="方正小标宋_GBK" w:eastAsia="方正小标宋_GBK"/>
          <w:sz w:val="36"/>
          <w:szCs w:val="36"/>
        </w:rPr>
      </w:pPr>
      <w:r>
        <w:rPr>
          <w:rFonts w:hint="eastAsia" w:ascii="方正小标宋_GBK" w:eastAsia="方正小标宋_GBK"/>
          <w:sz w:val="36"/>
          <w:szCs w:val="36"/>
        </w:rPr>
        <w:t>湖滨湿地管护资金支出绩效自评报告</w:t>
      </w:r>
    </w:p>
    <w:p>
      <w:pPr>
        <w:spacing w:line="440" w:lineRule="exact"/>
        <w:jc w:val="center"/>
        <w:rPr>
          <w:rFonts w:hint="eastAsia" w:ascii="方正小标宋_GBK" w:eastAsia="方正小标宋_GBK"/>
          <w:sz w:val="36"/>
          <w:szCs w:val="36"/>
        </w:rPr>
      </w:pPr>
    </w:p>
    <w:p>
      <w:pPr>
        <w:spacing w:line="440" w:lineRule="exact"/>
        <w:ind w:firstLine="640" w:firstLineChars="200"/>
        <w:jc w:val="center"/>
        <w:rPr>
          <w:rFonts w:ascii="方正小标宋_GBK" w:hAnsi="黑体" w:eastAsia="方正小标宋_GBK"/>
          <w:sz w:val="32"/>
          <w:szCs w:val="32"/>
        </w:rPr>
      </w:pPr>
      <w:r>
        <w:rPr>
          <w:rFonts w:hint="eastAsia" w:ascii="方正小标宋_GBK" w:hAnsi="黑体" w:eastAsia="方正小标宋_GBK"/>
          <w:sz w:val="32"/>
          <w:szCs w:val="32"/>
        </w:rPr>
        <w:t>摘要</w:t>
      </w:r>
    </w:p>
    <w:p>
      <w:pPr>
        <w:widowControl/>
        <w:shd w:val="clear" w:color="auto" w:fill="FFFFFF"/>
        <w:spacing w:line="560" w:lineRule="exact"/>
        <w:ind w:firstLine="641"/>
        <w:jc w:val="left"/>
        <w:rPr>
          <w:rFonts w:hint="default" w:ascii="仿宋_GB2312" w:hAnsi="宋体" w:eastAsia="仿宋_GB2312" w:cs="宋体"/>
          <w:kern w:val="0"/>
          <w:sz w:val="32"/>
          <w:szCs w:val="32"/>
          <w:lang w:val="en-US" w:eastAsia="zh-CN"/>
        </w:rPr>
      </w:pPr>
      <w:r>
        <w:rPr>
          <w:rFonts w:hint="eastAsia" w:ascii="仿宋_GB2312" w:hAnsi="仿宋_GB2312" w:eastAsia="仿宋_GB2312" w:cs="仿宋_GB2312"/>
          <w:sz w:val="32"/>
          <w:szCs w:val="32"/>
        </w:rPr>
        <w:t>根据《晋宁县人民政府办公室关于印发晋宁县滇池湖滨湿地管护实施方案的通知》（晋政办通〔2014〕41号）要求，</w:t>
      </w:r>
      <w:r>
        <w:rPr>
          <w:rFonts w:hint="eastAsia" w:ascii="仿宋_GB2312" w:hAnsi="宋体" w:eastAsia="仿宋_GB2312" w:cs="宋体"/>
          <w:kern w:val="0"/>
          <w:sz w:val="32"/>
          <w:szCs w:val="32"/>
        </w:rPr>
        <w:t>按照“</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级统筹、职能部门及镇（街道）管理”的原则，以昆阳、上蒜、晋城三个镇（街道）为管理主体，对滇池（河口湿地除外）湖滨生态湿地8854.71亩（昆阳街道4303.76亩、上蒜镇1697.44亩、晋城镇2853.51亩）</w:t>
      </w:r>
      <w:r>
        <w:rPr>
          <w:rFonts w:hint="eastAsia" w:ascii="仿宋_GB2312" w:hAnsi="宋体" w:eastAsia="仿宋_GB2312" w:cs="宋体"/>
          <w:kern w:val="0"/>
          <w:sz w:val="32"/>
          <w:szCs w:val="32"/>
          <w:lang w:eastAsia="zh-CN"/>
        </w:rPr>
        <w:t>进行管护，</w:t>
      </w:r>
      <w:r>
        <w:rPr>
          <w:rFonts w:hint="eastAsia" w:ascii="仿宋_GB2312" w:eastAsia="仿宋_GB2312"/>
          <w:color w:val="000000"/>
          <w:sz w:val="32"/>
          <w:szCs w:val="32"/>
        </w:rPr>
        <w:t>我</w:t>
      </w:r>
      <w:r>
        <w:rPr>
          <w:rFonts w:hint="eastAsia" w:ascii="仿宋_GB2312" w:eastAsia="仿宋_GB2312"/>
          <w:color w:val="000000"/>
          <w:sz w:val="32"/>
          <w:szCs w:val="32"/>
          <w:lang w:eastAsia="zh-CN"/>
        </w:rPr>
        <w:t>局</w:t>
      </w:r>
      <w:r>
        <w:rPr>
          <w:rFonts w:hint="eastAsia" w:ascii="仿宋_GB2312" w:eastAsia="仿宋_GB2312"/>
          <w:color w:val="000000"/>
          <w:sz w:val="32"/>
          <w:szCs w:val="32"/>
        </w:rPr>
        <w:t>强化滇池湖滨生态湿地管护</w:t>
      </w:r>
      <w:r>
        <w:rPr>
          <w:rFonts w:hint="eastAsia" w:ascii="仿宋_GB2312" w:eastAsia="仿宋_GB2312"/>
          <w:color w:val="000000"/>
          <w:sz w:val="32"/>
          <w:szCs w:val="32"/>
          <w:lang w:eastAsia="zh-CN"/>
        </w:rPr>
        <w:t>工作的监督管理</w:t>
      </w:r>
      <w:r>
        <w:rPr>
          <w:rFonts w:hint="eastAsia" w:ascii="仿宋_GB2312" w:eastAsia="仿宋_GB2312"/>
          <w:color w:val="000000"/>
          <w:sz w:val="32"/>
          <w:szCs w:val="32"/>
        </w:rPr>
        <w:t>，加强巡查检查力度，</w:t>
      </w:r>
      <w:r>
        <w:rPr>
          <w:rFonts w:hint="eastAsia" w:ascii="仿宋_GB2312" w:eastAsia="仿宋_GB2312"/>
          <w:sz w:val="32"/>
          <w:szCs w:val="32"/>
        </w:rPr>
        <w:t>督促涉及的镇（街道）</w:t>
      </w:r>
      <w:r>
        <w:rPr>
          <w:rFonts w:hint="eastAsia" w:ascii="仿宋_GB2312" w:eastAsia="仿宋_GB2312"/>
          <w:sz w:val="32"/>
          <w:szCs w:val="32"/>
          <w:lang w:eastAsia="zh-CN"/>
        </w:rPr>
        <w:t>做</w:t>
      </w:r>
      <w:r>
        <w:rPr>
          <w:rFonts w:hint="eastAsia" w:ascii="仿宋_GB2312" w:eastAsia="仿宋_GB2312"/>
          <w:sz w:val="32"/>
          <w:szCs w:val="32"/>
        </w:rPr>
        <w:t>好管护工作</w:t>
      </w:r>
      <w:r>
        <w:rPr>
          <w:rFonts w:hint="eastAsia" w:ascii="仿宋_GB2312" w:eastAsia="仿宋_GB2312"/>
          <w:sz w:val="32"/>
          <w:szCs w:val="32"/>
          <w:lang w:eastAsia="zh-CN"/>
        </w:rPr>
        <w:t>，并对管护工作进行考核，按考核结果拨付管护资金。</w:t>
      </w:r>
      <w:r>
        <w:rPr>
          <w:rFonts w:hint="eastAsia" w:ascii="仿宋_GB2312" w:hAnsi="宋体" w:eastAsia="仿宋_GB2312" w:cs="宋体"/>
          <w:kern w:val="0"/>
          <w:sz w:val="32"/>
          <w:szCs w:val="32"/>
          <w:lang w:eastAsia="zh-CN"/>
        </w:rPr>
        <w:t>目前</w:t>
      </w:r>
      <w:r>
        <w:rPr>
          <w:rFonts w:hint="eastAsia" w:ascii="仿宋_GB2312" w:hAnsi="仿宋_GB2312" w:eastAsia="仿宋_GB2312" w:cs="仿宋_GB2312"/>
          <w:sz w:val="32"/>
          <w:szCs w:val="32"/>
        </w:rPr>
        <w:t>已完成201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年度管护工作，且各项绩效指标达到要求</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拨付资金</w:t>
      </w:r>
      <w:r>
        <w:rPr>
          <w:rFonts w:hint="eastAsia" w:ascii="仿宋_GB2312" w:eastAsia="仿宋_GB2312"/>
          <w:sz w:val="32"/>
          <w:szCs w:val="32"/>
          <w:lang w:val="en-US" w:eastAsia="zh-CN"/>
        </w:rPr>
        <w:t>45.36万元（其中：</w:t>
      </w:r>
      <w:r>
        <w:rPr>
          <w:rFonts w:hint="eastAsia" w:ascii="仿宋_GB2312" w:hAnsi="宋体" w:eastAsia="仿宋_GB2312" w:cs="宋体"/>
          <w:kern w:val="0"/>
          <w:sz w:val="32"/>
          <w:szCs w:val="32"/>
        </w:rPr>
        <w:t>昆阳</w:t>
      </w:r>
      <w:r>
        <w:rPr>
          <w:rFonts w:hint="eastAsia" w:ascii="仿宋_GB2312" w:hAnsi="宋体" w:eastAsia="仿宋_GB2312" w:cs="宋体"/>
          <w:kern w:val="0"/>
          <w:sz w:val="32"/>
          <w:szCs w:val="32"/>
          <w:lang w:eastAsia="zh-CN"/>
        </w:rPr>
        <w:t>街道办</w:t>
      </w:r>
      <w:r>
        <w:rPr>
          <w:rFonts w:hint="eastAsia" w:ascii="仿宋_GB2312" w:hAnsi="宋体" w:eastAsia="仿宋_GB2312" w:cs="宋体"/>
          <w:kern w:val="0"/>
          <w:sz w:val="32"/>
          <w:szCs w:val="32"/>
          <w:lang w:val="en-US" w:eastAsia="zh-CN"/>
        </w:rPr>
        <w:t>10.08万元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上蒜</w:t>
      </w:r>
      <w:r>
        <w:rPr>
          <w:rFonts w:hint="eastAsia" w:ascii="仿宋_GB2312" w:hAnsi="宋体" w:eastAsia="仿宋_GB2312" w:cs="宋体"/>
          <w:kern w:val="0"/>
          <w:sz w:val="32"/>
          <w:szCs w:val="32"/>
          <w:lang w:eastAsia="zh-CN"/>
        </w:rPr>
        <w:t>镇</w:t>
      </w:r>
      <w:r>
        <w:rPr>
          <w:rFonts w:hint="eastAsia" w:ascii="仿宋_GB2312" w:hAnsi="宋体" w:eastAsia="仿宋_GB2312" w:cs="宋体"/>
          <w:kern w:val="0"/>
          <w:sz w:val="32"/>
          <w:szCs w:val="32"/>
          <w:lang w:val="en-US" w:eastAsia="zh-CN"/>
        </w:rPr>
        <w:t>10.08万元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晋城</w:t>
      </w:r>
      <w:r>
        <w:rPr>
          <w:rFonts w:hint="eastAsia" w:ascii="仿宋_GB2312" w:hAnsi="宋体" w:eastAsia="仿宋_GB2312" w:cs="宋体"/>
          <w:kern w:val="0"/>
          <w:sz w:val="32"/>
          <w:szCs w:val="32"/>
          <w:lang w:eastAsia="zh-CN"/>
        </w:rPr>
        <w:t>镇</w:t>
      </w:r>
      <w:r>
        <w:rPr>
          <w:rFonts w:hint="eastAsia" w:ascii="仿宋_GB2312" w:hAnsi="宋体" w:eastAsia="仿宋_GB2312" w:cs="宋体"/>
          <w:kern w:val="0"/>
          <w:sz w:val="32"/>
          <w:szCs w:val="32"/>
          <w:lang w:val="en-US" w:eastAsia="zh-CN"/>
        </w:rPr>
        <w:t>24.48万元</w:t>
      </w:r>
      <w:r>
        <w:rPr>
          <w:rFonts w:hint="eastAsia" w:ascii="仿宋_GB2312" w:eastAsia="仿宋_GB2312"/>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hAnsi="宋体" w:eastAsia="仿宋_GB2312" w:cs="宋体"/>
          <w:kern w:val="0"/>
          <w:sz w:val="32"/>
          <w:szCs w:val="32"/>
          <w:lang w:eastAsia="zh-CN"/>
        </w:rPr>
        <w:t>湿地管护工作中存在的问题：一是</w:t>
      </w:r>
      <w:r>
        <w:rPr>
          <w:rFonts w:hint="eastAsia" w:ascii="仿宋_GB2312" w:hAnsi="仿宋" w:eastAsia="仿宋_GB2312" w:cs="宋体"/>
          <w:sz w:val="32"/>
          <w:szCs w:val="32"/>
          <w:lang w:val="en-US" w:eastAsia="zh-CN"/>
        </w:rPr>
        <w:t>部分湿地内</w:t>
      </w:r>
      <w:r>
        <w:rPr>
          <w:rFonts w:hint="eastAsia" w:ascii="仿宋_GB2312" w:eastAsia="仿宋_GB2312"/>
          <w:sz w:val="32"/>
          <w:szCs w:val="32"/>
          <w:lang w:eastAsia="zh-CN"/>
        </w:rPr>
        <w:t>有</w:t>
      </w:r>
      <w:r>
        <w:rPr>
          <w:rFonts w:hint="eastAsia" w:ascii="仿宋_GB2312" w:eastAsia="仿宋_GB2312"/>
          <w:sz w:val="32"/>
          <w:szCs w:val="32"/>
        </w:rPr>
        <w:t>垃圾</w:t>
      </w:r>
      <w:r>
        <w:rPr>
          <w:rFonts w:hint="eastAsia" w:ascii="仿宋_GB2312" w:eastAsia="仿宋_GB2312"/>
          <w:sz w:val="32"/>
          <w:szCs w:val="32"/>
          <w:lang w:eastAsia="zh-CN"/>
        </w:rPr>
        <w:t>未清理，</w:t>
      </w:r>
      <w:r>
        <w:rPr>
          <w:rFonts w:hint="eastAsia" w:ascii="仿宋_GB2312" w:eastAsia="仿宋_GB2312"/>
          <w:sz w:val="32"/>
          <w:szCs w:val="32"/>
        </w:rPr>
        <w:t>出现复耕复种现象</w:t>
      </w:r>
      <w:r>
        <w:rPr>
          <w:rFonts w:hint="eastAsia" w:ascii="仿宋_GB2312" w:eastAsia="仿宋_GB2312"/>
          <w:sz w:val="32"/>
          <w:szCs w:val="32"/>
          <w:lang w:eastAsia="zh-CN"/>
        </w:rPr>
        <w:t>；二是</w:t>
      </w:r>
      <w:r>
        <w:rPr>
          <w:rFonts w:hint="eastAsia" w:eastAsia="仿宋_GB2312"/>
          <w:sz w:val="32"/>
          <w:lang w:eastAsia="zh-CN"/>
        </w:rPr>
        <w:t>我区湖滨湿地面积广、湖岸线长，湖滨湿地内干枯、腐烂植物收割成本高、难度大，仅区财政安排资金难以承担湿地内干枯、腐烂植物收割处置等费用。</w:t>
      </w:r>
      <w:r>
        <w:rPr>
          <w:rFonts w:hint="eastAsia" w:ascii="仿宋_GB2312" w:eastAsia="仿宋_GB2312"/>
          <w:sz w:val="32"/>
          <w:szCs w:val="32"/>
          <w:lang w:eastAsia="zh-CN"/>
        </w:rPr>
        <w:t>针对存在问题，建议</w:t>
      </w:r>
      <w:r>
        <w:rPr>
          <w:rFonts w:hint="eastAsia" w:ascii="仿宋_GB2312" w:eastAsia="仿宋_GB2312"/>
          <w:sz w:val="32"/>
          <w:szCs w:val="32"/>
        </w:rPr>
        <w:t>各镇（街道）及时清除湿地内复耕复种植物，并加强巡查、检查及管护力度，对湿地内乱倒垃圾、侵占湿地等行为及时制止，确保湿地功能正常发挥，生态效益得以显现。</w:t>
      </w:r>
    </w:p>
    <w:p>
      <w:pPr>
        <w:spacing w:line="440" w:lineRule="exact"/>
        <w:ind w:firstLine="420" w:firstLineChars="200"/>
        <w:jc w:val="center"/>
        <w:rPr>
          <w:rFonts w:hint="eastAsia" w:ascii="黑体" w:hAnsi="黑体" w:eastAsia="黑体"/>
          <w:szCs w:val="32"/>
        </w:rPr>
      </w:pPr>
    </w:p>
    <w:p>
      <w:pPr>
        <w:spacing w:line="440" w:lineRule="exact"/>
        <w:ind w:firstLine="420" w:firstLineChars="200"/>
        <w:jc w:val="center"/>
        <w:rPr>
          <w:rFonts w:hint="eastAsia" w:ascii="黑体" w:hAnsi="黑体" w:eastAsia="黑体"/>
          <w:szCs w:val="32"/>
        </w:rPr>
      </w:pPr>
    </w:p>
    <w:p>
      <w:pPr>
        <w:spacing w:line="440" w:lineRule="exact"/>
        <w:ind w:firstLine="420" w:firstLineChars="200"/>
        <w:jc w:val="center"/>
        <w:rPr>
          <w:rFonts w:hint="eastAsia" w:ascii="黑体" w:hAnsi="黑体" w:eastAsia="黑体"/>
          <w:szCs w:val="32"/>
        </w:rPr>
      </w:pPr>
    </w:p>
    <w:p>
      <w:pPr>
        <w:spacing w:line="440" w:lineRule="exact"/>
        <w:ind w:firstLine="420" w:firstLineChars="200"/>
        <w:jc w:val="center"/>
        <w:rPr>
          <w:rFonts w:hint="eastAsia" w:ascii="黑体" w:hAnsi="黑体" w:eastAsia="黑体"/>
          <w:szCs w:val="32"/>
        </w:rPr>
      </w:pPr>
    </w:p>
    <w:p>
      <w:pPr>
        <w:spacing w:line="440" w:lineRule="exact"/>
        <w:jc w:val="center"/>
        <w:rPr>
          <w:rFonts w:hint="eastAsia" w:ascii="方正小标宋_GBK" w:eastAsia="方正小标宋_GBK"/>
          <w:sz w:val="36"/>
          <w:szCs w:val="36"/>
        </w:rPr>
      </w:pPr>
      <w:r>
        <w:rPr>
          <w:rFonts w:hint="eastAsia" w:ascii="方正小标宋_GBK" w:eastAsia="方正小标宋_GBK"/>
          <w:sz w:val="36"/>
          <w:szCs w:val="36"/>
        </w:rPr>
        <w:t>湖滨湿地管护资金支出绩效自评报告</w:t>
      </w:r>
    </w:p>
    <w:p>
      <w:pPr>
        <w:spacing w:line="440" w:lineRule="exact"/>
        <w:ind w:firstLine="420" w:firstLineChars="200"/>
        <w:jc w:val="center"/>
        <w:rPr>
          <w:rFonts w:hint="eastAsia" w:ascii="黑体" w:hAnsi="黑体" w:eastAsia="黑体"/>
          <w:szCs w:val="32"/>
        </w:rPr>
      </w:pPr>
    </w:p>
    <w:p>
      <w:pPr>
        <w:widowControl/>
        <w:shd w:val="clear" w:color="auto" w:fill="FFFFFF"/>
        <w:spacing w:line="560" w:lineRule="exact"/>
        <w:ind w:firstLine="641"/>
        <w:jc w:val="left"/>
        <w:rPr>
          <w:rFonts w:hint="eastAsia" w:ascii="黑体" w:hAnsi="黑体" w:eastAsia="黑体" w:cs="宋体"/>
          <w:kern w:val="0"/>
          <w:sz w:val="32"/>
          <w:szCs w:val="32"/>
        </w:rPr>
      </w:pPr>
      <w:r>
        <w:rPr>
          <w:rFonts w:hint="eastAsia" w:ascii="黑体" w:hAnsi="黑体" w:eastAsia="黑体" w:cs="宋体"/>
          <w:kern w:val="0"/>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宋体"/>
          <w:sz w:val="32"/>
          <w:szCs w:val="32"/>
        </w:rPr>
      </w:pPr>
      <w:r>
        <w:rPr>
          <w:rFonts w:hint="eastAsia" w:ascii="楷体" w:hAnsi="楷体" w:eastAsia="楷体" w:cs="宋体"/>
          <w:sz w:val="32"/>
          <w:szCs w:val="32"/>
        </w:rPr>
        <w:t>（一）项目概况</w:t>
      </w:r>
    </w:p>
    <w:p>
      <w:pPr>
        <w:topLinePunct/>
        <w:spacing w:line="54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1.立项背景及目的</w:t>
      </w:r>
    </w:p>
    <w:p>
      <w:pPr>
        <w:widowControl/>
        <w:shd w:val="clear" w:color="auto" w:fill="FFFFFF"/>
        <w:spacing w:line="560" w:lineRule="exact"/>
        <w:ind w:firstLine="641"/>
        <w:jc w:val="left"/>
        <w:rPr>
          <w:rFonts w:hint="eastAsia" w:ascii="仿宋_GB2312" w:hAnsi="宋体" w:eastAsia="仿宋_GB2312"/>
          <w:sz w:val="32"/>
          <w:szCs w:val="32"/>
          <w:shd w:val="clear" w:color="auto" w:fill="FFFFFF"/>
        </w:rPr>
      </w:pPr>
      <w:r>
        <w:rPr>
          <w:rFonts w:hint="eastAsia" w:ascii="仿宋_GB2312" w:hAnsi="仿宋_GB2312" w:eastAsia="仿宋_GB2312" w:cs="仿宋_GB2312"/>
          <w:sz w:val="32"/>
          <w:szCs w:val="32"/>
        </w:rPr>
        <w:t>根据《晋宁县人民政府办公室关于印发晋宁县滇池湖滨湿地管护实施方案的通知》（晋政办通〔2014〕41号）要求，</w:t>
      </w:r>
      <w:r>
        <w:rPr>
          <w:rFonts w:hint="eastAsia" w:ascii="仿宋_GB2312" w:hAnsi="宋体" w:eastAsia="仿宋_GB2312" w:cs="宋体"/>
          <w:kern w:val="0"/>
          <w:sz w:val="32"/>
          <w:szCs w:val="32"/>
        </w:rPr>
        <w:t>按照“</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级统筹、职能部门及镇（街道）管理”的原则，以昆阳、上蒜、晋城三个镇（街道）为管理主体，对滇池（河口湿地除外）湖滨生态湿地8854.71亩（昆阳街道4303.76亩、上蒜镇1697.44亩、晋城镇2853.51亩）</w:t>
      </w:r>
      <w:r>
        <w:rPr>
          <w:rFonts w:hint="eastAsia" w:ascii="仿宋_GB2312" w:hAnsi="宋体" w:eastAsia="仿宋_GB2312" w:cs="宋体"/>
          <w:kern w:val="0"/>
          <w:sz w:val="32"/>
          <w:szCs w:val="32"/>
          <w:lang w:eastAsia="zh-CN"/>
        </w:rPr>
        <w:t>进行管护。</w:t>
      </w:r>
      <w:r>
        <w:rPr>
          <w:rFonts w:hint="eastAsia" w:ascii="仿宋_GB2312" w:hAnsi="宋体" w:eastAsia="仿宋_GB2312"/>
          <w:sz w:val="32"/>
          <w:szCs w:val="32"/>
          <w:shd w:val="clear" w:color="auto" w:fill="FFFFFF"/>
        </w:rPr>
        <w:t>计划投入资金</w:t>
      </w:r>
      <w:r>
        <w:rPr>
          <w:rFonts w:hint="eastAsia" w:ascii="仿宋_GB2312" w:hAnsi="宋体" w:eastAsia="仿宋_GB2312"/>
          <w:sz w:val="32"/>
          <w:szCs w:val="32"/>
          <w:shd w:val="clear" w:color="auto" w:fill="FFFFFF"/>
          <w:lang w:val="en-US" w:eastAsia="zh-CN"/>
        </w:rPr>
        <w:t>54.432</w:t>
      </w:r>
      <w:r>
        <w:rPr>
          <w:rFonts w:hint="eastAsia" w:ascii="仿宋_GB2312" w:hAnsi="宋体" w:eastAsia="仿宋_GB2312"/>
          <w:sz w:val="32"/>
          <w:szCs w:val="32"/>
          <w:shd w:val="clear" w:color="auto" w:fill="FFFFFF"/>
        </w:rPr>
        <w:t>万元，通过科学的管护方法、规范的操作流程和合理的资金投入来不断提升管护水平</w:t>
      </w:r>
      <w:r>
        <w:rPr>
          <w:rFonts w:hint="eastAsia" w:ascii="仿宋_GB2312" w:hAnsi="宋体" w:eastAsia="仿宋_GB2312"/>
          <w:sz w:val="32"/>
          <w:szCs w:val="32"/>
          <w:shd w:val="clear" w:color="auto" w:fill="FFFFFF"/>
          <w:lang w:eastAsia="zh-CN"/>
        </w:rPr>
        <w:t>。</w:t>
      </w:r>
    </w:p>
    <w:p>
      <w:pPr>
        <w:keepNext w:val="0"/>
        <w:keepLines w:val="0"/>
        <w:pageBreakBefore w:val="0"/>
        <w:kinsoku/>
        <w:wordWrap/>
        <w:overflowPunct/>
        <w:topLinePunct/>
        <w:autoSpaceDE/>
        <w:autoSpaceDN/>
        <w:bidi w:val="0"/>
        <w:adjustRightInd/>
        <w:snapToGrid/>
        <w:spacing w:line="540" w:lineRule="exact"/>
        <w:ind w:firstLine="640" w:firstLineChars="200"/>
        <w:textAlignment w:val="auto"/>
        <w:rPr>
          <w:rFonts w:hint="eastAsia" w:ascii="宋体" w:hAnsi="宋体" w:eastAsia="宋体" w:cs="宋体"/>
          <w:sz w:val="32"/>
          <w:szCs w:val="32"/>
        </w:rPr>
      </w:pPr>
      <w:r>
        <w:rPr>
          <w:rFonts w:hint="eastAsia" w:ascii="宋体" w:hAnsi="宋体" w:cs="宋体"/>
          <w:sz w:val="32"/>
          <w:szCs w:val="32"/>
          <w:lang w:val="en-US" w:eastAsia="zh-CN"/>
        </w:rPr>
        <w:t>2.</w:t>
      </w:r>
      <w:r>
        <w:rPr>
          <w:rFonts w:hint="eastAsia" w:ascii="宋体" w:hAnsi="宋体" w:eastAsia="宋体" w:cs="宋体"/>
          <w:sz w:val="32"/>
          <w:szCs w:val="32"/>
        </w:rPr>
        <w:t>项目实施情况</w:t>
      </w:r>
    </w:p>
    <w:p>
      <w:pPr>
        <w:widowControl/>
        <w:shd w:val="clear" w:color="auto" w:fill="FFFFFF"/>
        <w:spacing w:line="560" w:lineRule="exact"/>
        <w:ind w:firstLine="641"/>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按照“</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级统筹、职能部门及镇（街道）管理”的原则，以昆阳、上蒜、晋城三个镇（街道）为管理主体，已招聘管护人员，并签订管护合同，在管护合同期限内完成湿地管护任务。</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3.资金来源及使用情况</w:t>
      </w:r>
    </w:p>
    <w:p>
      <w:pPr>
        <w:keepNext w:val="0"/>
        <w:keepLines w:val="0"/>
        <w:pageBreakBefore w:val="0"/>
        <w:numPr>
          <w:ilvl w:val="0"/>
          <w:numId w:val="0"/>
        </w:numPr>
        <w:kinsoku/>
        <w:wordWrap/>
        <w:overflowPunct/>
        <w:topLinePunct/>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资金来源：区级财政</w:t>
      </w:r>
    </w:p>
    <w:p>
      <w:pPr>
        <w:keepNext w:val="0"/>
        <w:keepLines w:val="0"/>
        <w:pageBreakBefore w:val="0"/>
        <w:numPr>
          <w:ilvl w:val="0"/>
          <w:numId w:val="0"/>
        </w:numPr>
        <w:kinsoku/>
        <w:wordWrap/>
        <w:overflowPunct/>
        <w:topLinePunct/>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使用情况：</w:t>
      </w:r>
      <w:r>
        <w:rPr>
          <w:rFonts w:hint="eastAsia" w:ascii="仿宋_GB2312" w:hAnsi="仿宋_GB2312" w:eastAsia="仿宋_GB2312" w:cs="仿宋_GB2312"/>
          <w:kern w:val="0"/>
          <w:sz w:val="32"/>
          <w:szCs w:val="32"/>
          <w:lang w:bidi="ar"/>
        </w:rPr>
        <w:t>实际到位资金</w:t>
      </w:r>
      <w:r>
        <w:rPr>
          <w:rFonts w:hint="eastAsia" w:ascii="仿宋_GB2312" w:hAnsi="仿宋_GB2312" w:eastAsia="仿宋_GB2312" w:cs="仿宋_GB2312"/>
          <w:kern w:val="0"/>
          <w:sz w:val="32"/>
          <w:szCs w:val="32"/>
          <w:lang w:val="en-US" w:eastAsia="zh-CN" w:bidi="ar"/>
        </w:rPr>
        <w:t>54.432</w:t>
      </w:r>
      <w:r>
        <w:rPr>
          <w:rFonts w:hint="eastAsia" w:ascii="仿宋_GB2312" w:hAnsi="仿宋_GB2312" w:eastAsia="仿宋_GB2312" w:cs="仿宋_GB2312"/>
          <w:kern w:val="0"/>
          <w:sz w:val="32"/>
          <w:szCs w:val="32"/>
          <w:lang w:bidi="ar"/>
        </w:rPr>
        <w:t>万元，实际支出</w:t>
      </w:r>
      <w:r>
        <w:rPr>
          <w:rFonts w:hint="eastAsia" w:ascii="仿宋_GB2312" w:eastAsia="仿宋_GB2312"/>
          <w:sz w:val="32"/>
          <w:szCs w:val="32"/>
          <w:lang w:val="en-US" w:eastAsia="zh-CN"/>
        </w:rPr>
        <w:t>45.36</w:t>
      </w:r>
      <w:r>
        <w:rPr>
          <w:rFonts w:hint="eastAsia" w:ascii="仿宋_GB2312" w:hAnsi="仿宋_GB2312" w:eastAsia="仿宋_GB2312" w:cs="仿宋_GB2312"/>
          <w:kern w:val="0"/>
          <w:sz w:val="32"/>
          <w:szCs w:val="32"/>
          <w:lang w:bidi="ar"/>
        </w:rPr>
        <w:t>万元</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4.组织及管理情况</w:t>
      </w:r>
    </w:p>
    <w:p>
      <w:pPr>
        <w:widowControl/>
        <w:shd w:val="clear" w:color="auto" w:fill="FFFFFF"/>
        <w:spacing w:line="560" w:lineRule="exact"/>
        <w:ind w:firstLine="641"/>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按照“</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级统筹、职能部门及镇（街道）管理”的原则，以昆阳、上蒜、晋城三个镇（街道）为管理主体，</w:t>
      </w:r>
      <w:r>
        <w:rPr>
          <w:rFonts w:hint="eastAsia" w:ascii="仿宋_GB2312" w:eastAsia="仿宋_GB2312"/>
          <w:color w:val="000000"/>
          <w:sz w:val="32"/>
          <w:szCs w:val="32"/>
        </w:rPr>
        <w:t>我</w:t>
      </w:r>
      <w:r>
        <w:rPr>
          <w:rFonts w:hint="eastAsia" w:ascii="仿宋_GB2312" w:eastAsia="仿宋_GB2312"/>
          <w:color w:val="000000"/>
          <w:sz w:val="32"/>
          <w:szCs w:val="32"/>
          <w:lang w:eastAsia="zh-CN"/>
        </w:rPr>
        <w:t>局</w:t>
      </w:r>
      <w:r>
        <w:rPr>
          <w:rFonts w:hint="eastAsia" w:ascii="仿宋_GB2312" w:eastAsia="仿宋_GB2312"/>
          <w:color w:val="000000"/>
          <w:sz w:val="32"/>
          <w:szCs w:val="32"/>
        </w:rPr>
        <w:t>强化滇池湖滨生态湿地管护</w:t>
      </w:r>
      <w:r>
        <w:rPr>
          <w:rFonts w:hint="eastAsia" w:ascii="仿宋_GB2312" w:eastAsia="仿宋_GB2312"/>
          <w:color w:val="000000"/>
          <w:sz w:val="32"/>
          <w:szCs w:val="32"/>
          <w:lang w:eastAsia="zh-CN"/>
        </w:rPr>
        <w:t>工作</w:t>
      </w:r>
      <w:r>
        <w:rPr>
          <w:rFonts w:hint="eastAsia" w:ascii="仿宋_GB2312" w:eastAsia="仿宋_GB2312"/>
          <w:color w:val="000000"/>
          <w:sz w:val="32"/>
          <w:szCs w:val="32"/>
        </w:rPr>
        <w:t>的监督管理，加强巡查检查力度，</w:t>
      </w:r>
      <w:r>
        <w:rPr>
          <w:rFonts w:hint="eastAsia" w:ascii="仿宋_GB2312" w:eastAsia="仿宋_GB2312"/>
          <w:sz w:val="32"/>
          <w:szCs w:val="32"/>
        </w:rPr>
        <w:t>督促涉及的镇（街道）、好管护工作</w:t>
      </w:r>
      <w:r>
        <w:rPr>
          <w:rFonts w:hint="eastAsia" w:ascii="仿宋_GB2312" w:eastAsia="仿宋_GB2312"/>
          <w:sz w:val="32"/>
          <w:szCs w:val="32"/>
          <w:lang w:eastAsia="zh-CN"/>
        </w:rPr>
        <w:t>，并对管护工作进行考核，按考核结果拨付管护资金，目前已拨付资金</w:t>
      </w:r>
      <w:r>
        <w:rPr>
          <w:rFonts w:hint="eastAsia" w:ascii="仿宋_GB2312" w:eastAsia="仿宋_GB2312"/>
          <w:sz w:val="32"/>
          <w:szCs w:val="32"/>
          <w:lang w:val="en-US" w:eastAsia="zh-CN"/>
        </w:rPr>
        <w:t>45.36万元（其中：</w:t>
      </w:r>
      <w:r>
        <w:rPr>
          <w:rFonts w:hint="eastAsia" w:ascii="仿宋_GB2312" w:hAnsi="宋体" w:eastAsia="仿宋_GB2312" w:cs="宋体"/>
          <w:kern w:val="0"/>
          <w:sz w:val="32"/>
          <w:szCs w:val="32"/>
        </w:rPr>
        <w:t>昆阳</w:t>
      </w:r>
      <w:r>
        <w:rPr>
          <w:rFonts w:hint="eastAsia" w:ascii="仿宋_GB2312" w:hAnsi="宋体" w:eastAsia="仿宋_GB2312" w:cs="宋体"/>
          <w:kern w:val="0"/>
          <w:sz w:val="32"/>
          <w:szCs w:val="32"/>
          <w:lang w:eastAsia="zh-CN"/>
        </w:rPr>
        <w:t>街道办</w:t>
      </w:r>
      <w:r>
        <w:rPr>
          <w:rFonts w:hint="eastAsia" w:ascii="仿宋_GB2312" w:hAnsi="宋体" w:eastAsia="仿宋_GB2312" w:cs="宋体"/>
          <w:kern w:val="0"/>
          <w:sz w:val="32"/>
          <w:szCs w:val="32"/>
          <w:lang w:val="en-US" w:eastAsia="zh-CN"/>
        </w:rPr>
        <w:t>10.08万元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上蒜</w:t>
      </w:r>
      <w:r>
        <w:rPr>
          <w:rFonts w:hint="eastAsia" w:ascii="仿宋_GB2312" w:hAnsi="宋体" w:eastAsia="仿宋_GB2312" w:cs="宋体"/>
          <w:kern w:val="0"/>
          <w:sz w:val="32"/>
          <w:szCs w:val="32"/>
          <w:lang w:eastAsia="zh-CN"/>
        </w:rPr>
        <w:t>镇</w:t>
      </w:r>
      <w:r>
        <w:rPr>
          <w:rFonts w:hint="eastAsia" w:ascii="仿宋_GB2312" w:hAnsi="宋体" w:eastAsia="仿宋_GB2312" w:cs="宋体"/>
          <w:kern w:val="0"/>
          <w:sz w:val="32"/>
          <w:szCs w:val="32"/>
          <w:lang w:val="en-US" w:eastAsia="zh-CN"/>
        </w:rPr>
        <w:t>10.08万元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晋城</w:t>
      </w:r>
      <w:r>
        <w:rPr>
          <w:rFonts w:hint="eastAsia" w:ascii="仿宋_GB2312" w:hAnsi="宋体" w:eastAsia="仿宋_GB2312" w:cs="宋体"/>
          <w:kern w:val="0"/>
          <w:sz w:val="32"/>
          <w:szCs w:val="32"/>
          <w:lang w:eastAsia="zh-CN"/>
        </w:rPr>
        <w:t>镇</w:t>
      </w:r>
      <w:r>
        <w:rPr>
          <w:rFonts w:hint="eastAsia" w:ascii="仿宋_GB2312" w:hAnsi="宋体" w:eastAsia="仿宋_GB2312" w:cs="宋体"/>
          <w:kern w:val="0"/>
          <w:sz w:val="32"/>
          <w:szCs w:val="32"/>
          <w:lang w:val="en-US" w:eastAsia="zh-CN"/>
        </w:rPr>
        <w:t>24.48万元</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宋体"/>
          <w:sz w:val="32"/>
          <w:szCs w:val="32"/>
        </w:rPr>
      </w:pPr>
      <w:r>
        <w:rPr>
          <w:rFonts w:hint="eastAsia" w:ascii="楷体" w:hAnsi="楷体" w:eastAsia="楷体" w:cs="宋体"/>
          <w:sz w:val="32"/>
          <w:szCs w:val="32"/>
        </w:rPr>
        <w:t>（二）绩效目标</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宋体" w:hAnsi="宋体" w:cs="宋体"/>
          <w:sz w:val="32"/>
          <w:szCs w:val="32"/>
          <w:lang w:val="en-US" w:eastAsia="zh-CN"/>
        </w:rPr>
        <w:t>总目标</w:t>
      </w:r>
    </w:p>
    <w:p>
      <w:pPr>
        <w:topLinePunct/>
        <w:spacing w:line="540" w:lineRule="exact"/>
        <w:ind w:firstLine="800" w:firstLineChars="250"/>
        <w:rPr>
          <w:rFonts w:hint="eastAsia" w:ascii="仿宋_GB2312" w:hAnsi="楷体"/>
          <w:szCs w:val="32"/>
        </w:rPr>
      </w:pPr>
      <w:r>
        <w:rPr>
          <w:rFonts w:hint="eastAsia" w:ascii="仿宋_GB2312" w:hAnsi="宋体" w:eastAsia="仿宋_GB2312" w:cs="宋体"/>
          <w:kern w:val="0"/>
          <w:sz w:val="32"/>
          <w:szCs w:val="32"/>
        </w:rPr>
        <w:t>按照“</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级统筹、职能部门及镇（街道）管理”的原则，以昆阳、上蒜、晋城三个镇（街道）为管理主体，对滇池（河口湿地除外）湖滨生态湿地8854.71亩（昆阳街道4303.76亩、上蒜镇1697.44亩、晋城镇2853.51亩）</w:t>
      </w:r>
      <w:r>
        <w:rPr>
          <w:rFonts w:hint="eastAsia" w:ascii="仿宋_GB2312" w:hAnsi="宋体" w:eastAsia="仿宋_GB2312" w:cs="宋体"/>
          <w:kern w:val="0"/>
          <w:sz w:val="32"/>
          <w:szCs w:val="32"/>
          <w:lang w:eastAsia="zh-CN"/>
        </w:rPr>
        <w:t>进行管护，</w:t>
      </w:r>
      <w:r>
        <w:rPr>
          <w:rFonts w:hint="eastAsia" w:ascii="仿宋_GB2312" w:hAnsi="宋体" w:eastAsia="仿宋_GB2312" w:cs="宋体"/>
          <w:kern w:val="0"/>
          <w:sz w:val="32"/>
          <w:szCs w:val="32"/>
        </w:rPr>
        <w:t>通过科学的管护方法、规范的操作流程和合理的资金投入来不断提升管护水平，提升湿地生态景观，确保湿地的长效运行。</w:t>
      </w:r>
      <w:r>
        <w:rPr>
          <w:rFonts w:hint="eastAsia" w:ascii="宋体" w:hAnsi="宋体" w:eastAsia="仿宋_GB2312" w:cs="宋体"/>
          <w:kern w:val="0"/>
          <w:sz w:val="32"/>
          <w:szCs w:val="32"/>
        </w:rPr>
        <w:t> </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宋体" w:hAnsi="宋体" w:cs="宋体"/>
          <w:sz w:val="32"/>
          <w:szCs w:val="32"/>
          <w:lang w:val="en-US" w:eastAsia="zh-CN"/>
        </w:rPr>
        <w:t>年度目标</w:t>
      </w:r>
    </w:p>
    <w:p>
      <w:pPr>
        <w:topLinePunct/>
        <w:spacing w:line="540" w:lineRule="exact"/>
        <w:ind w:firstLine="800" w:firstLineChars="250"/>
        <w:rPr>
          <w:rFonts w:hint="eastAsia" w:ascii="仿宋_GB2312" w:hAnsi="宋体" w:eastAsia="仿宋_GB2312" w:cs="宋体"/>
          <w:kern w:val="0"/>
          <w:sz w:val="32"/>
          <w:szCs w:val="32"/>
        </w:rPr>
      </w:pPr>
      <w:r>
        <w:rPr>
          <w:rFonts w:hint="eastAsia" w:ascii="仿宋_GB2312" w:hAnsi="宋体" w:eastAsia="仿宋_GB2312"/>
          <w:sz w:val="32"/>
          <w:szCs w:val="32"/>
          <w:shd w:val="clear" w:color="auto" w:fill="FFFFFF"/>
          <w:lang w:val="en-US" w:eastAsia="zh-CN"/>
        </w:rPr>
        <w:t>2018年计划</w:t>
      </w:r>
      <w:r>
        <w:rPr>
          <w:rFonts w:hint="eastAsia" w:ascii="仿宋_GB2312" w:hAnsi="宋体" w:eastAsia="仿宋_GB2312"/>
          <w:sz w:val="32"/>
          <w:szCs w:val="32"/>
          <w:shd w:val="clear" w:color="auto" w:fill="FFFFFF"/>
        </w:rPr>
        <w:t>投入资金</w:t>
      </w:r>
      <w:r>
        <w:rPr>
          <w:rFonts w:hint="eastAsia" w:ascii="仿宋_GB2312" w:hAnsi="宋体" w:eastAsia="仿宋_GB2312"/>
          <w:sz w:val="32"/>
          <w:szCs w:val="32"/>
          <w:shd w:val="clear" w:color="auto" w:fill="FFFFFF"/>
          <w:lang w:val="en-US" w:eastAsia="zh-CN"/>
        </w:rPr>
        <w:t>54.432</w:t>
      </w:r>
      <w:r>
        <w:rPr>
          <w:rFonts w:hint="eastAsia" w:ascii="仿宋_GB2312" w:hAnsi="宋体" w:eastAsia="仿宋_GB2312"/>
          <w:sz w:val="32"/>
          <w:szCs w:val="32"/>
          <w:shd w:val="clear" w:color="auto" w:fill="FFFFFF"/>
        </w:rPr>
        <w:t>万元</w:t>
      </w:r>
      <w:r>
        <w:rPr>
          <w:rFonts w:hint="eastAsia" w:ascii="仿宋_GB2312" w:hAnsi="宋体" w:eastAsia="仿宋_GB2312"/>
          <w:sz w:val="32"/>
          <w:szCs w:val="32"/>
          <w:shd w:val="clear" w:color="auto" w:fill="FFFFFF"/>
          <w:lang w:eastAsia="zh-CN"/>
        </w:rPr>
        <w:t>，</w:t>
      </w:r>
      <w:r>
        <w:rPr>
          <w:rFonts w:hint="eastAsia" w:ascii="仿宋_GB2312" w:hAnsi="宋体" w:eastAsia="仿宋_GB2312" w:cs="宋体"/>
          <w:kern w:val="0"/>
          <w:sz w:val="32"/>
          <w:szCs w:val="32"/>
        </w:rPr>
        <w:t>以昆阳、上蒜、晋城三个镇（街道）为管理主体，对8854.71亩湖滨生态湿地（昆阳街道4303.76亩、上蒜镇1697.44亩、晋城镇2853.51亩）</w:t>
      </w:r>
      <w:r>
        <w:rPr>
          <w:rFonts w:hint="eastAsia" w:ascii="仿宋_GB2312" w:hAnsi="宋体" w:eastAsia="仿宋_GB2312" w:cs="宋体"/>
          <w:kern w:val="0"/>
          <w:sz w:val="32"/>
          <w:szCs w:val="32"/>
          <w:lang w:eastAsia="zh-CN"/>
        </w:rPr>
        <w:t>进行管护</w:t>
      </w:r>
      <w:r>
        <w:rPr>
          <w:rFonts w:hint="eastAsia" w:ascii="仿宋_GB2312" w:hAnsi="宋体" w:eastAsia="仿宋_GB2312" w:cs="宋体"/>
          <w:kern w:val="0"/>
          <w:sz w:val="32"/>
          <w:szCs w:val="32"/>
        </w:rPr>
        <w:t>，完成201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年度管护工作，且各项绩效指标达到要求。</w:t>
      </w:r>
    </w:p>
    <w:p>
      <w:pPr>
        <w:widowControl/>
        <w:shd w:val="clear" w:color="auto" w:fill="FFFFFF"/>
        <w:spacing w:line="560" w:lineRule="exact"/>
        <w:ind w:firstLine="641"/>
        <w:jc w:val="left"/>
        <w:rPr>
          <w:rFonts w:hint="eastAsia" w:ascii="黑体" w:hAnsi="黑体" w:eastAsia="黑体" w:cs="宋体"/>
          <w:kern w:val="0"/>
          <w:sz w:val="32"/>
          <w:szCs w:val="32"/>
        </w:rPr>
      </w:pPr>
      <w:r>
        <w:rPr>
          <w:rFonts w:hint="eastAsia" w:ascii="黑体" w:hAnsi="黑体" w:eastAsia="黑体" w:cs="宋体"/>
          <w:kern w:val="0"/>
          <w:sz w:val="32"/>
          <w:szCs w:val="32"/>
          <w:lang w:eastAsia="zh-CN"/>
        </w:rPr>
        <w:t>二、</w:t>
      </w:r>
      <w:r>
        <w:rPr>
          <w:rFonts w:hint="eastAsia" w:ascii="黑体" w:hAnsi="黑体" w:eastAsia="黑体" w:cs="宋体"/>
          <w:kern w:val="0"/>
          <w:sz w:val="32"/>
          <w:szCs w:val="32"/>
        </w:rPr>
        <w:t>绩效评价工作情况</w:t>
      </w:r>
    </w:p>
    <w:p>
      <w:pPr>
        <w:widowControl/>
        <w:shd w:val="clear" w:color="auto" w:fill="FFFFFF"/>
        <w:spacing w:line="560" w:lineRule="exact"/>
        <w:ind w:firstLine="641"/>
        <w:jc w:val="left"/>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公众建议意见，做好自评工作。</w:t>
      </w:r>
    </w:p>
    <w:p>
      <w:pPr>
        <w:widowControl/>
        <w:shd w:val="clear" w:color="auto" w:fill="FFFFFF"/>
        <w:spacing w:line="560" w:lineRule="exact"/>
        <w:ind w:firstLine="641"/>
        <w:jc w:val="left"/>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t>三、评价结论和绩效分析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宋体"/>
          <w:sz w:val="32"/>
          <w:szCs w:val="32"/>
        </w:rPr>
      </w:pPr>
      <w:r>
        <w:rPr>
          <w:rFonts w:hint="eastAsia" w:ascii="楷体" w:hAnsi="楷体" w:eastAsia="楷体" w:cs="宋体"/>
          <w:sz w:val="32"/>
          <w:szCs w:val="32"/>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已完成2018年度管护工作，且各项绩效指标达到要求。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主要绩效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sz w:val="32"/>
          <w:szCs w:val="32"/>
          <w:lang w:val="en-US" w:eastAsia="zh-CN"/>
        </w:rPr>
      </w:pPr>
      <w:r>
        <w:rPr>
          <w:rFonts w:hint="eastAsia" w:ascii="仿宋_GB2312" w:hAnsi="宋体" w:eastAsia="仿宋_GB2312" w:cs="宋体"/>
          <w:kern w:val="0"/>
          <w:sz w:val="32"/>
          <w:szCs w:val="32"/>
        </w:rPr>
        <w:t>按照“</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级统筹、职能部门及镇（街道）管理”的原则，以昆阳、上蒜、晋城三个镇（街道）为管理主体，对滇池（河口湿地除外）湖滨生态湿地8854.71亩（昆阳街道4303.76亩、上蒜镇1697.44亩、晋城镇2853.51亩）</w:t>
      </w:r>
      <w:r>
        <w:rPr>
          <w:rFonts w:hint="eastAsia" w:ascii="仿宋_GB2312" w:hAnsi="宋体" w:eastAsia="仿宋_GB2312" w:cs="宋体"/>
          <w:kern w:val="0"/>
          <w:sz w:val="32"/>
          <w:szCs w:val="32"/>
          <w:lang w:eastAsia="zh-CN"/>
        </w:rPr>
        <w:t>进行管护</w:t>
      </w:r>
      <w:r>
        <w:rPr>
          <w:rFonts w:hint="eastAsia" w:ascii="仿宋_GB2312" w:hAnsi="仿宋" w:eastAsia="仿宋_GB2312" w:cs="宋体"/>
          <w:sz w:val="32"/>
          <w:szCs w:val="32"/>
          <w:lang w:val="en-US" w:eastAsia="zh-CN"/>
        </w:rPr>
        <w:t>，实现“水清、岸绿、整洁”的目标，发挥湖滨生态湿地功能，维护生态平衡，促进经济社会的可持续发展。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宋体"/>
          <w:sz w:val="32"/>
          <w:szCs w:val="32"/>
        </w:rPr>
      </w:pPr>
      <w:r>
        <w:rPr>
          <w:rFonts w:hint="eastAsia" w:ascii="楷体" w:hAnsi="楷体" w:eastAsia="楷体" w:cs="宋体"/>
          <w:sz w:val="32"/>
          <w:szCs w:val="32"/>
        </w:rPr>
        <w:t>（二）具体绩效分析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 w:eastAsia="仿宋_GB2312" w:cs="宋体"/>
          <w:sz w:val="32"/>
          <w:szCs w:val="32"/>
          <w:lang w:val="en-US" w:eastAsia="zh-CN"/>
        </w:rPr>
        <w:t>经济效益：提升湿地生态景观，吸引大批市民到湿地观光，为管护人员提供就业岗位，提高当地人均收入。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 w:eastAsia="仿宋_GB2312" w:cs="宋体"/>
          <w:sz w:val="32"/>
          <w:szCs w:val="32"/>
          <w:lang w:val="en-US" w:eastAsia="zh-CN"/>
        </w:rPr>
        <w:t>社会效益：为公众提供了生态休闲旅游场所，借助湿地景观向公众宣传环境保护的重要性和环保意识。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 w:eastAsia="仿宋_GB2312" w:cs="宋体"/>
          <w:sz w:val="32"/>
          <w:szCs w:val="32"/>
          <w:lang w:val="en-US" w:eastAsia="zh-CN"/>
        </w:rPr>
        <w:t>生态效益：发挥湿地功能，维护生态平衡，减少河道水体入湖污染负荷，净化和改善水质，生物多样性逐步恢复。  </w:t>
      </w:r>
    </w:p>
    <w:p>
      <w:pPr>
        <w:topLinePunct/>
        <w:spacing w:line="540" w:lineRule="exact"/>
        <w:ind w:firstLine="800" w:firstLineChars="250"/>
        <w:rPr>
          <w:rFonts w:hint="eastAsia" w:ascii="黑体" w:hAnsi="黑体" w:eastAsia="黑体"/>
          <w:sz w:val="32"/>
          <w:szCs w:val="32"/>
        </w:rPr>
      </w:pPr>
      <w:r>
        <w:rPr>
          <w:rFonts w:hint="eastAsia" w:ascii="黑体" w:hAnsi="黑体" w:eastAsia="黑体"/>
          <w:sz w:val="32"/>
          <w:szCs w:val="32"/>
        </w:rPr>
        <w:t>四、成本效益分析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实际到位资金54.432万元，实际支出45.36元，结余资金9.072万元。</w:t>
      </w:r>
    </w:p>
    <w:p>
      <w:pPr>
        <w:topLinePunct/>
        <w:spacing w:line="540" w:lineRule="exact"/>
        <w:ind w:firstLine="800" w:firstLineChars="250"/>
        <w:rPr>
          <w:rFonts w:hint="eastAsia" w:ascii="黑体" w:hAnsi="黑体" w:eastAsia="黑体"/>
          <w:sz w:val="32"/>
          <w:szCs w:val="32"/>
        </w:rPr>
      </w:pPr>
      <w:r>
        <w:rPr>
          <w:rFonts w:hint="eastAsia" w:ascii="黑体" w:hAnsi="黑体" w:eastAsia="黑体"/>
          <w:sz w:val="32"/>
          <w:szCs w:val="32"/>
        </w:rPr>
        <w:t>五、主要经验及做法、存在的问题和建议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cs="宋体"/>
          <w:sz w:val="32"/>
          <w:szCs w:val="32"/>
        </w:rPr>
      </w:pPr>
      <w:r>
        <w:rPr>
          <w:rFonts w:hint="eastAsia" w:ascii="楷体" w:hAnsi="楷体" w:eastAsia="楷体" w:cs="宋体"/>
          <w:sz w:val="32"/>
          <w:szCs w:val="32"/>
        </w:rPr>
        <w:t>（一）</w:t>
      </w:r>
      <w:r>
        <w:rPr>
          <w:rFonts w:hint="eastAsia" w:ascii="仿宋_GB2312" w:hAnsi="楷体" w:eastAsia="仿宋_GB2312" w:cs="宋体"/>
          <w:sz w:val="32"/>
          <w:szCs w:val="32"/>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 w:eastAsia="仿宋_GB2312" w:cs="宋体"/>
          <w:sz w:val="32"/>
          <w:szCs w:val="32"/>
          <w:lang w:val="en-US" w:eastAsia="zh-CN"/>
        </w:rPr>
        <w:t>部分湿地内</w:t>
      </w:r>
      <w:r>
        <w:rPr>
          <w:rFonts w:hint="eastAsia" w:ascii="仿宋_GB2312" w:eastAsia="仿宋_GB2312"/>
          <w:sz w:val="32"/>
          <w:szCs w:val="32"/>
          <w:lang w:eastAsia="zh-CN"/>
        </w:rPr>
        <w:t>有</w:t>
      </w:r>
      <w:r>
        <w:rPr>
          <w:rFonts w:hint="eastAsia" w:ascii="仿宋_GB2312" w:eastAsia="仿宋_GB2312"/>
          <w:sz w:val="32"/>
          <w:szCs w:val="32"/>
        </w:rPr>
        <w:t>垃圾</w:t>
      </w:r>
      <w:r>
        <w:rPr>
          <w:rFonts w:hint="eastAsia" w:ascii="仿宋_GB2312" w:eastAsia="仿宋_GB2312"/>
          <w:sz w:val="32"/>
          <w:szCs w:val="32"/>
          <w:lang w:eastAsia="zh-CN"/>
        </w:rPr>
        <w:t>未清理，</w:t>
      </w:r>
      <w:r>
        <w:rPr>
          <w:rFonts w:hint="eastAsia" w:ascii="仿宋_GB2312" w:eastAsia="仿宋_GB2312"/>
          <w:sz w:val="32"/>
          <w:szCs w:val="32"/>
        </w:rPr>
        <w:t>出现复耕复种现象</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sz w:val="32"/>
          <w:lang w:eastAsia="zh-CN"/>
        </w:rPr>
      </w:pPr>
      <w:r>
        <w:rPr>
          <w:rFonts w:hint="eastAsia" w:ascii="仿宋_GB2312" w:hAnsi="仿宋" w:eastAsia="仿宋_GB2312" w:cs="宋体"/>
          <w:sz w:val="32"/>
          <w:szCs w:val="32"/>
          <w:lang w:val="en-US" w:eastAsia="zh-CN"/>
        </w:rPr>
        <w:t>2</w:t>
      </w:r>
      <w:r>
        <w:rPr>
          <w:rFonts w:hint="eastAsia" w:ascii="仿宋_GB2312" w:hAnsi="仿宋_GB2312" w:eastAsia="仿宋_GB2312" w:cs="仿宋_GB2312"/>
          <w:sz w:val="32"/>
          <w:szCs w:val="32"/>
          <w:lang w:val="en-US" w:eastAsia="zh-CN"/>
        </w:rPr>
        <w:t>.</w:t>
      </w:r>
      <w:r>
        <w:rPr>
          <w:rFonts w:hint="eastAsia" w:eastAsia="仿宋_GB2312"/>
          <w:sz w:val="32"/>
          <w:lang w:eastAsia="zh-CN"/>
        </w:rPr>
        <w:t>我区湖滨湿地面积广、湖岸线长，湖滨湿地内干枯、腐烂植物收割成本高、难度大，仅区财政安排资金难以承担湿地内干枯、腐烂植物收割处置等费用。</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（二）建议和改进措施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各镇（街道）及时清除湿地内复耕复种植物，并加强巡查、检查及管护力度，对湿地内乱倒垃圾、侵占湿地等行为及时制止，确保湿地功能正常发挥，生态效益得以显现。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23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57"/>
    <w:rsid w:val="003625C1"/>
    <w:rsid w:val="005D54C3"/>
    <w:rsid w:val="009413F1"/>
    <w:rsid w:val="00C64557"/>
    <w:rsid w:val="00E55196"/>
    <w:rsid w:val="00F57F46"/>
    <w:rsid w:val="286B7F4F"/>
    <w:rsid w:val="2FE12E47"/>
    <w:rsid w:val="324D698D"/>
    <w:rsid w:val="467F3C97"/>
    <w:rsid w:val="61D6569B"/>
    <w:rsid w:val="6339409B"/>
    <w:rsid w:val="6A756ADE"/>
    <w:rsid w:val="7D164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b/>
      <w:bCs/>
      <w:kern w:val="44"/>
      <w:sz w:val="44"/>
      <w:szCs w:val="44"/>
    </w:rPr>
  </w:style>
  <w:style w:type="character" w:default="1" w:styleId="11">
    <w:name w:val="Default Paragraph Font"/>
    <w:link w:val="12"/>
    <w:semiHidden/>
    <w:unhideWhenUsed/>
    <w:qFormat/>
    <w:uiPriority w:val="1"/>
    <w:rPr>
      <w:rFonts w:ascii="Book Antiqua" w:hAnsi="Book Antiqua" w:eastAsia="宋体"/>
      <w:sz w:val="21"/>
      <w:szCs w:val="24"/>
    </w:rPr>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0"/>
    <w:semiHidden/>
    <w:unhideWhenUsed/>
    <w:qFormat/>
    <w:uiPriority w:val="99"/>
    <w:rPr>
      <w:rFonts w:ascii="Calibri" w:hAnsi="Calibri"/>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left" w:pos="426"/>
        <w:tab w:val="right" w:leader="dot" w:pos="8296"/>
      </w:tabs>
    </w:pPr>
    <w:rPr>
      <w:rFonts w:ascii="Calibri" w:hAnsi="Calibri" w:cs="Calibri"/>
      <w:szCs w:val="21"/>
    </w:rPr>
  </w:style>
  <w:style w:type="paragraph" w:styleId="7">
    <w:name w:val="toc 2"/>
    <w:basedOn w:val="1"/>
    <w:next w:val="1"/>
    <w:qFormat/>
    <w:uiPriority w:val="39"/>
    <w:pPr>
      <w:ind w:left="420" w:leftChars="200"/>
    </w:pPr>
    <w:rPr>
      <w:rFonts w:ascii="Calibri" w:hAnsi="Calibri" w:cs="Calibri"/>
      <w:szCs w:val="21"/>
    </w:rPr>
  </w:style>
  <w:style w:type="paragraph" w:styleId="8">
    <w:name w:val="Title"/>
    <w:basedOn w:val="1"/>
    <w:qFormat/>
    <w:uiPriority w:val="0"/>
    <w:pPr>
      <w:adjustRightInd w:val="0"/>
      <w:spacing w:before="240" w:after="60" w:line="312" w:lineRule="atLeast"/>
      <w:jc w:val="center"/>
      <w:textAlignment w:val="baseline"/>
    </w:pPr>
    <w:rPr>
      <w:rFonts w:ascii="Arial" w:hAnsi="Arial" w:eastAsia="宋体"/>
      <w:b/>
      <w:kern w:val="28"/>
      <w:szCs w:val="20"/>
    </w:rPr>
  </w:style>
  <w:style w:type="table" w:styleId="10">
    <w:name w:val="Table Grid"/>
    <w:basedOn w:val="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 Char Char Char"/>
    <w:basedOn w:val="1"/>
    <w:link w:val="11"/>
    <w:qFormat/>
    <w:uiPriority w:val="0"/>
    <w:rPr>
      <w:rFonts w:ascii="Book Antiqua" w:hAnsi="Book Antiqua" w:eastAsia="宋体"/>
      <w:sz w:val="21"/>
      <w:szCs w:val="24"/>
    </w:rPr>
  </w:style>
  <w:style w:type="character" w:styleId="13">
    <w:name w:val="Hyperlink"/>
    <w:qFormat/>
    <w:uiPriority w:val="99"/>
    <w:rPr>
      <w:color w:val="0000FF"/>
      <w:u w:val="single"/>
    </w:rPr>
  </w:style>
  <w:style w:type="character" w:customStyle="1" w:styleId="14">
    <w:name w:val="页眉 Char"/>
    <w:basedOn w:val="11"/>
    <w:link w:val="5"/>
    <w:uiPriority w:val="99"/>
    <w:rPr>
      <w:sz w:val="18"/>
      <w:szCs w:val="18"/>
    </w:rPr>
  </w:style>
  <w:style w:type="character" w:customStyle="1" w:styleId="15">
    <w:name w:val="页脚 Char"/>
    <w:basedOn w:val="11"/>
    <w:link w:val="4"/>
    <w:uiPriority w:val="99"/>
    <w:rPr>
      <w:sz w:val="18"/>
      <w:szCs w:val="18"/>
    </w:rPr>
  </w:style>
  <w:style w:type="character" w:customStyle="1" w:styleId="16">
    <w:name w:val="标题 1 Char"/>
    <w:basedOn w:val="11"/>
    <w:link w:val="2"/>
    <w:uiPriority w:val="9"/>
    <w:rPr>
      <w:rFonts w:ascii="Calibri" w:hAnsi="Calibri" w:eastAsia="宋体" w:cs="Times New Roman"/>
      <w:b/>
      <w:bCs/>
      <w:kern w:val="44"/>
      <w:sz w:val="44"/>
      <w:szCs w:val="44"/>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9">
    <w:name w:val="正文 A"/>
    <w:qFormat/>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20">
    <w:name w:val="批注框文本 Char"/>
    <w:basedOn w:val="11"/>
    <w:link w:val="3"/>
    <w:semiHidden/>
    <w:qFormat/>
    <w:uiPriority w:val="99"/>
    <w:rPr>
      <w:rFonts w:ascii="Calibri" w:hAnsi="Calibri" w:eastAsia="宋体" w:cs="Times New Roman"/>
      <w:sz w:val="18"/>
      <w:szCs w:val="18"/>
    </w:rPr>
  </w:style>
  <w:style w:type="character" w:customStyle="1" w:styleId="21">
    <w:name w:val="公文文号"/>
    <w:basedOn w:val="11"/>
    <w:qFormat/>
    <w:uiPriority w:val="0"/>
    <w:rPr>
      <w:rFonts w:ascii="仿宋_GB2312"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2091</Words>
  <Characters>11923</Characters>
  <Lines>99</Lines>
  <Paragraphs>27</Paragraphs>
  <TotalTime>5</TotalTime>
  <ScaleCrop>false</ScaleCrop>
  <LinksUpToDate>false</LinksUpToDate>
  <CharactersWithSpaces>13987</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2019-04-03T08:23:00Z</dcterms:created>
  <dc:creator>AutoBVT</dc:creator>
  <cp:lastModifiedBy>测试2</cp:lastModifiedBy>
  <cp:lastPrinted>2019-08-15T03:34:07Z</cp:lastPrinted>
  <dcterms:modified xsi:type="dcterms:W3CDTF">2019-08-15T03:35:40Z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